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Opérateur du réseau Blue River</w:t>
      </w:r>
    </w:p>
    <w:p>
      <w:pPr>
        <w:pStyle w:val="BodyText"/>
      </w:pPr>
      <w:r>
        <w:t xml:space="preserve">La décision de fiabilité de 18h00</w:t>
      </w:r>
    </w:p>
    <w:p>
      <w:pPr>
        <w:pStyle w:val="BodyText"/>
      </w:pPr>
      <w:r>
        <w:t xml:space="preserve">Ce cas est fictif et destiné à la discussion pédagogique. Les noms, événements, fonds et chiffres internes sont inventés, bien que le contexte sectoriel s’inspire de données publiques.</w:t>
      </w:r>
    </w:p>
    <w:p>
      <w:pPr>
        <w:pStyle w:val="BodyText"/>
      </w:pPr>
      <w:r>
        <w:rPr>
          <w:b/>
          <w:bCs/>
        </w:rPr>
        <w:t xml:space="preserve">À 13h40 le 22 juillet, Elena Marquez, directrice de l’exploitation de Blue River System Operator (BRSO), examinait trois écrans dans la salle de contrôle régionale.</w:t>
      </w:r>
      <w:r>
        <w:t xml:space="preserve"> </w:t>
      </w:r>
      <w:r>
        <w:t xml:space="preserve">L’un montrait une prévision de demande grimpant vers un pic record en soirée. Le deuxième montrait un front d’orages se déplaçant vers le corridor solaire occidental. Le troisième affichait un avertissement provenant de l’Unité 4 de Riverbend, un générateur à cycle combiné de 720 mégawatts dont le système de refroidissement avait commencé à vibrer hors de sa plage normale.</w:t>
      </w:r>
    </w:p>
    <w:p>
      <w:pPr>
        <w:pStyle w:val="BodyText"/>
      </w:pPr>
      <w:r>
        <w:t xml:space="preserve">BRSO coordonnait le réseau à haute tension desservant 8,7 millions de personnes dans les états fictifs de Franklin, Monroe et Easton. Il ne possédait pas la majorité des générateurs ni des lignes de transmission. Il engageait plutôt des unités de production à l’avance, les distribuait en temps réel, achetait de l’électricité auprès des régions voisines, maintenait la fréquence, et dirigeait les actions d’urgence lorsque l’offre ne pouvait pas couvrir la demande en toute sécurité.</w:t>
      </w:r>
    </w:p>
    <w:p>
      <w:pPr>
        <w:pStyle w:val="BodyText"/>
      </w:pPr>
      <w:r>
        <w:t xml:space="preserve">Le pic du soir était attendu vers 18h00, moment où les bureaux et usines seraient encore en activité, où les navetteurs rentreraient chez eux, et où les charges de climatisation resteraient élevées. Le plan établi la veille supposait une production solaire de 7 900 MW à 14h00, diminuant à 2 100 MW d’ici 19h00. Il supposait également que l’Unité 4 de Riverbend resterait disponible. Si la couverture nuageuse arrivait plus tôt et que Riverbend se déclenchait, la réserve d’exploitation pourrait tomber sous la cible de BRSO avant le pic.</w:t>
      </w:r>
    </w:p>
    <w:p>
      <w:pPr>
        <w:pStyle w:val="BodyText"/>
      </w:pPr>
      <w:r>
        <w:t xml:space="preserve">Marquez avait des choix immédiats : demander à Riverbend de rester en ligne à puissance réduite ; démarrer deux anciennes unités de pointe au fioul ; acheter de l’électricité sur le marché à cinq minutes ; décharger les batteries plus tôt que prévu ; appeler un événement volontaire de réponse à la demande ; ou préparer des interruptions de service contrôlées pour un petit groupe de clients industriels. Chaque action modifiait les options qui resteraient disponibles plus tard dans la journée. Les batteries pouvaient réagir en quelques secondes, mais leur énergie stockée serait épuisée après quatre heures. Le démarrage des unités au fioul nécessitait quarante minutes et produirait des coûts d’exploitation et des émissions élevés. L’électricité importée semblait disponible, mais les régions voisines subissaient la même vague de chaleur.</w:t>
      </w:r>
    </w:p>
    <w:bookmarkStart w:id="9" w:name="Xd1b4f3fbdeea2f8e8c60b350d1d5beff6c3155e"/>
    <w:p>
      <w:pPr>
        <w:pStyle w:val="Heading1"/>
      </w:pPr>
      <w:r>
        <w:t xml:space="preserve">Un réseau entrant dans une nouvelle ère de croissance</w:t>
      </w:r>
    </w:p>
    <w:p>
      <w:pPr>
        <w:pStyle w:val="FirstParagraph"/>
      </w:pPr>
      <w:r>
        <w:t xml:space="preserve">Pendant près de deux décennies, la consommation d’électricité aux États-Unis avait crû lentement. Cette hypothèse était désormais en train de disparaître. L’U.S. Energy Information Administration a rapporté que la demande d’électricité avait crû d’environ 1,7 % par an de 2020 à 2025, contre environ 0,1 % par an au cours de la décennie précédente. L’EIA prévoyait une croissance continue à mesure que les centres de données, la fabrication, l’électrification des bâtiments et d’autres charges importantes se raccordaient au réseau.</w:t>
      </w:r>
    </w:p>
    <w:p>
      <w:pPr>
        <w:pStyle w:val="BodyText"/>
      </w:pPr>
      <w:r>
        <w:t xml:space="preserve">Les planificateurs de la fiabilité en Amérique du Nord révisaient également leurs prévisions à la hausse. L’évaluation à long terme de 2025 de NERC prévoyait que la demande de pointe estivale pourrait croître de 224 GW sur dix ans - plus de 69 pour cent au-dessus de l’augmentation anticipée seulement un an plus tôt. Les nouveaux centres de données soutenant l’intelligence artificielle et l’économie numérique représentaient une grande part de cette révision.</w:t>
      </w:r>
    </w:p>
    <w:p>
      <w:pPr>
        <w:pStyle w:val="BodyText"/>
      </w:pPr>
      <w:r>
        <w:t xml:space="preserve">Blue River vivait ces forces sous une forme concentrée. Trois campus de centres de données avaient ouvert depuis 2023. Six autres projets, totalisant 4 600 MW de service demandé, étaient à divers stades d’étude. Certains ne seraient jamais construits, mais BRSO ne pouvait pas le présumer. Une aciérie envisageait également de passer de fours au gaz à la technologie à arc électrique, tandis que les foyers installaient des thermopompes et des véhicules électriques. Pendant ce temps, les anciennes centrales au charbon et au fioul étaient mises hors service, et la plupart des capacités de remplacement proposées étaient constituées de solaire, d’éolien et de batteries dont la disponibilité variait selon l’heure et la météo.</w:t>
      </w:r>
    </w:p>
    <w:p>
      <w:pPr>
        <w:pStyle w:val="BodyText"/>
      </w:pPr>
      <w:r>
        <w:t xml:space="preserve">Exhibit 1. Perspectives de demande et de ressources de Blue River</w:t>
      </w:r>
    </w:p>
    <w:tbl>
      <w:tblPr>
        <w:tblStyle w:val="Table"/>
        <w:tblW w:type="pct" w:w="4907"/>
        <w:tblLayout w:type="fixed"/>
        <w:tblLook w:firstRow="1" w:lastRow="0" w:firstColumn="0" w:lastColumn="0" w:noHBand="0" w:noVBand="0" w:val="0020"/>
      </w:tblPr>
      <w:tblGrid>
        <w:gridCol w:w="2738"/>
        <w:gridCol w:w="1554"/>
        <w:gridCol w:w="1702"/>
        <w:gridCol w:w="1776"/>
      </w:tblGrid>
      <w:tr>
        <w:trPr>
          <w:tblHeader w:val="on"/>
        </w:trPr>
        <w:tc>
          <w:tcPr/>
          <w:p>
            <w:pPr>
              <w:pStyle w:val="Compact"/>
              <w:jc w:val="left"/>
            </w:pPr>
            <w:r>
              <w:t xml:space="preserve">Mesure</w:t>
            </w:r>
          </w:p>
        </w:tc>
        <w:tc>
          <w:tcPr/>
          <w:p>
            <w:pPr>
              <w:pStyle w:val="Compact"/>
              <w:jc w:val="center"/>
            </w:pPr>
            <w:r>
              <w:t xml:space="preserve">2022</w:t>
            </w:r>
          </w:p>
        </w:tc>
        <w:tc>
          <w:tcPr/>
          <w:p>
            <w:pPr>
              <w:pStyle w:val="Compact"/>
              <w:jc w:val="center"/>
            </w:pPr>
            <w:r>
              <w:t xml:space="preserve">Estimation 2026</w:t>
            </w:r>
          </w:p>
        </w:tc>
        <w:tc>
          <w:tcPr/>
          <w:p>
            <w:pPr>
              <w:pStyle w:val="Compact"/>
              <w:jc w:val="right"/>
            </w:pPr>
            <w:r>
              <w:t xml:space="preserve">Scénario de planification 2031</w:t>
            </w:r>
          </w:p>
        </w:tc>
      </w:tr>
      <w:tr>
        <w:tc>
          <w:tcPr/>
          <w:p>
            <w:pPr>
              <w:pStyle w:val="Compact"/>
              <w:jc w:val="left"/>
            </w:pPr>
            <w:r>
              <w:t xml:space="preserve">Consommation annuelle d’électricité (</w:t>
            </w:r>
          </w:p>
        </w:tc>
        <w:tc>
          <w:tcPr/>
          <w:p>
            <w:pPr>
              <w:pStyle w:val="Compact"/>
              <w:jc w:val="center"/>
            </w:pPr>
            <w:r>
              <w:t xml:space="preserve">TWh) 142</w:t>
            </w:r>
          </w:p>
        </w:tc>
        <w:tc>
          <w:tcPr/>
          <w:p>
            <w:pPr>
              <w:pStyle w:val="Compact"/>
              <w:jc w:val="center"/>
            </w:pPr>
            <w:r>
              <w:t xml:space="preserve">157</w:t>
            </w:r>
          </w:p>
        </w:tc>
        <w:tc>
          <w:tcPr/>
          <w:p>
            <w:pPr>
              <w:pStyle w:val="Compact"/>
              <w:jc w:val="right"/>
            </w:pPr>
            <w:r>
              <w:t xml:space="preserve">190</w:t>
            </w:r>
          </w:p>
        </w:tc>
      </w:tr>
      <w:tr>
        <w:tc>
          <w:tcPr/>
          <w:p>
            <w:pPr>
              <w:pStyle w:val="Compact"/>
              <w:jc w:val="left"/>
            </w:pPr>
            <w:r>
              <w:t xml:space="preserve">Demande de pointe estivale (MW)</w:t>
            </w:r>
          </w:p>
        </w:tc>
        <w:tc>
          <w:tcPr/>
          <w:p>
            <w:pPr>
              <w:pStyle w:val="Compact"/>
              <w:jc w:val="center"/>
            </w:pPr>
            <w:r>
              <w:t xml:space="preserve">24 800</w:t>
            </w:r>
          </w:p>
        </w:tc>
        <w:tc>
          <w:tcPr/>
          <w:p>
            <w:pPr>
              <w:pStyle w:val="Compact"/>
              <w:jc w:val="center"/>
            </w:pPr>
            <w:r>
              <w:t xml:space="preserve">28 900</w:t>
            </w:r>
          </w:p>
        </w:tc>
        <w:tc>
          <w:tcPr/>
          <w:p>
            <w:pPr>
              <w:pStyle w:val="Compact"/>
              <w:jc w:val="right"/>
            </w:pPr>
            <w:r>
              <w:t xml:space="preserve">36 500</w:t>
            </w:r>
          </w:p>
        </w:tc>
      </w:tr>
      <w:tr>
        <w:tc>
          <w:tcPr/>
          <w:p>
            <w:pPr>
              <w:pStyle w:val="Compact"/>
              <w:jc w:val="left"/>
            </w:pPr>
            <w:r>
              <w:t xml:space="preserve">Charge de pointe des centres de donné</w:t>
            </w:r>
          </w:p>
        </w:tc>
        <w:tc>
          <w:tcPr/>
          <w:p>
            <w:pPr>
              <w:pStyle w:val="Compact"/>
              <w:jc w:val="center"/>
            </w:pPr>
            <w:r>
              <w:t xml:space="preserve">es (MW) 650</w:t>
            </w:r>
          </w:p>
        </w:tc>
        <w:tc>
          <w:tcPr/>
          <w:p>
            <w:pPr>
              <w:pStyle w:val="Compact"/>
              <w:jc w:val="center"/>
            </w:pPr>
            <w:r>
              <w:t xml:space="preserve">2 750</w:t>
            </w:r>
          </w:p>
        </w:tc>
        <w:tc>
          <w:tcPr/>
          <w:p>
            <w:pPr>
              <w:pStyle w:val="Compact"/>
              <w:jc w:val="right"/>
            </w:pPr>
            <w:r>
              <w:t xml:space="preserve">7 200</w:t>
            </w:r>
          </w:p>
        </w:tc>
      </w:tr>
      <w:tr>
        <w:tc>
          <w:tcPr/>
          <w:p>
            <w:pPr>
              <w:pStyle w:val="Compact"/>
              <w:jc w:val="left"/>
            </w:pPr>
            <w:r>
              <w:t xml:space="preserve">Capacité thermique répartissable (MW)</w:t>
            </w:r>
          </w:p>
        </w:tc>
        <w:tc>
          <w:tcPr/>
          <w:p>
            <w:pPr>
              <w:pStyle w:val="Compact"/>
              <w:jc w:val="center"/>
            </w:pPr>
            <w:r>
              <w:t xml:space="preserve">21 400</w:t>
            </w:r>
          </w:p>
        </w:tc>
        <w:tc>
          <w:tcPr/>
          <w:p>
            <w:pPr>
              <w:pStyle w:val="Compact"/>
              <w:jc w:val="center"/>
            </w:pPr>
            <w:r>
              <w:t xml:space="preserve">19 900</w:t>
            </w:r>
          </w:p>
        </w:tc>
        <w:tc>
          <w:tcPr/>
          <w:p>
            <w:pPr>
              <w:pStyle w:val="Compact"/>
              <w:jc w:val="right"/>
            </w:pPr>
            <w:r>
              <w:t xml:space="preserve">18 100</w:t>
            </w:r>
          </w:p>
        </w:tc>
      </w:tr>
      <w:tr>
        <w:tc>
          <w:tcPr/>
          <w:p>
            <w:pPr>
              <w:pStyle w:val="Compact"/>
              <w:jc w:val="left"/>
            </w:pPr>
            <w:r>
              <w:t xml:space="preserve">Puissance / énergie des batteries 4</w:t>
            </w:r>
          </w:p>
        </w:tc>
        <w:tc>
          <w:tcPr/>
          <w:p>
            <w:pPr>
              <w:pStyle w:val="Compact"/>
              <w:jc w:val="center"/>
            </w:pPr>
            <w:r>
              <w:t xml:space="preserve">50 MW / 1 000 MWh 2</w:t>
            </w:r>
          </w:p>
        </w:tc>
        <w:tc>
          <w:tcPr/>
          <w:p>
            <w:pPr>
              <w:pStyle w:val="Compact"/>
              <w:jc w:val="center"/>
            </w:pPr>
            <w:r>
              <w:t xml:space="preserve">250 MW / 7 200 MWh 5</w:t>
            </w:r>
          </w:p>
        </w:tc>
        <w:tc>
          <w:tcPr/>
          <w:p>
            <w:pPr>
              <w:pStyle w:val="Compact"/>
              <w:jc w:val="right"/>
            </w:pPr>
            <w:r>
              <w:t xml:space="preserve">100 MW / 20 400 MWh</w:t>
            </w:r>
          </w:p>
        </w:tc>
      </w:tr>
    </w:tbl>
    <w:p>
      <w:pPr>
        <w:pStyle w:val="BodyText"/>
      </w:pPr>
      <w:r>
        <w:t xml:space="preserve">Tous les chiffres relatifs à Blue River sont fictifs. La capacité renouvelable nominale n’équivaut pas à la production disponible pendant le pic du système.</w:t>
      </w:r>
    </w:p>
    <w:bookmarkEnd w:id="9"/>
    <w:bookmarkStart w:id="10" w:name="le-casse-tête-opérationnel-quotidien"/>
    <w:p>
      <w:pPr>
        <w:pStyle w:val="Heading1"/>
      </w:pPr>
      <w:r>
        <w:t xml:space="preserve">Le casse-tête opérationnel quotidien</w:t>
      </w:r>
    </w:p>
    <w:p>
      <w:pPr>
        <w:pStyle w:val="FirstParagraph"/>
      </w:pPr>
      <w:r>
        <w:t xml:space="preserve">Chaque après-midi, BRSO engageait suffisamment de production pour le lendemain. Les grandes unités nucléaires fonctionnaient généralement en continu. Les unités au charbon et à vapeur nécessitaient de nombreuses heures pour démarrer et ne pouvaient pas changer de production rapidement. Les unités au gaz à cycle combiné étaient plus flexibles mais dépendaient de la capacité des gazoducs et des prix du gaz. Les turbines à cycle simple pouvaient démarrer rapidement mais étaient coûteuses. L’éolien et le solaire avaient des coûts d’exploitation faibles, mais BRSO ne pouvait pas ordonner au vent de souffler ni empêcher un front nuageux de traverser un champ solaire.</w:t>
      </w:r>
    </w:p>
    <w:p>
      <w:pPr>
        <w:pStyle w:val="BodyText"/>
      </w:pPr>
      <w:r>
        <w:t xml:space="preserve">En temps réel, les opérateurs du système devaient maintenir un équilibre quasi parfait entre l’offre et la demande d’électricité. Un déséquilibre pouvait faire dériver la fréquence loin de 60 hertz, risquant d’endommager l’équipement ou de déclencher des déconnexions automatiques. Les instructions de répartition et les prix du marché étaient mis à jour toutes les cinq minutes, tandis que les ressources de régulation ajustaient la production toutes les quelques secondes. Les contraintes de transmission complicaient les choses : l’électricité peu coûteuse du nord ne pouvait pas toujours atteindre les centres de charge du sud car deux lignes clés approchaient de leurs limites thermiques.</w:t>
      </w:r>
    </w:p>
    <w:p>
      <w:pPr>
        <w:pStyle w:val="BodyText"/>
      </w:pPr>
      <w:r>
        <w:t xml:space="preserve">La prévision de la demande était elle-même une cible mouvante. Une erreur d’un degré dans la prévision de température du soir pouvait modifier la demande de pointe d’environ 280 MW. La couverture nuageuse pouvait simultanément réduire la production solaire et abaisser la demande de climatisation, mais pas toujours aux mêmes endroits. Un événement sportif majeur pouvait déplacer des centaines de mégawatts en quelques minutes lorsque les spectateurs rentraient chez eux. Les clients industriels pouvaient réduire leur consommation lorsqu’on les sollicitait, mais leur réponse dépendait des engagements de production, du personnel et du paiement incitatif.</w:t>
      </w:r>
    </w:p>
    <w:p>
      <w:pPr>
        <w:pStyle w:val="BodyText"/>
      </w:pPr>
      <w:r>
        <w:t xml:space="preserve">Exhibit 2. Position opérationnelle pour le 22 juillet, 18h00</w:t>
      </w:r>
    </w:p>
    <w:tbl>
      <w:tblPr>
        <w:tblStyle w:val="Table"/>
        <w:tblW w:type="pct" w:w="4917"/>
        <w:tblLayout w:type="fixed"/>
        <w:tblLook w:firstRow="1" w:lastRow="0" w:firstColumn="0" w:lastColumn="0" w:noHBand="0" w:noVBand="0" w:val="0020"/>
      </w:tblPr>
      <w:tblGrid>
        <w:gridCol w:w="2376"/>
        <w:gridCol w:w="1188"/>
        <w:gridCol w:w="1254"/>
        <w:gridCol w:w="2970"/>
      </w:tblGrid>
      <w:tr>
        <w:trPr>
          <w:tblHeader w:val="on"/>
        </w:trPr>
        <w:tc>
          <w:tcPr/>
          <w:p>
            <w:pPr>
              <w:pStyle w:val="Compact"/>
              <w:jc w:val="left"/>
            </w:pPr>
            <w:r>
              <w:t xml:space="preserve">Ressource ou exigence</w:t>
            </w:r>
          </w:p>
        </w:tc>
        <w:tc>
          <w:tcPr/>
          <w:p>
            <w:pPr>
              <w:pStyle w:val="Compact"/>
            </w:pPr>
            <w:r>
              <w:t xml:space="preserve">MW attendu M</w:t>
            </w:r>
          </w:p>
        </w:tc>
        <w:tc>
          <w:tcPr/>
          <w:p>
            <w:pPr>
              <w:pStyle w:val="Compact"/>
            </w:pPr>
            <w:r>
              <w:t xml:space="preserve">W scénario défavora</w:t>
            </w:r>
          </w:p>
        </w:tc>
        <w:tc>
          <w:tcPr/>
          <w:p>
            <w:pPr>
              <w:pStyle w:val="Compact"/>
              <w:jc w:val="left"/>
            </w:pPr>
            <w:r>
              <w:t xml:space="preserve">ble Considération opérationnelle</w:t>
            </w:r>
          </w:p>
        </w:tc>
      </w:tr>
      <w:tr>
        <w:tc>
          <w:tcPr/>
          <w:p>
            <w:pPr>
              <w:pStyle w:val="Compact"/>
              <w:jc w:val="left"/>
            </w:pPr>
            <w:r>
              <w:t xml:space="preserve">Demande des clients</w:t>
            </w:r>
          </w:p>
        </w:tc>
        <w:tc>
          <w:tcPr/>
          <w:p>
            <w:pPr>
              <w:pStyle w:val="Compact"/>
            </w:pPr>
            <w:r>
              <w:t xml:space="preserve">30 850</w:t>
            </w:r>
          </w:p>
        </w:tc>
        <w:tc>
          <w:tcPr/>
          <w:p>
            <w:pPr>
              <w:pStyle w:val="Compact"/>
            </w:pPr>
            <w:r>
              <w:t xml:space="preserve">31 700</w:t>
            </w:r>
          </w:p>
        </w:tc>
        <w:tc>
          <w:tcPr/>
          <w:p>
            <w:pPr>
              <w:pStyle w:val="Compact"/>
              <w:jc w:val="left"/>
            </w:pPr>
            <w:r>
              <w:t xml:space="preserve">La température et l’humidité restent incertaines</w:t>
            </w:r>
          </w:p>
        </w:tc>
      </w:tr>
      <w:tr>
        <w:tc>
          <w:tcPr/>
          <w:p>
            <w:pPr>
              <w:pStyle w:val="Compact"/>
              <w:jc w:val="left"/>
            </w:pPr>
            <w:r>
              <w:t xml:space="preserve">Production nucléaire et obligatoire</w:t>
            </w:r>
          </w:p>
        </w:tc>
        <w:tc>
          <w:tcPr/>
          <w:p>
            <w:pPr>
              <w:pStyle w:val="Compact"/>
            </w:pPr>
            <w:r>
              <w:t xml:space="preserve">5 900</w:t>
            </w:r>
          </w:p>
        </w:tc>
        <w:tc>
          <w:tcPr/>
          <w:p>
            <w:pPr>
              <w:pStyle w:val="Compact"/>
            </w:pPr>
            <w:r>
              <w:t xml:space="preserve">5 900</w:t>
            </w:r>
          </w:p>
        </w:tc>
        <w:tc>
          <w:tcPr/>
          <w:p>
            <w:pPr>
              <w:pStyle w:val="Compact"/>
              <w:jc w:val="left"/>
            </w:pPr>
            <w:r>
              <w:t xml:space="preserve">Peu de flexibilité à court terme</w:t>
            </w:r>
          </w:p>
        </w:tc>
      </w:tr>
      <w:tr>
        <w:tc>
          <w:tcPr/>
          <w:p>
            <w:pPr>
              <w:pStyle w:val="Compact"/>
              <w:jc w:val="left"/>
            </w:pPr>
            <w:r>
              <w:t xml:space="preserve">Production au charbon et à vapeur</w:t>
            </w:r>
          </w:p>
        </w:tc>
        <w:tc>
          <w:tcPr/>
          <w:p>
            <w:pPr>
              <w:pStyle w:val="Compact"/>
            </w:pPr>
            <w:r>
              <w:t xml:space="preserve">4 850</w:t>
            </w:r>
          </w:p>
        </w:tc>
        <w:tc>
          <w:tcPr/>
          <w:p>
            <w:pPr>
              <w:pStyle w:val="Compact"/>
            </w:pPr>
            <w:r>
              <w:t xml:space="preserve">4 550</w:t>
            </w:r>
          </w:p>
        </w:tc>
        <w:tc>
          <w:tcPr/>
          <w:p>
            <w:pPr>
              <w:pStyle w:val="Compact"/>
              <w:jc w:val="left"/>
            </w:pPr>
            <w:r>
              <w:t xml:space="preserve">Une unité présente des préoccupations liées à la température de la chaudière</w:t>
            </w:r>
          </w:p>
        </w:tc>
      </w:tr>
      <w:tr>
        <w:tc>
          <w:tcPr/>
          <w:p>
            <w:pPr>
              <w:pStyle w:val="Compact"/>
              <w:jc w:val="left"/>
            </w:pPr>
            <w:r>
              <w:t xml:space="preserve">Gaz à cycle combiné 8</w:t>
            </w:r>
          </w:p>
        </w:tc>
        <w:tc>
          <w:tcPr/>
          <w:p>
            <w:pPr>
              <w:pStyle w:val="Compact"/>
            </w:pPr>
            <w:r>
              <w:t xml:space="preserve">300 7</w:t>
            </w:r>
          </w:p>
        </w:tc>
        <w:tc>
          <w:tcPr/>
          <w:p>
            <w:pPr>
              <w:pStyle w:val="Compact"/>
            </w:pPr>
            <w:r>
              <w:t xml:space="preserve">580 I</w:t>
            </w:r>
          </w:p>
        </w:tc>
        <w:tc>
          <w:tcPr/>
          <w:p>
            <w:pPr>
              <w:pStyle w:val="Compact"/>
              <w:jc w:val="left"/>
            </w:pPr>
            <w:r>
              <w:t xml:space="preserve">nclut l’Unité 4 de Riverbend</w:t>
            </w:r>
          </w:p>
        </w:tc>
      </w:tr>
      <w:tr>
        <w:tc>
          <w:tcPr/>
          <w:p>
            <w:pPr>
              <w:pStyle w:val="Compact"/>
              <w:jc w:val="left"/>
            </w:pPr>
            <w:r>
              <w:t xml:space="preserve">Gaz et fioul à démarrage rapide</w:t>
            </w:r>
          </w:p>
        </w:tc>
        <w:tc>
          <w:tcPr/>
          <w:p>
            <w:pPr>
              <w:pStyle w:val="Compact"/>
            </w:pPr>
            <w:r>
              <w:t xml:space="preserve">1 850</w:t>
            </w:r>
          </w:p>
        </w:tc>
        <w:tc>
          <w:tcPr/>
          <w:p>
            <w:pPr>
              <w:pStyle w:val="Compact"/>
            </w:pPr>
            <w:r>
              <w:t xml:space="preserve">1 850</w:t>
            </w:r>
          </w:p>
        </w:tc>
        <w:tc>
          <w:tcPr/>
          <w:p>
            <w:pPr>
              <w:pStyle w:val="Compact"/>
              <w:jc w:val="left"/>
            </w:pPr>
            <w:r>
              <w:t xml:space="preserve">Coût élevé ; démarrage de 20 à 60 minutes</w:t>
            </w:r>
          </w:p>
        </w:tc>
      </w:tr>
      <w:tr>
        <w:tc>
          <w:tcPr/>
          <w:p>
            <w:pPr>
              <w:pStyle w:val="Compact"/>
              <w:jc w:val="left"/>
            </w:pPr>
            <w:r>
              <w:t xml:space="preserve">Éolien</w:t>
            </w:r>
          </w:p>
        </w:tc>
        <w:tc>
          <w:tcPr/>
          <w:p>
            <w:pPr>
              <w:pStyle w:val="Compact"/>
            </w:pPr>
            <w:r>
              <w:t xml:space="preserve">3 050</w:t>
            </w:r>
          </w:p>
        </w:tc>
        <w:tc>
          <w:tcPr/>
          <w:p>
            <w:pPr>
              <w:pStyle w:val="Compact"/>
            </w:pPr>
            <w:r>
              <w:t xml:space="preserve">2 200</w:t>
            </w:r>
          </w:p>
        </w:tc>
        <w:tc>
          <w:tcPr/>
          <w:p>
            <w:pPr>
              <w:pStyle w:val="Compact"/>
              <w:jc w:val="left"/>
            </w:pPr>
            <w:r>
              <w:t xml:space="preserve">Un front pourrait réduire la production avant le pic</w:t>
            </w:r>
          </w:p>
        </w:tc>
      </w:tr>
      <w:tr>
        <w:tc>
          <w:tcPr/>
          <w:p>
            <w:pPr>
              <w:pStyle w:val="Compact"/>
              <w:jc w:val="left"/>
            </w:pPr>
            <w:r>
              <w:t xml:space="preserve">Solaire</w:t>
            </w:r>
          </w:p>
        </w:tc>
        <w:tc>
          <w:tcPr/>
          <w:p>
            <w:pPr>
              <w:pStyle w:val="Compact"/>
            </w:pPr>
            <w:r>
              <w:t xml:space="preserve">3 600</w:t>
            </w:r>
          </w:p>
        </w:tc>
        <w:tc>
          <w:tcPr/>
          <w:p>
            <w:pPr>
              <w:pStyle w:val="Compact"/>
            </w:pPr>
            <w:r>
              <w:t xml:space="preserve">2 300</w:t>
            </w:r>
          </w:p>
        </w:tc>
        <w:tc>
          <w:tcPr/>
          <w:p>
            <w:pPr>
              <w:pStyle w:val="Compact"/>
              <w:jc w:val="left"/>
            </w:pPr>
            <w:r>
              <w:t xml:space="preserve">Les orages pourraient arriver plus tôt</w:t>
            </w:r>
          </w:p>
        </w:tc>
      </w:tr>
      <w:tr>
        <w:tc>
          <w:tcPr/>
          <w:p>
            <w:pPr>
              <w:pStyle w:val="Compact"/>
              <w:jc w:val="left"/>
            </w:pPr>
            <w:r>
              <w:t xml:space="preserve">Hydroélectricité et importations</w:t>
            </w:r>
          </w:p>
        </w:tc>
        <w:tc>
          <w:tcPr/>
          <w:p>
            <w:pPr>
              <w:pStyle w:val="Compact"/>
            </w:pPr>
            <w:r>
              <w:t xml:space="preserve">2 150</w:t>
            </w:r>
          </w:p>
        </w:tc>
        <w:tc>
          <w:tcPr/>
          <w:p>
            <w:pPr>
              <w:pStyle w:val="Compact"/>
            </w:pPr>
            <w:r>
              <w:t xml:space="preserve">1 750</w:t>
            </w:r>
          </w:p>
        </w:tc>
        <w:tc>
          <w:tcPr/>
          <w:p>
            <w:pPr>
              <w:pStyle w:val="Compact"/>
              <w:jc w:val="left"/>
            </w:pPr>
            <w:r>
              <w:t xml:space="preserve">Les régions voisines sont également tendues</w:t>
            </w:r>
          </w:p>
        </w:tc>
      </w:tr>
      <w:tr>
        <w:tc>
          <w:tcPr/>
          <w:p>
            <w:pPr>
              <w:pStyle w:val="Compact"/>
              <w:jc w:val="left"/>
            </w:pPr>
            <w:r>
              <w:t xml:space="preserve">Décharge de batterie disponible</w:t>
            </w:r>
          </w:p>
        </w:tc>
        <w:tc>
          <w:tcPr/>
          <w:p>
            <w:pPr>
              <w:pStyle w:val="Compact"/>
            </w:pPr>
            <w:r>
              <w:t xml:space="preserve">1 650</w:t>
            </w:r>
          </w:p>
        </w:tc>
        <w:tc>
          <w:tcPr/>
          <w:p>
            <w:pPr>
              <w:pStyle w:val="Compact"/>
            </w:pPr>
            <w:r>
              <w:t xml:space="preserve">1 650</w:t>
            </w:r>
          </w:p>
        </w:tc>
        <w:tc>
          <w:tcPr/>
          <w:p>
            <w:pPr>
              <w:pStyle w:val="Compact"/>
              <w:jc w:val="left"/>
            </w:pPr>
            <w:r>
              <w:t xml:space="preserve">Durée maximale de quatre heures</w:t>
            </w:r>
          </w:p>
        </w:tc>
      </w:tr>
      <w:tr>
        <w:tc>
          <w:tcPr/>
          <w:p>
            <w:pPr>
              <w:pStyle w:val="Compact"/>
              <w:jc w:val="left"/>
            </w:pPr>
            <w:r>
              <w:t xml:space="preserve">Réponse à la demande sous contrat</w:t>
            </w:r>
          </w:p>
        </w:tc>
        <w:tc>
          <w:tcPr/>
          <w:p>
            <w:pPr>
              <w:pStyle w:val="Compact"/>
            </w:pPr>
            <w:r>
              <w:t xml:space="preserve">900</w:t>
            </w:r>
          </w:p>
        </w:tc>
        <w:tc>
          <w:tcPr/>
          <w:p>
            <w:pPr>
              <w:pStyle w:val="Compact"/>
            </w:pPr>
            <w:r>
              <w:t xml:space="preserve">550</w:t>
            </w:r>
          </w:p>
        </w:tc>
        <w:tc>
          <w:tcPr/>
          <w:p>
            <w:pPr>
              <w:pStyle w:val="Compact"/>
              <w:jc w:val="left"/>
            </w:pPr>
            <w:r>
              <w:t xml:space="preserve">Participation non garantie</w:t>
            </w:r>
          </w:p>
        </w:tc>
      </w:tr>
      <w:tr>
        <w:tc>
          <w:tcPr/>
          <w:p>
            <w:pPr>
              <w:pStyle w:val="Compact"/>
              <w:jc w:val="left"/>
            </w:pPr>
            <w:r>
              <w:t xml:space="preserve">Offre / réponse potentielle totale</w:t>
            </w:r>
          </w:p>
        </w:tc>
        <w:tc>
          <w:tcPr/>
          <w:p>
            <w:pPr>
              <w:pStyle w:val="Compact"/>
            </w:pPr>
            <w:r>
              <w:t xml:space="preserve">32 250</w:t>
            </w:r>
          </w:p>
        </w:tc>
        <w:tc>
          <w:tcPr/>
          <w:p>
            <w:pPr>
              <w:pStyle w:val="Compact"/>
            </w:pPr>
            <w:r>
              <w:t xml:space="preserve">28 330</w:t>
            </w:r>
          </w:p>
        </w:tc>
        <w:tc>
          <w:tcPr/>
          <w:p>
            <w:pPr>
              <w:pStyle w:val="Compact"/>
              <w:jc w:val="left"/>
            </w:pPr>
            <w:r>
              <w:t xml:space="preserve">Le scénario défavorable implique un déficit important</w:t>
            </w:r>
          </w:p>
        </w:tc>
      </w:tr>
    </w:tbl>
    <w:p>
      <w:pPr>
        <w:pStyle w:val="BodyText"/>
      </w:pPr>
      <w:r>
        <w:t xml:space="preserve">Le scénario défavorable combine des hypothèses défavorables et ne constitue pas une prévision de probabilité formelle.</w:t>
      </w:r>
    </w:p>
    <w:bookmarkEnd w:id="10"/>
    <w:bookmarkStart w:id="11" w:name="le-coût-de-la-préparation"/>
    <w:p>
      <w:pPr>
        <w:pStyle w:val="Heading1"/>
      </w:pPr>
      <w:r>
        <w:t xml:space="preserve">Le coût de la préparation</w:t>
      </w:r>
    </w:p>
    <w:p>
      <w:pPr>
        <w:pStyle w:val="FirstParagraph"/>
      </w:pPr>
      <w:r>
        <w:t xml:space="preserve">La fiabilité avait historiquement dominé la culture opérationnelle de BRSO. Pourtant, les clients et les régulateurs se préoccupaient de plus en plus du coût. Le prix moyen de l’énergie de gros dans la région était passé de 34 $ par mégawattheure en 2022 à 58 $ en 2025. Les paiements de capacité - versés pour garantir que les ressources soient disponibles en cas de besoin - devaient tripler lors de la prochaine enchère. Les factures de détail incluaient également les investissements de transmission nécessaires pour raccorder de nouvelles productions et desservir les grandes charges.</w:t>
      </w:r>
    </w:p>
    <w:p>
      <w:pPr>
        <w:pStyle w:val="BodyText"/>
      </w:pPr>
      <w:r>
        <w:t xml:space="preserve">L’action la plus fiable n’était souvent pas la moins coûteuse. Engager trop de générateurs thermiques protégeait contre les erreurs de prévision mais obligeait les clients à payer les coûts de démarrage et de fonctionnement minimal même si la demande ou la production renouvelable s’avérait favorable. Engager trop peu d’unités exposait le système à des prix en temps réel volatils et à des pénuries d’urgence. Une batterie pouvait éviter de démarrer une unité de pointe, mais la décharger à 16h00 pourrait ne laisser aucune énergie stockée à 19h30. Un appel à la réponse à la demande pouvait protéger la fiabilité mais interrompre la production des usines et réduire la confiance dans le programme s’il était trop souvent sollicité.</w:t>
      </w:r>
    </w:p>
    <w:p>
      <w:pPr>
        <w:pStyle w:val="BodyText"/>
      </w:pPr>
      <w:r>
        <w:t xml:space="preserve">Les conséquences environnementales étaient également inégales. Les unités de pointe au fioul de BRSO émettaient bien plus de dioxyde de carbone et de polluants locaux que la production au gaz. Une centrale au gaz de 900 MW proposée améliorerait la fiabilité mais pourrait fonctionner pendant trente ans. Un portefeuille de batteries plus important évitait les émissions directes mais nécessitait suffisamment d’énergie excédentaire pour se charger, et les batteries de quatre heures ne pouvaient pas couvrir une pénurie hivernale de plusieurs jours. De nouvelles lignes de transmission pourraient débloquer des ressources éoliennes, mais les autorisations et la construction devraient prendre de sept à dix ans.</w:t>
      </w:r>
    </w:p>
    <w:p>
      <w:pPr>
        <w:pStyle w:val="BodyText"/>
      </w:pPr>
      <w:r>
        <w:t xml:space="preserve">Exhibit 3. Alternatives opérationnelles sélectionnées</w:t>
      </w:r>
    </w:p>
    <w:tbl>
      <w:tblPr>
        <w:tblStyle w:val="Table"/>
        <w:tblW w:type="pct" w:w="4924"/>
        <w:tblLayout w:type="fixed"/>
        <w:tblLook w:firstRow="1" w:lastRow="0" w:firstColumn="0" w:lastColumn="0" w:noHBand="0" w:noVBand="0" w:val="0020"/>
      </w:tblPr>
      <w:tblGrid>
        <w:gridCol w:w="1740"/>
        <w:gridCol w:w="2160"/>
        <w:gridCol w:w="1080"/>
        <w:gridCol w:w="2820"/>
      </w:tblGrid>
      <w:tr>
        <w:trPr>
          <w:tblHeader w:val="on"/>
        </w:trPr>
        <w:tc>
          <w:tcPr/>
          <w:p>
            <w:pPr>
              <w:pStyle w:val="Compact"/>
              <w:jc w:val="left"/>
            </w:pPr>
            <w:r>
              <w:t xml:space="preserve">Alternative</w:t>
            </w:r>
          </w:p>
        </w:tc>
        <w:tc>
          <w:tcPr/>
          <w:p>
            <w:pPr>
              <w:pStyle w:val="Compact"/>
              <w:jc w:val="left"/>
            </w:pPr>
            <w:r>
              <w:t xml:space="preserve">Coût variable approximatif</w:t>
            </w:r>
          </w:p>
        </w:tc>
        <w:tc>
          <w:tcPr/>
          <w:p>
            <w:pPr>
              <w:pStyle w:val="Compact"/>
              <w:jc w:val="right"/>
            </w:pPr>
            <w:r>
              <w:t xml:space="preserve">Temps de répo</w:t>
            </w:r>
          </w:p>
        </w:tc>
        <w:tc>
          <w:tcPr/>
          <w:p>
            <w:pPr>
              <w:pStyle w:val="Compact"/>
              <w:jc w:val="left"/>
            </w:pPr>
            <w:r>
              <w:t xml:space="preserve">nse Durée / contrainte</w:t>
            </w:r>
          </w:p>
        </w:tc>
      </w:tr>
      <w:tr>
        <w:tc>
          <w:tcPr/>
          <w:p>
            <w:pPr>
              <w:pStyle w:val="Compact"/>
              <w:jc w:val="left"/>
            </w:pPr>
            <w:r>
              <w:t xml:space="preserve">Gaz à cycle combiné</w:t>
            </w:r>
          </w:p>
        </w:tc>
        <w:tc>
          <w:tcPr/>
          <w:p>
            <w:pPr>
              <w:pStyle w:val="Compact"/>
              <w:jc w:val="left"/>
            </w:pPr>
            <w:r>
              <w:t xml:space="preserve">42 $-78 $/MWh</w:t>
            </w:r>
          </w:p>
        </w:tc>
        <w:tc>
          <w:tcPr/>
          <w:p>
            <w:pPr>
              <w:pStyle w:val="Compact"/>
              <w:jc w:val="right"/>
            </w:pPr>
            <w:r>
              <w:t xml:space="preserve">10-60 minutes</w:t>
            </w:r>
          </w:p>
        </w:tc>
        <w:tc>
          <w:tcPr/>
          <w:p>
            <w:pPr>
              <w:pStyle w:val="Compact"/>
              <w:jc w:val="left"/>
            </w:pPr>
            <w:r>
              <w:t xml:space="preserve">Disponibilité du gazoduc et de l’unité</w:t>
            </w:r>
          </w:p>
        </w:tc>
      </w:tr>
      <w:tr>
        <w:tc>
          <w:tcPr/>
          <w:p>
            <w:pPr>
              <w:pStyle w:val="Compact"/>
              <w:jc w:val="left"/>
            </w:pPr>
            <w:r>
              <w:t xml:space="preserve">Gaz à cycle simple</w:t>
            </w:r>
          </w:p>
        </w:tc>
        <w:tc>
          <w:tcPr/>
          <w:p>
            <w:pPr>
              <w:pStyle w:val="Compact"/>
              <w:jc w:val="left"/>
            </w:pPr>
            <w:r>
              <w:t xml:space="preserve">85 $-150 $/MWh</w:t>
            </w:r>
          </w:p>
        </w:tc>
        <w:tc>
          <w:tcPr/>
          <w:p>
            <w:pPr>
              <w:pStyle w:val="Compact"/>
              <w:jc w:val="right"/>
            </w:pPr>
            <w:r>
              <w:t xml:space="preserve">10-20 minutes</w:t>
            </w:r>
          </w:p>
        </w:tc>
        <w:tc>
          <w:tcPr/>
          <w:p>
            <w:pPr>
              <w:pStyle w:val="Compact"/>
              <w:jc w:val="left"/>
            </w:pPr>
            <w:r>
              <w:t xml:space="preserve">Coût de combustible et émissions élevés</w:t>
            </w:r>
          </w:p>
        </w:tc>
      </w:tr>
      <w:tr>
        <w:tc>
          <w:tcPr/>
          <w:p>
            <w:pPr>
              <w:pStyle w:val="Compact"/>
              <w:jc w:val="left"/>
            </w:pPr>
            <w:r>
              <w:t xml:space="preserve">Unité de pointe au fioul</w:t>
            </w:r>
          </w:p>
        </w:tc>
        <w:tc>
          <w:tcPr/>
          <w:p>
            <w:pPr>
              <w:pStyle w:val="Compact"/>
              <w:jc w:val="left"/>
            </w:pPr>
            <w:r>
              <w:t xml:space="preserve">180 $-320 $/MWh</w:t>
            </w:r>
          </w:p>
        </w:tc>
        <w:tc>
          <w:tcPr/>
          <w:p>
            <w:pPr>
              <w:pStyle w:val="Compact"/>
              <w:jc w:val="right"/>
            </w:pPr>
            <w:r>
              <w:t xml:space="preserve">3</w:t>
            </w:r>
          </w:p>
        </w:tc>
        <w:tc>
          <w:tcPr/>
          <w:p>
            <w:pPr>
              <w:pStyle w:val="Compact"/>
              <w:jc w:val="left"/>
            </w:pPr>
            <w:r>
              <w:t xml:space="preserve">0-60 minutes Émissions les plus élevées ; inventaire de combustible limité</w:t>
            </w:r>
          </w:p>
        </w:tc>
      </w:tr>
      <w:tr>
        <w:tc>
          <w:tcPr/>
          <w:p>
            <w:pPr>
              <w:pStyle w:val="Compact"/>
              <w:jc w:val="left"/>
            </w:pPr>
            <w:r>
              <w:t xml:space="preserve">Importation de marché</w:t>
            </w:r>
          </w:p>
        </w:tc>
        <w:tc>
          <w:tcPr/>
          <w:p>
            <w:pPr>
              <w:pStyle w:val="Compact"/>
              <w:jc w:val="left"/>
            </w:pPr>
            <w:r>
              <w:t xml:space="preserve">-20 $ à 1 000 $+/MWh</w:t>
            </w:r>
          </w:p>
        </w:tc>
        <w:tc>
          <w:tcPr/>
          <w:p>
            <w:pPr>
              <w:pStyle w:val="Compact"/>
              <w:jc w:val="right"/>
            </w:pPr>
            <w:r>
              <w:t xml:space="preserve">5 minutes</w:t>
            </w:r>
          </w:p>
        </w:tc>
        <w:tc>
          <w:tcPr/>
          <w:p>
            <w:pPr>
              <w:pStyle w:val="Compact"/>
              <w:jc w:val="left"/>
            </w:pPr>
            <w:r>
              <w:t xml:space="preserve">Le prix et la disponibilité de la transmission varient</w:t>
            </w:r>
          </w:p>
        </w:tc>
      </w:tr>
      <w:tr>
        <w:tc>
          <w:tcPr/>
          <w:p>
            <w:pPr>
              <w:pStyle w:val="Compact"/>
              <w:jc w:val="left"/>
            </w:pPr>
            <w:r>
              <w:t xml:space="preserve">Batterie de quatre heures</w:t>
            </w:r>
          </w:p>
        </w:tc>
        <w:tc>
          <w:tcPr/>
          <w:p>
            <w:pPr>
              <w:pStyle w:val="Compact"/>
              <w:jc w:val="left"/>
            </w:pPr>
            <w:r>
              <w:t xml:space="preserve">Coût d’opportunité de l’éner</w:t>
            </w:r>
          </w:p>
        </w:tc>
        <w:tc>
          <w:tcPr/>
          <w:p>
            <w:pPr>
              <w:pStyle w:val="Compact"/>
              <w:jc w:val="right"/>
            </w:pPr>
            <w:r>
              <w:t xml:space="preserve">gie stockée Seco</w:t>
            </w:r>
          </w:p>
        </w:tc>
        <w:tc>
          <w:tcPr/>
          <w:p>
            <w:pPr>
              <w:pStyle w:val="Compact"/>
              <w:jc w:val="left"/>
            </w:pPr>
            <w:r>
              <w:t xml:space="preserve">ndes Énergie épuisée après une décharge prolongée</w:t>
            </w:r>
          </w:p>
        </w:tc>
      </w:tr>
      <w:tr>
        <w:tc>
          <w:tcPr/>
          <w:p>
            <w:pPr>
              <w:pStyle w:val="Compact"/>
              <w:jc w:val="left"/>
            </w:pPr>
            <w:r>
              <w:t xml:space="preserve">Réponse à la demande industri</w:t>
            </w:r>
          </w:p>
        </w:tc>
        <w:tc>
          <w:tcPr/>
          <w:p>
            <w:pPr>
              <w:pStyle w:val="Compact"/>
              <w:jc w:val="left"/>
            </w:pPr>
            <w:r>
              <w:t xml:space="preserve">elle 250 $-900 $/MWh écrêté</w:t>
            </w:r>
          </w:p>
        </w:tc>
        <w:tc>
          <w:tcPr/>
          <w:p>
            <w:pPr>
              <w:pStyle w:val="Compact"/>
              <w:jc w:val="right"/>
            </w:pPr>
            <w:r>
              <w:t xml:space="preserve">10-30 minutes</w:t>
            </w:r>
          </w:p>
        </w:tc>
        <w:tc>
          <w:tcPr/>
          <w:p>
            <w:pPr>
              <w:pStyle w:val="Compact"/>
              <w:jc w:val="left"/>
            </w:pPr>
            <w:r>
              <w:t xml:space="preserve">Participation du client et impact sur la production</w:t>
            </w:r>
          </w:p>
        </w:tc>
      </w:tr>
      <w:tr>
        <w:tc>
          <w:tcPr/>
          <w:p>
            <w:pPr>
              <w:pStyle w:val="Compact"/>
              <w:jc w:val="left"/>
            </w:pPr>
            <w:r>
              <w:t xml:space="preserve">Coupure contrôlée</w:t>
            </w:r>
          </w:p>
        </w:tc>
        <w:tc>
          <w:tcPr/>
          <w:p>
            <w:pPr>
              <w:pStyle w:val="Compact"/>
              <w:jc w:val="left"/>
            </w:pPr>
            <w:r>
              <w:t xml:space="preserve">Non valorisée comme énergie ordin</w:t>
            </w:r>
          </w:p>
        </w:tc>
        <w:tc>
          <w:tcPr/>
          <w:p>
            <w:pPr>
              <w:pStyle w:val="Compact"/>
              <w:jc w:val="right"/>
            </w:pPr>
            <w:r>
              <w:t xml:space="preserve">aire Minute</w:t>
            </w:r>
          </w:p>
        </w:tc>
        <w:tc>
          <w:tcPr/>
          <w:p>
            <w:pPr>
              <w:pStyle w:val="Compact"/>
              <w:jc w:val="left"/>
            </w:pPr>
            <w:r>
              <w:t xml:space="preserve">s Coût social, de sécurité et de réputation sévère</w:t>
            </w:r>
          </w:p>
        </w:tc>
      </w:tr>
    </w:tbl>
    <w:p>
      <w:pPr>
        <w:pStyle w:val="BodyText"/>
      </w:pPr>
      <w:r>
        <w:t xml:space="preserve">Les valeurs sont des estimations de planification fictives destinées à illustrer les différences de coût, de rapidité et d’endurance.</w:t>
      </w:r>
    </w:p>
    <w:bookmarkEnd w:id="11"/>
    <w:bookmarkStart w:id="12" w:name="Xc5c41d0dc93123ac877d69d5009c05ce93c4187"/>
    <w:p>
      <w:pPr>
        <w:pStyle w:val="Heading1"/>
      </w:pPr>
      <w:r>
        <w:t xml:space="preserve">Des investissements qui façonnent l’exploitation future</w:t>
      </w:r>
    </w:p>
    <w:p>
      <w:pPr>
        <w:pStyle w:val="FirstParagraph"/>
      </w:pPr>
      <w:r>
        <w:t xml:space="preserve">Le problème opérationnel du 22 juillet était immédiat, mais le conseil d’administration avait demandé à Marquez de recommander une stratégie de ressources pour la prochaine décennie. Le personnel avait développé cinq initiatives : une centrale au gaz de 1 000 MW ; 3 000 MW de batteries supplémentaires de quatre heures ; une expansion de transmission de 500 miles reliant les ressources éoliennes du nord ; des capteurs avancés et des évaluations dynamiques de lignes qui pourraient augmenter la capacité de transmission utilisable ; et un vaste programme de flexibilité de la demande pour les centres de données, les fabricants, les bâtiments commerciaux, les véhicules électriques et les thermostats résidentiels.</w:t>
      </w:r>
    </w:p>
    <w:p>
      <w:pPr>
        <w:pStyle w:val="BodyText"/>
      </w:pPr>
      <w:r>
        <w:t xml:space="preserve">Chaque initiative dépendait d’hypothèses hors du contrôle de BRSO. Les prix du gaz pourraient rester modérés ou augmenter fortement. Les coûts des batteries pourraient continuer à baisser, tandis que les exigences de chaîne d’approvisionnement ou de sécurité pourraient les augmenter. Les centres de données pourraient accepter un service flexible, mais seulement si les règles d’interruption étaient prévisibles. La transmission pourrait être retardée par les propriétaires terriens, les examens environnementaux, ou un désaccord entre états sur qui devrait payer. Les petits réacteurs nucléaires modulaires et le stockage de longue durée pourraient devenir commercialement viables, mais leur calendrier et leurs coûts restaient incertains.</w:t>
      </w:r>
    </w:p>
    <w:p>
      <w:pPr>
        <w:pStyle w:val="BodyText"/>
      </w:pPr>
      <w:r>
        <w:t xml:space="preserve">Les régulateurs avaient également des priorités différentes. Franklin voulait une interconnexion plus rapide des centres de données en raison des recettes fiscales et des emplois de construction. Monroe s’opposait à payer pour une transmission construite principalement pour desservir la croissance de Franklin. Easton voulait que BRSO respecte des objectifs carbone plus stricts et protège les clients à faible revenu des hausses de tarifs. Les défenseurs des consommateurs soutenaient que les nouvelles grandes charges devraient financer la capacité qu’elles nécessitent. Les développeurs de centres de données répliquaient que des frais spéciaux détourneraient l’investissement vers d’autres régions.</w:t>
      </w:r>
    </w:p>
    <w:p>
      <w:pPr>
        <w:pStyle w:val="BodyText"/>
      </w:pPr>
      <w:r>
        <w:t xml:space="preserve">Exhibit 4. Initiatives à long terme envisagées</w:t>
      </w:r>
    </w:p>
    <w:tbl>
      <w:tblPr>
        <w:tblStyle w:val="Table"/>
        <w:tblW w:type="pct" w:w="4931"/>
        <w:tblLayout w:type="fixed"/>
        <w:tblLook w:firstRow="1" w:lastRow="0" w:firstColumn="0" w:lastColumn="0" w:noHBand="0" w:noVBand="0" w:val="0020"/>
      </w:tblPr>
      <w:tblGrid>
        <w:gridCol w:w="2090"/>
        <w:gridCol w:w="1595"/>
        <w:gridCol w:w="1045"/>
        <w:gridCol w:w="3080"/>
      </w:tblGrid>
      <w:tr>
        <w:trPr>
          <w:tblHeader w:val="on"/>
        </w:trPr>
        <w:tc>
          <w:tcPr/>
          <w:p>
            <w:pPr>
              <w:pStyle w:val="Compact"/>
              <w:jc w:val="left"/>
            </w:pPr>
            <w:r>
              <w:t xml:space="preserve">Initiative</w:t>
            </w:r>
          </w:p>
        </w:tc>
        <w:tc>
          <w:tcPr/>
          <w:p>
            <w:pPr>
              <w:pStyle w:val="Compact"/>
              <w:jc w:val="left"/>
            </w:pPr>
            <w:r>
              <w:t xml:space="preserve">Coût en capital illustratif</w:t>
            </w:r>
          </w:p>
        </w:tc>
        <w:tc>
          <w:tcPr/>
          <w:p>
            <w:pPr>
              <w:pStyle w:val="Compact"/>
              <w:jc w:val="right"/>
            </w:pPr>
            <w:r>
              <w:t xml:space="preserve">Mise en service a</w:t>
            </w:r>
          </w:p>
        </w:tc>
        <w:tc>
          <w:tcPr/>
          <w:p>
            <w:pPr>
              <w:pStyle w:val="Compact"/>
              <w:jc w:val="left"/>
            </w:pPr>
            <w:r>
              <w:t xml:space="preserve">u plus tôt Question ouverte principale</w:t>
            </w:r>
          </w:p>
        </w:tc>
      </w:tr>
      <w:tr>
        <w:tc>
          <w:tcPr/>
          <w:p>
            <w:pPr>
              <w:pStyle w:val="Compact"/>
              <w:jc w:val="left"/>
            </w:pPr>
            <w:r>
              <w:t xml:space="preserve">Centrale au gaz à cycle combiné de 1 0</w:t>
            </w:r>
          </w:p>
        </w:tc>
        <w:tc>
          <w:tcPr/>
          <w:p>
            <w:pPr>
              <w:pStyle w:val="Compact"/>
              <w:jc w:val="left"/>
            </w:pPr>
            <w:r>
              <w:t xml:space="preserve">00 MW 1,4 milliard $</w:t>
            </w:r>
          </w:p>
        </w:tc>
        <w:tc>
          <w:tcPr/>
          <w:p>
            <w:pPr>
              <w:pStyle w:val="Compact"/>
              <w:jc w:val="right"/>
            </w:pPr>
            <w:r>
              <w:t xml:space="preserve">2030</w:t>
            </w:r>
          </w:p>
        </w:tc>
        <w:tc>
          <w:tcPr/>
          <w:p>
            <w:pPr>
              <w:pStyle w:val="Compact"/>
              <w:jc w:val="left"/>
            </w:pPr>
            <w:r>
              <w:t xml:space="preserve">Combustible, politique d’émissions et utilisation</w:t>
            </w:r>
          </w:p>
        </w:tc>
      </w:tr>
      <w:tr>
        <w:tc>
          <w:tcPr/>
          <w:p>
            <w:pPr>
              <w:pStyle w:val="Compact"/>
              <w:jc w:val="left"/>
            </w:pPr>
            <w:r>
              <w:t xml:space="preserve">Batteries de 3 000 MW / 12 000 MWh</w:t>
            </w:r>
          </w:p>
        </w:tc>
        <w:tc>
          <w:tcPr/>
          <w:p>
            <w:pPr>
              <w:pStyle w:val="Compact"/>
              <w:jc w:val="left"/>
            </w:pPr>
            <w:r>
              <w:t xml:space="preserve">4,2 milliards $</w:t>
            </w:r>
          </w:p>
        </w:tc>
        <w:tc>
          <w:tcPr/>
          <w:p>
            <w:pPr>
              <w:pStyle w:val="Compact"/>
              <w:jc w:val="right"/>
            </w:pPr>
            <w:r>
              <w:t xml:space="preserve">2028-2031</w:t>
            </w:r>
          </w:p>
        </w:tc>
        <w:tc>
          <w:tcPr/>
          <w:p>
            <w:pPr>
              <w:pStyle w:val="Compact"/>
              <w:jc w:val="left"/>
            </w:pPr>
            <w:r>
              <w:t xml:space="preserve">Valeur pendant les pénuries prolongées et coût de remplacement</w:t>
            </w:r>
          </w:p>
        </w:tc>
      </w:tr>
      <w:tr>
        <w:tc>
          <w:tcPr/>
          <w:p>
            <w:pPr>
              <w:pStyle w:val="Compact"/>
              <w:jc w:val="left"/>
            </w:pPr>
            <w:r>
              <w:t xml:space="preserve">Programme de transmission nord 7</w:t>
            </w:r>
          </w:p>
        </w:tc>
        <w:tc>
          <w:tcPr/>
          <w:p>
            <w:pPr>
              <w:pStyle w:val="Compact"/>
              <w:jc w:val="left"/>
            </w:pPr>
            <w:r>
              <w:t xml:space="preserve">,8 milliards $</w:t>
            </w:r>
          </w:p>
        </w:tc>
        <w:tc>
          <w:tcPr/>
          <w:p>
            <w:pPr>
              <w:pStyle w:val="Compact"/>
              <w:jc w:val="right"/>
            </w:pPr>
            <w:r>
              <w:t xml:space="preserve">2034</w:t>
            </w:r>
          </w:p>
        </w:tc>
        <w:tc>
          <w:tcPr/>
          <w:p>
            <w:pPr>
              <w:pStyle w:val="Compact"/>
              <w:jc w:val="left"/>
            </w:pPr>
            <w:r>
              <w:t xml:space="preserve">Autorisations, répartition des coûts, développement des renouvelables</w:t>
            </w:r>
          </w:p>
        </w:tc>
      </w:tr>
      <w:tr>
        <w:tc>
          <w:tcPr/>
          <w:p>
            <w:pPr>
              <w:pStyle w:val="Compact"/>
              <w:jc w:val="left"/>
            </w:pPr>
            <w:r>
              <w:t xml:space="preserve">Capteurs et évaluations dynamiques de</w:t>
            </w:r>
          </w:p>
        </w:tc>
        <w:tc>
          <w:tcPr/>
          <w:p>
            <w:pPr>
              <w:pStyle w:val="Compact"/>
              <w:jc w:val="left"/>
            </w:pPr>
            <w:r>
              <w:t xml:space="preserve">lignes 620 millions $</w:t>
            </w:r>
          </w:p>
        </w:tc>
        <w:tc>
          <w:tcPr/>
          <w:p>
            <w:pPr>
              <w:pStyle w:val="Compact"/>
              <w:jc w:val="right"/>
            </w:pPr>
            <w:r>
              <w:t xml:space="preserve">2028</w:t>
            </w:r>
          </w:p>
        </w:tc>
        <w:tc>
          <w:tcPr/>
          <w:p>
            <w:pPr>
              <w:pStyle w:val="Compact"/>
              <w:jc w:val="left"/>
            </w:pPr>
            <w:r>
              <w:t xml:space="preserve">Combien de capacité fiable est créée</w:t>
            </w:r>
          </w:p>
        </w:tc>
      </w:tr>
      <w:tr>
        <w:tc>
          <w:tcPr/>
          <w:p>
            <w:pPr>
              <w:pStyle w:val="Compact"/>
              <w:jc w:val="left"/>
            </w:pPr>
            <w:r>
              <w:t xml:space="preserve">Plateforme de charge flexible</w:t>
            </w:r>
          </w:p>
        </w:tc>
        <w:tc>
          <w:tcPr/>
          <w:p>
            <w:pPr>
              <w:pStyle w:val="Compact"/>
              <w:jc w:val="left"/>
            </w:pPr>
            <w:r>
              <w:t xml:space="preserve">850 millions $ sur 7</w:t>
            </w:r>
          </w:p>
        </w:tc>
        <w:tc>
          <w:tcPr/>
          <w:p>
            <w:pPr>
              <w:pStyle w:val="Compact"/>
              <w:jc w:val="right"/>
            </w:pPr>
            <w:r>
              <w:t xml:space="preserve">ans 2028</w:t>
            </w:r>
          </w:p>
        </w:tc>
        <w:tc>
          <w:tcPr/>
          <w:p>
            <w:pPr>
              <w:pStyle w:val="Compact"/>
              <w:jc w:val="left"/>
            </w:pPr>
            <w:r>
              <w:t xml:space="preserve">Inscription, réponse, cybersécurité, lassitude des clients</w:t>
            </w:r>
          </w:p>
        </w:tc>
      </w:tr>
      <w:tr>
        <w:tc>
          <w:tcPr/>
          <w:p>
            <w:pPr>
              <w:pStyle w:val="Compact"/>
              <w:jc w:val="left"/>
            </w:pPr>
            <w:r>
              <w:t xml:space="preserve">Démonstration de stockage longue durée</w:t>
            </w:r>
          </w:p>
        </w:tc>
        <w:tc>
          <w:tcPr/>
          <w:p>
            <w:pPr>
              <w:pStyle w:val="Compact"/>
              <w:jc w:val="left"/>
            </w:pPr>
            <w:r>
              <w:t xml:space="preserve">1,1 milliard $</w:t>
            </w:r>
          </w:p>
        </w:tc>
        <w:tc>
          <w:tcPr/>
          <w:p>
            <w:pPr>
              <w:pStyle w:val="Compact"/>
              <w:jc w:val="right"/>
            </w:pPr>
            <w:r>
              <w:t xml:space="preserve">2031</w:t>
            </w:r>
          </w:p>
        </w:tc>
        <w:tc>
          <w:tcPr/>
          <w:p>
            <w:pPr>
              <w:pStyle w:val="Compact"/>
              <w:jc w:val="left"/>
            </w:pPr>
            <w:r>
              <w:t xml:space="preserve">Performance technologique et évolutivité commerciale</w:t>
            </w:r>
          </w:p>
        </w:tc>
      </w:tr>
    </w:tbl>
    <w:p>
      <w:pPr>
        <w:pStyle w:val="BodyText"/>
      </w:pPr>
      <w:r>
        <w:t xml:space="preserve">Tous les coûts et dates sont fictifs et seraient soumis à une incertitude substantielle.</w:t>
      </w:r>
    </w:p>
    <w:bookmarkEnd w:id="12"/>
    <w:bookmarkStart w:id="13" w:name="lappel-de-14h00"/>
    <w:p>
      <w:pPr>
        <w:pStyle w:val="Heading1"/>
      </w:pPr>
      <w:r>
        <w:t xml:space="preserve">L’appel de 14h00</w:t>
      </w:r>
    </w:p>
    <w:p>
      <w:pPr>
        <w:pStyle w:val="FirstParagraph"/>
      </w:pPr>
      <w:r>
        <w:t xml:space="preserve">À 13h55, le propriétaire de Riverbend a informé BRSO que l’Unité 4 pourrait probablement rester en ligne à 500 MW, mais qu’il y avait 20 pour cent de chances que la vibration force un arrêt complet avant 19h00. Maintenir l’unité en ligne pourrait aggraver les dommages à l’équipement. Le service météorologique occidental a avancé l’arrivée prévue de l’orage de quarante-cinq minutes. Les prix d’importation en temps réel avaient doublé en quinze minutes.</w:t>
      </w:r>
    </w:p>
    <w:p>
      <w:pPr>
        <w:pStyle w:val="BodyText"/>
      </w:pPr>
      <w:r>
        <w:t xml:space="preserve">Le vice-président des opérations recommandait de démarrer immédiatement les deux unités de pointe au fioul et de préserver les batteries jusqu’après le coucher du soleil. Le directeur du marché préférait acheter des importations et attendre de meilleures informations, arguant que les unités au fioul pourraient fonctionner inutilement. La directrice du développement durable proposait d’appeler 600 MW de réponse à la demande avant 16h00, mais le conseil des clients industriels s’était plaint que BRSO avait déjà appelé quatre événements cet été-là. Le responsable de la fiabilité voulait l’autorisation pour les trois actions.</w:t>
      </w:r>
    </w:p>
    <w:p>
      <w:pPr>
        <w:pStyle w:val="BodyText"/>
      </w:pPr>
      <w:r>
        <w:t xml:space="preserve">Marquez savait également que quoi qu’il arrive, cela façonnerait le débat sur les investissements. Une soirée sans heurts pourrait être utilisée pour argumenter que les batteries et la demande flexible étaient suffisantes. Une urgence pourrait renforcer l’argument en faveur d’une centrale au gaz ou d’une expansion de transmission. Pourtant, une seule journée stressante n’était pas nécessairement représentative des vingt prochaines années.</w:t>
      </w:r>
    </w:p>
    <w:p>
      <w:pPr>
        <w:pStyle w:val="BodyText"/>
      </w:pPr>
      <w:r>
        <w:t xml:space="preserve">À 14h00, le directeur de la salle de contrôle a demandé des instructions. Marquez devait décider ce qu’il fallait engager maintenant, ce qu’il fallait conserver en réserve, et combien de risque BRSO devrait accepter en attendant des informations qui n’arriveraient qu’après la disparition de certaines options.</w:t>
      </w:r>
    </w:p>
    <w:bookmarkEnd w:id="13"/>
    <w:bookmarkStart w:id="14" w:name="questions-de-discussion"/>
    <w:p>
      <w:pPr>
        <w:pStyle w:val="Heading1"/>
      </w:pPr>
      <w:r>
        <w:t xml:space="preserve">Questions de discussion</w:t>
      </w:r>
    </w:p>
    <w:p>
      <w:pPr>
        <w:numPr>
          <w:ilvl w:val="0"/>
          <w:numId w:val="1001"/>
        </w:numPr>
      </w:pPr>
      <w:r>
        <w:t xml:space="preserve">Que devrait autoriser Marquez à 14h00 ? Quelles ressources devraient être engagées immédiatement, et lesquelles devraient être préservées pour plus tard ?</w:t>
      </w:r>
    </w:p>
    <w:p>
      <w:pPr>
        <w:numPr>
          <w:ilvl w:val="0"/>
          <w:numId w:val="1001"/>
        </w:numPr>
      </w:pPr>
      <w:r>
        <w:t xml:space="preserve">Comment BRSO devrait-il comparer une action préventive coûteuse aux conséquences graves mais de faible probabilité d’une pénurie ?</w:t>
      </w:r>
    </w:p>
    <w:p>
      <w:pPr>
        <w:numPr>
          <w:ilvl w:val="0"/>
          <w:numId w:val="1001"/>
        </w:numPr>
      </w:pPr>
      <w:r>
        <w:t xml:space="preserve">Quelle information serait la plus précieuse au cours des deux prochaines heures ? Comment BRSO pourrait-il l’obtenir ?</w:t>
      </w:r>
    </w:p>
    <w:p>
      <w:pPr>
        <w:numPr>
          <w:ilvl w:val="0"/>
          <w:numId w:val="1001"/>
        </w:numPr>
      </w:pPr>
      <w:r>
        <w:t xml:space="preserve">Comment l’opérateur devrait-il valoriser l’énergie stockée dans les batteries à différents moments de la journée ?</w:t>
      </w:r>
    </w:p>
    <w:p>
      <w:pPr>
        <w:numPr>
          <w:ilvl w:val="0"/>
          <w:numId w:val="1001"/>
        </w:numPr>
      </w:pPr>
      <w:r>
        <w:t xml:space="preserve">Quand la réponse à la demande devrait-elle être traitée comme une ressource opérationnelle ordinaire, et quand son utilisation répétée compromet-elle sa valeur future ?</w:t>
      </w:r>
    </w:p>
    <w:p>
      <w:pPr>
        <w:numPr>
          <w:ilvl w:val="0"/>
          <w:numId w:val="1001"/>
        </w:numPr>
      </w:pPr>
      <w:r>
        <w:t xml:space="preserve">Quels investissements à long terme apparaissent complémentaires, lesquels sont substituables, et comment leurs coûts devraient-ils être répartis ?</w:t>
      </w:r>
    </w:p>
    <w:p>
      <w:pPr>
        <w:pStyle w:val="FirstParagraph"/>
      </w:pPr>
      <w:r>
        <w:t xml:space="preserve">Note du cas : Ce cas fictif s’inspire conceptuellement de Warren B. Powell, « Electric Power Grid Management », Chapitre 2 de Bridging Decision Problems, Volume I: Framing the Problem. Le contexte actuel utilise l’U.S. Energy Information Administration, 12 mars 2026, et l’évaluation de fiabilité à long terme 2025 de NERC, janvier 2026. Toutes les entités, événements et chiffres de Blue River sont fictifs, et le cas n’identifie intentionnellement aucune stratégie optimale.</w:t>
      </w:r>
    </w:p>
    <w:bookmarkEnd w:id="14"/>
    <w:bookmarkStart w:id="20" w:name="questions-de-cadrage-décisionnel"/>
    <w:p>
      <w:pPr>
        <w:pStyle w:val="Heading1"/>
      </w:pPr>
      <w:r>
        <w:t xml:space="preserve">Questions de cadrage décisionnel</w:t>
      </w:r>
    </w:p>
    <w:p>
      <w:pPr>
        <w:numPr>
          <w:ilvl w:val="0"/>
          <w:numId w:val="1002"/>
        </w:numPr>
      </w:pPr>
      <w:r>
        <w:t xml:space="preserve">Identifiez et décrivez les responsabilités du décideur. Cela devrait définir le périmètre du problème.</w:t>
      </w:r>
    </w:p>
    <w:p>
      <w:pPr>
        <w:numPr>
          <w:ilvl w:val="0"/>
          <w:numId w:val="1002"/>
        </w:numPr>
      </w:pPr>
      <w:r>
        <w:t xml:space="preserve">Utilisez l’</w:t>
      </w:r>
      <w:hyperlink r:id="rId15">
        <w:r>
          <w:rPr>
            <w:rStyle w:val="Hyperlink"/>
          </w:rPr>
          <w:t xml:space="preserve">outil de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d’une cible qui est un plancher (vert clair) ou un plafond (rouge clair), ou enfin d’une cible (violet).</w:t>
      </w:r>
    </w:p>
    <w:p>
      <w:pPr>
        <w:numPr>
          <w:ilvl w:val="0"/>
          <w:numId w:val="1002"/>
        </w:numPr>
      </w:pPr>
      <w:r>
        <w:t xml:space="preserve">Utilisez l’</w:t>
      </w:r>
      <w:hyperlink r:id="rId16">
        <w:r>
          <w:rPr>
            <w:rStyle w:val="Hyperlink"/>
          </w:rPr>
          <w:t xml:space="preserve">outil de priorisation des décisions</w:t>
        </w:r>
      </w:hyperlink>
      <w:r>
        <w:t xml:space="preserve"> </w:t>
      </w:r>
      <w:r>
        <w:t xml:space="preserve">pour d’abord lister les différents types de décisions (utilisez les</w:t>
      </w:r>
      <w:r>
        <w:t xml:space="preserve"> </w:t>
      </w:r>
      <w:hyperlink r:id="rId17">
        <w:r>
          <w:rPr>
            <w:rStyle w:val="Hyperlink"/>
          </w:rPr>
          <w:t xml:space="preserve">types de décisions</w:t>
        </w:r>
      </w:hyperlink>
      <w:r>
        <w:t xml:space="preserve"> </w:t>
      </w:r>
      <w:r>
        <w:t xml:space="preserve">comme guide). Celles-ci alimenteront ensuite les lignes de la matrice à droite, où les colonnes sont les métriques de performance triées de gauche à droite selon la priorité de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le bas. Triez les lignes afin que les décisions ayant le plus grand impact sur les métriques les plus importantes soient vers le haut. Les cellules dans le coin supérieur gauche devraient présenter la plus grande concentration de cellules rouges et orange. À ce stade, identifiez les décisions qui devraient recevoir le plus d’attention dans votre étude. Si vous n’avez aucune décision ayant un impact moyen ou élevé sur les métriques les plus importantes, révisez votre liste de décisions.</w:t>
      </w:r>
    </w:p>
    <w:p>
      <w:pPr>
        <w:numPr>
          <w:ilvl w:val="0"/>
          <w:numId w:val="1002"/>
        </w:numPr>
      </w:pPr>
      <w:r>
        <w:t xml:space="preserve">Répétez le processus pour lister et prioriser les incertitudes en utilisant l’</w:t>
      </w:r>
      <w:hyperlink r:id="rId18">
        <w:r>
          <w:rPr>
            <w:rStyle w:val="Hyperlink"/>
          </w:rPr>
          <w:t xml:space="preserve">outil de priorisation des incertitudes</w:t>
        </w:r>
      </w:hyperlink>
      <w:r>
        <w:t xml:space="preserve">. Utilisez les</w:t>
      </w:r>
      <w:r>
        <w:t xml:space="preserve"> </w:t>
      </w:r>
      <w:hyperlink r:id="rId19">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captées en utilisant la performance moyenne dans le temps ?</w:t>
      </w:r>
    </w:p>
    <w:p>
      <w:pPr>
        <w:numPr>
          <w:ilvl w:val="1"/>
          <w:numId w:val="1003"/>
        </w:numPr>
      </w:pPr>
      <w:r>
        <w:t xml:space="preserve">Quelles sources d’incertitude représentent des formes de risque qui ne sont pas correctement captées en utilisant des moyennes ?</w:t>
      </w:r>
    </w:p>
    <w:p>
      <w:pPr>
        <w:numPr>
          <w:ilvl w:val="0"/>
          <w:numId w:val="1002"/>
        </w:numPr>
      </w:pPr>
      <w:r>
        <w:t xml:space="preserve">Choisissez la décision unique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pour laquelle la décision aurait un impact élevé ou moyen.</w:t>
      </w:r>
    </w:p>
    <w:p>
      <w:pPr>
        <w:numPr>
          <w:ilvl w:val="0"/>
          <w:numId w:val="1002"/>
        </w:numPr>
      </w:pPr>
      <w:r>
        <w:t xml:space="preserve">En utilisant la même décision que vous avez identifiée en (7), identifiez les personnes, départements, groupes ou organisations avec lesquels vous devriez travailler pour mettre en œuvre la décision.</w:t>
      </w:r>
    </w:p>
    <w:bookmarkEnd w:id="20"/>
    <w:bookmarkStart w:id="23" w:name="notes-de-chatgpt"/>
    <w:p>
      <w:pPr>
        <w:pStyle w:val="Heading1"/>
      </w:pPr>
      <w:r>
        <w:t xml:space="preserve">Notes de ChatGPT</w:t>
      </w:r>
    </w:p>
    <w:bookmarkStart w:id="21" w:name="invite"/>
    <w:p>
      <w:pPr>
        <w:pStyle w:val="Heading2"/>
      </w:pPr>
      <w:r>
        <w:t xml:space="preserve">Invite</w:t>
      </w:r>
    </w:p>
    <w:p>
      <w:pPr>
        <w:pStyle w:val="FirstParagraph"/>
      </w:pPr>
      <w:r>
        <w:t xml:space="preserve">Rédigez une étude de cas de 4 à 6 pages basée sur le contenu de la section à l’adresse https://warrenpowell.org/bridging-vol1/chapter-2/#electric-power-grid-management. Créez un contexte fondé sur les métriques, les décisions et les incertitudes présentes dans la section, mais sans y attirer explicitement l’attention. Motivez votre problème de cas avec des données.</w:t>
      </w:r>
    </w:p>
    <w:bookmarkEnd w:id="21"/>
    <w:bookmarkStart w:id="22" w:name="résumé"/>
    <w:p>
      <w:pPr>
        <w:pStyle w:val="Heading2"/>
      </w:pPr>
      <w:r>
        <w:t xml:space="preserve">Résumé</w:t>
      </w:r>
    </w:p>
    <w:p>
      <w:pPr>
        <w:pStyle w:val="FirstParagraph"/>
      </w:pPr>
      <w:r>
        <w:t xml:space="preserve">Le cas place un opérateur de réseau régional fictif au cœur d’une journée de demande estivale record. Il doit décider comment répondre à une production solaire et éolienne incertaine, un générateur au gaz potentiellement défaillant, des prix de marché en hausse, une durée limitée des batteries, des contraintes de transmission et une participation incertaine à la réponse à la demande.</w:t>
      </w:r>
    </w:p>
    <w:p>
      <w:pPr>
        <w:pStyle w:val="BodyText"/>
      </w:pPr>
      <w:r>
        <w:t xml:space="preserve">Il comprend :</w:t>
      </w:r>
    </w:p>
    <w:p>
      <w:pPr>
        <w:numPr>
          <w:ilvl w:val="0"/>
          <w:numId w:val="1005"/>
        </w:numPr>
      </w:pPr>
      <w:r>
        <w:t xml:space="preserve">Des décisions opérationnelles à l’horizon d’une heure et en temps réel</w:t>
      </w:r>
    </w:p>
    <w:p>
      <w:pPr>
        <w:numPr>
          <w:ilvl w:val="0"/>
          <w:numId w:val="1005"/>
        </w:numPr>
      </w:pPr>
      <w:r>
        <w:t xml:space="preserve">Des ressources nucléaires, au charbon, au gaz, au fioul, éoliennes, solaires, hydroélectriques, d’importation et de batteries</w:t>
      </w:r>
    </w:p>
    <w:p>
      <w:pPr>
        <w:numPr>
          <w:ilvl w:val="0"/>
          <w:numId w:val="1005"/>
        </w:numPr>
      </w:pPr>
      <w:r>
        <w:t xml:space="preserve">Des temps de démarrage de générateurs et des différences de coûts d’exploitation</w:t>
      </w:r>
    </w:p>
    <w:p>
      <w:pPr>
        <w:numPr>
          <w:ilvl w:val="0"/>
          <w:numId w:val="1005"/>
        </w:numPr>
      </w:pPr>
      <w:r>
        <w:t xml:space="preserve">Des marchés d’électricité à cinq minutes et une régulation de fréquence seconde par seconde</w:t>
      </w:r>
    </w:p>
    <w:p>
      <w:pPr>
        <w:numPr>
          <w:ilvl w:val="0"/>
          <w:numId w:val="1005"/>
        </w:numPr>
      </w:pPr>
      <w:r>
        <w:t xml:space="preserve">Des incertitudes météorologiques, de défaillance d’équipement, de prix du combustible, réglementaires et technologiques</w:t>
      </w:r>
    </w:p>
    <w:p>
      <w:pPr>
        <w:numPr>
          <w:ilvl w:val="0"/>
          <w:numId w:val="1005"/>
        </w:numPr>
      </w:pPr>
      <w:r>
        <w:t xml:space="preserve">Des conflits entre fiabilité, coût pour le client, émissions et continuité de service</w:t>
      </w:r>
    </w:p>
    <w:p>
      <w:pPr>
        <w:numPr>
          <w:ilvl w:val="0"/>
          <w:numId w:val="1005"/>
        </w:numPr>
      </w:pPr>
      <w:r>
        <w:t xml:space="preserve">Des alternatives à long terme impliquant la production au gaz, les batteries, la transmission, les capteurs de réseau, la demande flexible et le stockage de longue durée</w:t>
      </w:r>
    </w:p>
    <w:p>
      <w:pPr>
        <w:numPr>
          <w:ilvl w:val="0"/>
          <w:numId w:val="1005"/>
        </w:numPr>
      </w:pPr>
      <w:r>
        <w:t xml:space="preserve">Quatre pièces quantitatives et un point de décision non résolu</w:t>
      </w:r>
    </w:p>
    <w:p>
      <w:pPr>
        <w:pStyle w:val="FirstParagraph"/>
      </w:pPr>
      <w:r>
        <w:t xml:space="preserve">Le contexte commercial s’inspire des conclusions de l’EIA selon lesquelles la demande d’électricité aux États-Unis a crû d’environ 1,7 % par an de 2020 à 2025, après environ une décennie de croissance quasi nulle. L’évaluation de 2025 de NERC prévoyait 224 GW de demande de pointe estivale supplémentaire sur dix ans, les centres de données représentant une grande part de cette augmentation.</w:t>
      </w:r>
    </w:p>
    <w:p>
      <w:pPr>
        <w:pStyle w:val="BodyText"/>
      </w:pPr>
      <w:r>
        <w:t xml:space="preserve">Le cas suit la structure de la section spécifiée sur la gestion du réseau électrique sans séparer explicitement ses mesures de performance sous-jacentes, ses actions disponibles et ses sources d’incertitude.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arrenpowell.org/decision-framing-tool/#decision-prioritization-tool" TargetMode="External" /><Relationship Type="http://schemas.openxmlformats.org/officeDocument/2006/relationships/hyperlink" Id="rId15" Target="https://warrenpowell.org/decision-framing-tool/#metrics-pyramid-tool" TargetMode="External" /><Relationship Type="http://schemas.openxmlformats.org/officeDocument/2006/relationships/hyperlink" Id="rId18" Target="https://warrenpowell.org/decision-framing-tool/#uncertainty-prioritization-tool" TargetMode="External" /><Relationship Type="http://schemas.openxmlformats.org/officeDocument/2006/relationships/hyperlink" Id="rId17" Target="https://warrenpowell.org/decisionsdecisions/#types-of-decision-settings" TargetMode="External" /><Relationship Type="http://schemas.openxmlformats.org/officeDocument/2006/relationships/hyperlink" Id="rId19"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6" Target="https://warrenpowell.org/decision-framing-tool/#decision-prioritization-tool" TargetMode="External" /><Relationship Type="http://schemas.openxmlformats.org/officeDocument/2006/relationships/hyperlink" Id="rId15" Target="https://warrenpowell.org/decision-framing-tool/#metrics-pyramid-tool" TargetMode="External" /><Relationship Type="http://schemas.openxmlformats.org/officeDocument/2006/relationships/hyperlink" Id="rId18" Target="https://warrenpowell.org/decision-framing-tool/#uncertainty-prioritization-tool" TargetMode="External" /><Relationship Type="http://schemas.openxmlformats.org/officeDocument/2006/relationships/hyperlink" Id="rId17" Target="https://warrenpowell.org/decisionsdecisions/#types-of-decision-settings" TargetMode="External" /><Relationship Type="http://schemas.openxmlformats.org/officeDocument/2006/relationships/hyperlink" Id="rId19"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2026-09-11T15:37:06Z</dcterms:created>
  <dcterms:modified xsi:type="dcterms:W3CDTF">2026-09-11T15:37:06Z</dcterms:modified>
</cp:coreProperties>
</file>

<file path=docProps/custom.xml><?xml version="1.0" encoding="utf-8"?>
<Properties xmlns="http://schemas.openxmlformats.org/officeDocument/2006/custom-properties" xmlns:vt="http://schemas.openxmlformats.org/officeDocument/2006/docPropsVTypes"/>
</file>