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UNE ÉTUDE DE CAS PÉDAGOGIQUE D’ÉCOLE DE COMMERCE | JUILLET 2026</w:t>
      </w:r>
    </w:p>
    <w:p>
      <w:pPr>
        <w:pStyle w:val="BodyText"/>
      </w:pPr>
      <w:r>
        <w:t xml:space="preserve">BrightNest Home Services</w:t>
      </w:r>
    </w:p>
    <w:p>
      <w:pPr>
        <w:pStyle w:val="BodyText"/>
      </w:pPr>
      <w:r>
        <w:t xml:space="preserve">Le dilemme du lancement à double face</w:t>
      </w:r>
    </w:p>
    <w:p>
      <w:pPr>
        <w:pStyle w:val="BodyText"/>
      </w:pPr>
      <w:r>
        <w:t xml:space="preserve">Toutes les organisations et personnes mentionnées dans ce cas sont fictives. Les statistiques publiques ne sont utilisées que pour établir le contexte de marché et de main-d’œuvre. Ce cas n’identifie intentionnellement pas de solution préférée.</w:t>
      </w:r>
    </w:p>
    <w:p>
      <w:pPr>
        <w:pStyle w:val="BodyText"/>
      </w:pPr>
      <w:r>
        <w:t xml:space="preserve">À 7 h 15 un lundi de juillet 2026, Maya Chen, fondatrice et directrice générale de BrightNest Home Services, ouvrit un tableau de bord qui semblait confirmer à la fois la promesse et le danger de l’entreprise qu’elle avait bâtie. Dans ses trois marchés pilotes, 2 840 foyers avaient demandé un premier nettoyage au cours des six semaines précédentes. Pourtant, BrightNest n’avait réalisé que 1 910 rendez-vous. Près d’un client sur cinq avait attendu plus de sept jours, et 14 pour cent des travaux planifiés avaient dû être réattribués après qu’un agent de nettoyage eut annulé ou omis de confirmer.</w:t>
      </w:r>
    </w:p>
    <w:p>
      <w:pPr>
        <w:pStyle w:val="BodyText"/>
      </w:pPr>
      <w:r>
        <w:t xml:space="preserve">L’entreprise avait levé 18 millions de dollars pour bâtir un service de nettoyage résidentiel assisté par la technologie. Les clients pouvaient demander un nettoyage ponctuel ou récurrent via une application, recevoir un prix instantané, sélectionner une plage horaire et évaluer le travail effectué. BrightNest prévoyait de recruter les agents de nettoyage via une plateforme nationale de recherche d’emploi capable d’annoncer des opportunités de nettoyage flexibles dans chaque grand marché du travail américain. Le concept semblait extensible : la publicité pouvait générer des clients et la plateforme d’emploi pouvait générer des travailleurs. L’économie était moins accommodante.</w:t>
      </w:r>
    </w:p>
    <w:p>
      <w:pPr>
        <w:pStyle w:val="BodyText"/>
      </w:pPr>
      <w:r>
        <w:t xml:space="preserve">BrightNest facturait en moyenne 168 $ pour un premier nettoyage standard et 142 $ pour une visite récurrente. Pour attirer les clients, l’entreprise avait testé des remises allant de 20 à 40 pour cent. Pour attirer les agents de nettoyage, elle annonçait des gains de 24 à 30 $ par heure de nettoyage active, des horaires flexibles, un paiement instantané et des suppléments kilométriques dans certaines zones. Une fois inclus le temps de déplacement, les charges sociales ou frais de sous-traitance, l’assurance, les dépenses d’acquisition de clients, les fournitures de nettoyage, les remboursements et les coûts de support, plusieurs combinaisons client-agent de nettoyage généraient une perte.</w:t>
      </w:r>
    </w:p>
    <w:p>
      <w:pPr>
        <w:pStyle w:val="BodyText"/>
      </w:pPr>
      <w:r>
        <w:t xml:space="preserve">Chen avait promis au conseil d’administration une recommandation de lancement dans quatre semaines. Le conseil voulait savoir si BrightNest devait entrer dans cinq zones métropolitaines soigneusement sélectionnées, se lancer dans 25 villes en utilisant la plateforme d’emploi, ou s’ouvrir à l’échelle nationale et laisser l’offre et la demande émerger de manière organique. La décision dépendait de plus que la seule taille du marché. BrightNest avait besoin d’un nombre suffisant d’agents de nettoyage dans chaque quartier, aux bonnes heures, avec des moyens de transport fiables et un équipement approprié. Elle avait également besoin de clients dont la volonté de payer puisse soutenir une rémunération attractive.</w:t>
      </w:r>
    </w:p>
    <w:bookmarkStart w:id="9" w:name="un-marché-vaste-mais-difficile-à-mesurer"/>
    <w:p>
      <w:pPr>
        <w:pStyle w:val="Heading1"/>
      </w:pPr>
      <w:r>
        <w:t xml:space="preserve">Un marché vaste mais difficile à mesurer</w:t>
      </w:r>
    </w:p>
    <w:p>
      <w:pPr>
        <w:pStyle w:val="FirstParagraph"/>
      </w:pPr>
      <w:r>
        <w:t xml:space="preserve">Le nettoyage résidentiel s’inscrit dans un marché fragmenté qui comprend des entreprises locales, des franchises, des travailleurs indépendants, des arrangements informels et des services médiés par application. Les États-Unis comptaient environ 132 millions de foyers au milieu des années 2020. BrightNest estimait que 5 à 12 pour cent achetaient un service de nettoyage résidentiel payant au moins une fois par an, tandis qu’une part bien plus faible achetait un service hebdomadaire ou bimensuel. Comme de nombreuses transactions impliquent des travailleurs indépendants ou des arrangements informels, le chiffre d’affaires national est difficile à observer directement.</w:t>
      </w:r>
    </w:p>
    <w:p>
      <w:pPr>
        <w:pStyle w:val="BodyText"/>
      </w:pPr>
      <w:r>
        <w:t xml:space="preserve">Les données du recensement montraient l’importance des prestataires indépendants dans les travaux de nettoyage connexes : les entreprises individuelles dans les services de conciergerie ont généré environ 20 milliards de dollars de recettes en 2023. BrightNest estimait que le nettoyage résidentiel représentait une opportunité de plusieurs milliards de dollars, mais la direction était en désaccord marqué sur le marché desservable pour une application de marque à des prix suffisamment élevés pour soutenir la qualité, l’assurance et une main-d’œuvre fiable.</w:t>
      </w:r>
    </w:p>
    <w:bookmarkEnd w:id="9"/>
    <w:bookmarkStart w:id="11" w:name="la-machine-dacquisition-de-clients"/>
    <w:p>
      <w:pPr>
        <w:pStyle w:val="Heading1"/>
      </w:pPr>
      <w:r>
        <w:t xml:space="preserve">La machine d’acquisition de clients</w:t>
      </w:r>
    </w:p>
    <w:p>
      <w:pPr>
        <w:pStyle w:val="FirstParagraph"/>
      </w:pPr>
      <w:r>
        <w:t xml:space="preserve">L’équipe de croissance avait organisé l’acquisition de clients autour de quatre canaux : la recherche payante, les réseaux sociaux, les places de marché numériques locales et les programmes de parrainage de voisinage. Chaque canal produisait un mix différent de clients. La publicité de recherche attirait des personnes ayant une intention immédiate mais était coûteuse. Les réseaux sociaux généraient des prospects à bas coût mais avec de faibles taux de réservation. Les crédits de parrainage produisaient des clients fidèles mais mettaient du temps à se développer. Les partenariats avec les gestionnaires d’immeubles, les agents immobiliers et les employeurs offraient des blocs de demande plus importants mais nécessitaient généralement des remises ou des garanties de service.</w:t>
      </w:r>
    </w:p>
    <w:p>
      <w:pPr>
        <w:pStyle w:val="BodyText"/>
      </w:pPr>
      <w:r>
        <w:t xml:space="preserve">La remise sur le premier nettoyage était la source du plus grand désaccord. La directrice de la croissance soutenait qu’une première visite à prix réduit diminuait le risque perçu par les clients et donnait à l’entreprise l’occasion de les convertir en clients récurrents. Le directeur financier considérait les fortes remises comme un mécanisme d’attraction de clients sensibles au prix qui pourraient ne jamais repasser commande. Les responsables des opérations craignaient que les promotions ne créent une vague de réservations avant qu’un vivier local d’agents de nettoyage ne soit prêt.</w:t>
      </w:r>
    </w:p>
    <w:bookmarkStart w:id="10" w:name="Xa8551974bf05fbd9d62930358d3b1353fede0f4"/>
    <w:p>
      <w:pPr>
        <w:pStyle w:val="Heading2"/>
      </w:pPr>
      <w:r>
        <w:t xml:space="preserve">Exhibit 1. Résultats de l’acquisition de clients pilotes</w:t>
      </w:r>
    </w:p>
    <w:tbl>
      <w:tblPr>
        <w:tblStyle w:val="Table"/>
        <w:tblW w:type="pct" w:w="4935"/>
        <w:tblLayout w:type="fixed"/>
        <w:tblLook w:firstRow="1" w:lastRow="0" w:firstColumn="0" w:lastColumn="0" w:noHBand="0" w:noVBand="0" w:val="0020"/>
      </w:tblPr>
      <w:tblGrid>
        <w:gridCol w:w="1800"/>
        <w:gridCol w:w="1954"/>
        <w:gridCol w:w="874"/>
        <w:gridCol w:w="1491"/>
        <w:gridCol w:w="1697"/>
      </w:tblGrid>
      <w:tr>
        <w:trPr>
          <w:tblHeader w:val="on"/>
        </w:trPr>
        <w:tc>
          <w:tcPr/>
          <w:p>
            <w:pPr>
              <w:pStyle w:val="Compact"/>
              <w:jc w:val="left"/>
            </w:pPr>
            <w:r>
              <w:t xml:space="preserve">Canal</w:t>
            </w:r>
          </w:p>
        </w:tc>
        <w:tc>
          <w:tcPr/>
          <w:p>
            <w:pPr>
              <w:pStyle w:val="Compact"/>
            </w:pPr>
            <w:r>
              <w:t xml:space="preserve">Coût par premier nettoyage réservé R</w:t>
            </w:r>
          </w:p>
        </w:tc>
        <w:tc>
          <w:tcPr/>
          <w:p>
            <w:pPr>
              <w:pStyle w:val="Compact"/>
            </w:pPr>
            <w:r>
              <w:t xml:space="preserve">emise moyenne T</w:t>
            </w:r>
          </w:p>
        </w:tc>
        <w:tc>
          <w:tcPr/>
          <w:p>
            <w:pPr>
              <w:pStyle w:val="Compact"/>
            </w:pPr>
            <w:r>
              <w:t xml:space="preserve">aux de retour à 30 jours Ta</w:t>
            </w:r>
          </w:p>
        </w:tc>
        <w:tc>
          <w:tcPr/>
          <w:p>
            <w:pPr>
              <w:pStyle w:val="Compact"/>
              <w:jc w:val="left"/>
            </w:pPr>
            <w:r>
              <w:t xml:space="preserve">ux d’annulation/remboursement</w:t>
            </w:r>
          </w:p>
        </w:tc>
      </w:tr>
      <w:tr>
        <w:tc>
          <w:tcPr/>
          <w:p>
            <w:pPr>
              <w:pStyle w:val="Compact"/>
              <w:jc w:val="left"/>
            </w:pPr>
            <w:r>
              <w:t xml:space="preserve">Recherche payante</w:t>
            </w:r>
          </w:p>
        </w:tc>
        <w:tc>
          <w:tcPr/>
          <w:p>
            <w:pPr>
              <w:pStyle w:val="Compact"/>
            </w:pPr>
            <w:r>
              <w:t xml:space="preserve">72 $</w:t>
            </w:r>
          </w:p>
        </w:tc>
        <w:tc>
          <w:tcPr/>
          <w:p>
            <w:pPr>
              <w:pStyle w:val="Compact"/>
            </w:pPr>
            <w:r>
              <w:t xml:space="preserve">25%</w:t>
            </w:r>
          </w:p>
        </w:tc>
        <w:tc>
          <w:tcPr/>
          <w:p>
            <w:pPr>
              <w:pStyle w:val="Compact"/>
            </w:pPr>
            <w:r>
              <w:t xml:space="preserve">31%</w:t>
            </w:r>
          </w:p>
        </w:tc>
        <w:tc>
          <w:tcPr/>
          <w:p>
            <w:pPr>
              <w:pStyle w:val="Compact"/>
              <w:jc w:val="left"/>
            </w:pPr>
            <w:r>
              <w:t xml:space="preserve">9%</w:t>
            </w:r>
          </w:p>
        </w:tc>
      </w:tr>
      <w:tr>
        <w:tc>
          <w:tcPr/>
          <w:p>
            <w:pPr>
              <w:pStyle w:val="Compact"/>
              <w:jc w:val="left"/>
            </w:pPr>
            <w:r>
              <w:t xml:space="preserve">Réseaux sociaux</w:t>
            </w:r>
          </w:p>
        </w:tc>
        <w:tc>
          <w:tcPr/>
          <w:p>
            <w:pPr>
              <w:pStyle w:val="Compact"/>
            </w:pPr>
            <w:r>
              <w:t xml:space="preserve">48 $</w:t>
            </w:r>
          </w:p>
        </w:tc>
        <w:tc>
          <w:tcPr/>
          <w:p>
            <w:pPr>
              <w:pStyle w:val="Compact"/>
            </w:pPr>
            <w:r>
              <w:t xml:space="preserve">35%</w:t>
            </w:r>
          </w:p>
        </w:tc>
        <w:tc>
          <w:tcPr/>
          <w:p>
            <w:pPr>
              <w:pStyle w:val="Compact"/>
            </w:pPr>
            <w:r>
              <w:t xml:space="preserve">18%</w:t>
            </w:r>
          </w:p>
        </w:tc>
        <w:tc>
          <w:tcPr/>
          <w:p>
            <w:pPr>
              <w:pStyle w:val="Compact"/>
              <w:jc w:val="left"/>
            </w:pPr>
            <w:r>
              <w:t xml:space="preserve">14%</w:t>
            </w:r>
          </w:p>
        </w:tc>
      </w:tr>
      <w:tr>
        <w:tc>
          <w:tcPr/>
          <w:p>
            <w:pPr>
              <w:pStyle w:val="Compact"/>
              <w:jc w:val="left"/>
            </w:pPr>
            <w:r>
              <w:t xml:space="preserve">Parrainages de voisinage</w:t>
            </w:r>
          </w:p>
        </w:tc>
        <w:tc>
          <w:tcPr/>
          <w:p>
            <w:pPr>
              <w:pStyle w:val="Compact"/>
            </w:pPr>
            <w:r>
              <w:t xml:space="preserve">39 $</w:t>
            </w:r>
          </w:p>
        </w:tc>
        <w:tc>
          <w:tcPr/>
          <w:p>
            <w:pPr>
              <w:pStyle w:val="Compact"/>
            </w:pPr>
            <w:r>
              <w:t xml:space="preserve">15%</w:t>
            </w:r>
          </w:p>
        </w:tc>
        <w:tc>
          <w:tcPr/>
          <w:p>
            <w:pPr>
              <w:pStyle w:val="Compact"/>
            </w:pPr>
            <w:r>
              <w:t xml:space="preserve">46%</w:t>
            </w:r>
          </w:p>
        </w:tc>
        <w:tc>
          <w:tcPr/>
          <w:p>
            <w:pPr>
              <w:pStyle w:val="Compact"/>
              <w:jc w:val="left"/>
            </w:pPr>
            <w:r>
              <w:t xml:space="preserve">6%</w:t>
            </w:r>
          </w:p>
        </w:tc>
      </w:tr>
      <w:tr>
        <w:tc>
          <w:tcPr/>
          <w:p>
            <w:pPr>
              <w:pStyle w:val="Compact"/>
              <w:jc w:val="left"/>
            </w:pPr>
            <w:r>
              <w:t xml:space="preserve">Partenaires propriétés/employeurs</w:t>
            </w:r>
          </w:p>
        </w:tc>
        <w:tc>
          <w:tcPr/>
          <w:p>
            <w:pPr>
              <w:pStyle w:val="Compact"/>
            </w:pPr>
            <w:r>
              <w:t xml:space="preserve">61 $</w:t>
            </w:r>
          </w:p>
        </w:tc>
        <w:tc>
          <w:tcPr/>
          <w:p>
            <w:pPr>
              <w:pStyle w:val="Compact"/>
            </w:pPr>
            <w:r>
              <w:t xml:space="preserve">22%</w:t>
            </w:r>
          </w:p>
        </w:tc>
        <w:tc>
          <w:tcPr/>
          <w:p>
            <w:pPr>
              <w:pStyle w:val="Compact"/>
            </w:pPr>
            <w:r>
              <w:t xml:space="preserve">38%</w:t>
            </w:r>
          </w:p>
        </w:tc>
        <w:tc>
          <w:tcPr/>
          <w:p>
            <w:pPr>
              <w:pStyle w:val="Compact"/>
              <w:jc w:val="left"/>
            </w:pPr>
            <w:r>
              <w:t xml:space="preserve">7%</w:t>
            </w:r>
          </w:p>
        </w:tc>
      </w:tr>
      <w:tr>
        <w:tc>
          <w:tcPr/>
          <w:p>
            <w:pPr>
              <w:pStyle w:val="Compact"/>
              <w:jc w:val="left"/>
            </w:pPr>
            <w:r>
              <w:t xml:space="preserve">Places de marché de services locaux</w:t>
            </w:r>
          </w:p>
        </w:tc>
        <w:tc>
          <w:tcPr/>
          <w:p>
            <w:pPr>
              <w:pStyle w:val="Compact"/>
            </w:pPr>
            <w:r>
              <w:t xml:space="preserve">84 $</w:t>
            </w:r>
          </w:p>
        </w:tc>
        <w:tc>
          <w:tcPr/>
          <w:p>
            <w:pPr>
              <w:pStyle w:val="Compact"/>
            </w:pPr>
            <w:r>
              <w:t xml:space="preserve">18%</w:t>
            </w:r>
          </w:p>
        </w:tc>
        <w:tc>
          <w:tcPr/>
          <w:p>
            <w:pPr>
              <w:pStyle w:val="Compact"/>
            </w:pPr>
            <w:r>
              <w:t xml:space="preserve">27%</w:t>
            </w:r>
          </w:p>
        </w:tc>
        <w:tc>
          <w:tcPr/>
          <w:p>
            <w:pPr>
              <w:pStyle w:val="Compact"/>
              <w:jc w:val="left"/>
            </w:pPr>
            <w:r>
              <w:t xml:space="preserve">12%</w:t>
            </w:r>
          </w:p>
        </w:tc>
      </w:tr>
    </w:tbl>
    <w:p>
      <w:pPr>
        <w:pStyle w:val="BodyText"/>
      </w:pPr>
      <w:r>
        <w:t xml:space="preserve">Un client ayant réservé une seule fois générait un chiffre d’affaires immédiat mais peu de valeur à long terme. Un client récurrent pouvait réserver 12 à 24 visites par an, mais seulement si le premier nettoyage répondait aux attentes et si l’entreprise pouvait offrir des horaires de rendez-vous cohérents. BrightNest n’avait pas encore appris si les clients étaient fidèles à la marque, à un agent de nettoyage en particulier, ou simplement au prix le plus bas disponible.</w:t>
      </w:r>
    </w:p>
    <w:bookmarkEnd w:id="10"/>
    <w:bookmarkEnd w:id="11"/>
    <w:bookmarkStart w:id="13" w:name="estimation-de-la-demande"/>
    <w:p>
      <w:pPr>
        <w:pStyle w:val="Heading1"/>
      </w:pPr>
      <w:r>
        <w:t xml:space="preserve">Estimation de la demande</w:t>
      </w:r>
    </w:p>
    <w:p>
      <w:pPr>
        <w:pStyle w:val="FirstParagraph"/>
      </w:pPr>
      <w:r>
        <w:t xml:space="preserve">La direction a construit une estimation de la demande de type descendant. En partant d’environ 132 millions de foyers américains, elle a supposé que 7,5 pour cent achèteraient au moins un nettoyage professionnel par an. Avec une moyenne de six visites et 150 $ par visite, cela impliquait des dépenses annuelles approchant 9 milliards de dollars. Une hypothèse plus large de 12 pour cent de taux de participation et huit visites impliquait plus de 19 milliards de dollars. L’équipe a qualifié les deux chiffres d’« hypothèses de marché », et non de prévisions.</w:t>
      </w:r>
    </w:p>
    <w:p>
      <w:pPr>
        <w:pStyle w:val="BodyText"/>
      </w:pPr>
      <w:r>
        <w:t xml:space="preserve">L’estimation ascendante était moins généreuse. Dans les 30 zones métropolitaines initialement présélectionnées, BrightNest a identifié 24 millions de foyers. En se basant sur le revenu, la composition du foyer, le type de logement, le comportement d’achat numérique et les prix des services locaux, elle a classé 3,7 millions comme clients plausibles pour un service récurrent. Capturer 1 pour cent de ce groupe créerait 37 000 clients. À raison de 15 nettoyages annuels par client, cela nécessiterait plus de 550 000 visites achevées par an - soit environ 2 200 visites chaque jour de semaine.</w:t>
      </w:r>
    </w:p>
    <w:bookmarkStart w:id="12" w:name="X4b7cb1b1d8244e77b8f25bb53eaa640cab39fad"/>
    <w:p>
      <w:pPr>
        <w:pStyle w:val="Heading2"/>
      </w:pPr>
      <w:r>
        <w:t xml:space="preserve">Exhibit 2. Scénarios illustratifs de demande nationale</w:t>
      </w:r>
    </w:p>
    <w:tbl>
      <w:tblPr>
        <w:tblStyle w:val="Table"/>
        <w:tblW w:type="pct" w:w="4924"/>
        <w:tblLayout w:type="fixed"/>
        <w:tblLook w:firstRow="1" w:lastRow="0" w:firstColumn="0" w:lastColumn="0" w:noHBand="0" w:noVBand="0" w:val="0020"/>
      </w:tblPr>
      <w:tblGrid>
        <w:gridCol w:w="900"/>
        <w:gridCol w:w="2460"/>
        <w:gridCol w:w="1860"/>
        <w:gridCol w:w="900"/>
        <w:gridCol w:w="1680"/>
      </w:tblGrid>
      <w:tr>
        <w:trPr>
          <w:tblHeader w:val="on"/>
        </w:trPr>
        <w:tc>
          <w:tcPr/>
          <w:p>
            <w:pPr>
              <w:pStyle w:val="Compact"/>
              <w:jc w:val="left"/>
            </w:pPr>
            <w:r>
              <w:t xml:space="preserve">Scénario</w:t>
            </w:r>
          </w:p>
        </w:tc>
        <w:tc>
          <w:tcPr/>
          <w:p>
            <w:pPr>
              <w:pStyle w:val="Compact"/>
            </w:pPr>
            <w:r>
              <w:t xml:space="preserve">Foyers utilisant un nettoyage payant Vi</w:t>
            </w:r>
          </w:p>
        </w:tc>
        <w:tc>
          <w:tcPr/>
          <w:p>
            <w:pPr>
              <w:pStyle w:val="Compact"/>
            </w:pPr>
            <w:r>
              <w:t xml:space="preserve">sites annuelles moyennes Prix</w:t>
            </w:r>
          </w:p>
        </w:tc>
        <w:tc>
          <w:tcPr/>
          <w:p>
            <w:pPr>
              <w:pStyle w:val="Compact"/>
              <w:jc w:val="right"/>
            </w:pPr>
            <w:r>
              <w:t xml:space="preserve">moyen Demand</w:t>
            </w:r>
          </w:p>
        </w:tc>
        <w:tc>
          <w:tcPr/>
          <w:p>
            <w:pPr>
              <w:pStyle w:val="Compact"/>
              <w:jc w:val="left"/>
            </w:pPr>
            <w:r>
              <w:t xml:space="preserve">e annuelle estimée</w:t>
            </w:r>
          </w:p>
        </w:tc>
      </w:tr>
      <w:tr>
        <w:tc>
          <w:tcPr/>
          <w:p>
            <w:pPr>
              <w:pStyle w:val="Compact"/>
              <w:jc w:val="left"/>
            </w:pPr>
            <w:r>
              <w:t xml:space="preserve">Conservateur</w:t>
            </w:r>
          </w:p>
        </w:tc>
        <w:tc>
          <w:tcPr/>
          <w:p>
            <w:pPr>
              <w:pStyle w:val="Compact"/>
            </w:pPr>
            <w:r>
              <w:t xml:space="preserve">6,6 millions (5%)</w:t>
            </w:r>
          </w:p>
        </w:tc>
        <w:tc>
          <w:tcPr/>
          <w:p>
            <w:pPr>
              <w:pStyle w:val="Compact"/>
            </w:pPr>
            <w:r>
              <w:t xml:space="preserve">4 1</w:t>
            </w:r>
          </w:p>
        </w:tc>
        <w:tc>
          <w:tcPr/>
          <w:p>
            <w:pPr>
              <w:pStyle w:val="Compact"/>
              <w:jc w:val="right"/>
            </w:pPr>
            <w:r>
              <w:t xml:space="preserve">45 $ 3,8</w:t>
            </w:r>
          </w:p>
        </w:tc>
        <w:tc>
          <w:tcPr/>
          <w:p>
            <w:pPr>
              <w:pStyle w:val="Compact"/>
              <w:jc w:val="left"/>
            </w:pPr>
            <w:r>
              <w:t xml:space="preserve">milliards de dollars</w:t>
            </w:r>
          </w:p>
        </w:tc>
      </w:tr>
      <w:tr>
        <w:tc>
          <w:tcPr/>
          <w:p>
            <w:pPr>
              <w:pStyle w:val="Compact"/>
              <w:jc w:val="left"/>
            </w:pPr>
            <w:r>
              <w:t xml:space="preserve">De base</w:t>
            </w:r>
          </w:p>
        </w:tc>
        <w:tc>
          <w:tcPr/>
          <w:p>
            <w:pPr>
              <w:pStyle w:val="Compact"/>
            </w:pPr>
            <w:r>
              <w:t xml:space="preserve">9,9 millions (7,5%)</w:t>
            </w:r>
          </w:p>
        </w:tc>
        <w:tc>
          <w:tcPr/>
          <w:p>
            <w:pPr>
              <w:pStyle w:val="Compact"/>
            </w:pPr>
            <w:r>
              <w:t xml:space="preserve">6 1</w:t>
            </w:r>
          </w:p>
        </w:tc>
        <w:tc>
          <w:tcPr/>
          <w:p>
            <w:pPr>
              <w:pStyle w:val="Compact"/>
              <w:jc w:val="right"/>
            </w:pPr>
            <w:r>
              <w:t xml:space="preserve">50 $ 8,9</w:t>
            </w:r>
          </w:p>
        </w:tc>
        <w:tc>
          <w:tcPr/>
          <w:p>
            <w:pPr>
              <w:pStyle w:val="Compact"/>
              <w:jc w:val="left"/>
            </w:pPr>
            <w:r>
              <w:t xml:space="preserve">milliards de dollars</w:t>
            </w:r>
          </w:p>
        </w:tc>
      </w:tr>
      <w:tr>
        <w:tc>
          <w:tcPr/>
          <w:p>
            <w:pPr>
              <w:pStyle w:val="Compact"/>
              <w:jc w:val="left"/>
            </w:pPr>
            <w:r>
              <w:t xml:space="preserve">Élevé</w:t>
            </w:r>
          </w:p>
        </w:tc>
        <w:tc>
          <w:tcPr/>
          <w:p>
            <w:pPr>
              <w:pStyle w:val="Compact"/>
            </w:pPr>
            <w:r>
              <w:t xml:space="preserve">15,8 millions (12%)</w:t>
            </w:r>
          </w:p>
        </w:tc>
        <w:tc>
          <w:tcPr/>
          <w:p>
            <w:pPr>
              <w:pStyle w:val="Compact"/>
            </w:pPr>
            <w:r>
              <w:t xml:space="preserve">8</w:t>
            </w:r>
          </w:p>
        </w:tc>
        <w:tc>
          <w:tcPr/>
          <w:p>
            <w:pPr>
              <w:pStyle w:val="Compact"/>
              <w:jc w:val="right"/>
            </w:pPr>
            <w:r>
              <w:t xml:space="preserve">155 $ 19</w:t>
            </w:r>
          </w:p>
        </w:tc>
        <w:tc>
          <w:tcPr/>
          <w:p>
            <w:pPr>
              <w:pStyle w:val="Compact"/>
              <w:jc w:val="left"/>
            </w:pPr>
            <w:r>
              <w:t xml:space="preserve">,6 milliards de dollars</w:t>
            </w:r>
          </w:p>
        </w:tc>
      </w:tr>
    </w:tbl>
    <w:bookmarkEnd w:id="12"/>
    <w:bookmarkEnd w:id="13"/>
    <w:bookmarkStart w:id="15" w:name="recruter-le-réseau-dagents-de-nettoyage"/>
    <w:p>
      <w:pPr>
        <w:pStyle w:val="Heading1"/>
      </w:pPr>
      <w:r>
        <w:t xml:space="preserve">Recruter le réseau d’agents de nettoyage</w:t>
      </w:r>
    </w:p>
    <w:p>
      <w:pPr>
        <w:pStyle w:val="FirstParagraph"/>
      </w:pPr>
      <w:r>
        <w:t xml:space="preserve">BrightNest ne possédait pas d’agences de nettoyage ni de grandes équipes de recrutement local. Elle prévoyait plutôt d’annoncer des opportunités via WorkReach, une application nationale fictive de recherche d’emploi. Un candidat pouvait consulter les gains estimés, sélectionner les zones et horaires de travail préférés, télécharger des documents d’identité et d’emploi, effectuer une vérification des antécédents, regarder des modules de formation, et commander un kit de fournitures approuvé.</w:t>
      </w:r>
    </w:p>
    <w:p>
      <w:pPr>
        <w:pStyle w:val="BodyText"/>
      </w:pPr>
      <w:r>
        <w:t xml:space="preserve">Le bassin de main-d’œuvre national semblait vaste. Le Bureau of Labor Statistics estimait à 860 670 le nombre de femmes de ménage et agents d’entretien en mai 2025, avec une rémunération moyenne de 17,83 $ de l’heure et une médiane de 17,07 $. Les professions du nettoyage des bâtiments et des espaces verts employaient plus de 5,7 millions de personnes en 2024, bien que la plupart n’effectuaient pas de travail résidentiel. Ces chiffres suggéraient une disponibilité de main-d’œuvre, mais ne répondaient pas à la question de savoir combien de travailleurs souhaitaient des missions de nettoyage résidentiel variables et réparties par application.</w:t>
      </w:r>
    </w:p>
    <w:p>
      <w:pPr>
        <w:pStyle w:val="BodyText"/>
      </w:pPr>
      <w:r>
        <w:t xml:space="preserve">Le travail était physiquement exigeant, les déplacements entre les domiciles n’étaient pas rémunérés dans certains modèles, et les clients demandaient parfois des soirées ou des week-ends. Les candidats comparaient également BrightNest avec les hôtels, les hôpitaux, les entreprises de nettoyage commercial, le travail de soins à domicile, les plateformes de livraison et les clients privés directs. Un taux affiché de 28 $ par heure de nettoyage pouvait se traduire par bien moins pour un travailleur ayant passé 75 minutes à se déplacer, acheter des fournitures, communiquer avec les clients, ou attendre entre les missions.</w:t>
      </w:r>
    </w:p>
    <w:bookmarkStart w:id="14" w:name="Xa0be0f7d10e6ba1659784329c6bb457b4b01801"/>
    <w:p>
      <w:pPr>
        <w:pStyle w:val="Heading2"/>
      </w:pPr>
      <w:r>
        <w:t xml:space="preserve">Exhibit 3. Entonnoir de recrutement des agents de nettoyage pilotes</w:t>
      </w:r>
    </w:p>
    <w:tbl>
      <w:tblPr>
        <w:tblStyle w:val="Table"/>
        <w:tblW w:type="pct" w:w="4924"/>
        <w:tblLayout w:type="fixed"/>
        <w:tblLook w:firstRow="1" w:lastRow="0" w:firstColumn="0" w:lastColumn="0" w:noHBand="0" w:noVBand="0" w:val="0020"/>
      </w:tblPr>
      <w:tblGrid>
        <w:gridCol w:w="2100"/>
        <w:gridCol w:w="780"/>
        <w:gridCol w:w="1860"/>
        <w:gridCol w:w="3060"/>
      </w:tblGrid>
      <w:tr>
        <w:trPr>
          <w:tblHeader w:val="on"/>
        </w:trPr>
        <w:tc>
          <w:tcPr/>
          <w:p>
            <w:pPr>
              <w:pStyle w:val="Compact"/>
            </w:pPr>
            <w:r>
              <w:t xml:space="preserve">Étape C</w:t>
            </w:r>
          </w:p>
        </w:tc>
        <w:tc>
          <w:tcPr/>
          <w:p>
            <w:pPr>
              <w:pStyle w:val="Compact"/>
            </w:pPr>
            <w:r>
              <w:t xml:space="preserve">andidats Pa</w:t>
            </w:r>
          </w:p>
        </w:tc>
        <w:tc>
          <w:tcPr/>
          <w:p>
            <w:pPr>
              <w:pStyle w:val="Compact"/>
            </w:pPr>
            <w:r>
              <w:t xml:space="preserve">rt de l’étape précédente Prin</w:t>
            </w:r>
          </w:p>
        </w:tc>
        <w:tc>
          <w:tcPr/>
          <w:p>
            <w:pPr>
              <w:pStyle w:val="Compact"/>
              <w:jc w:val="left"/>
            </w:pPr>
            <w:r>
              <w:t xml:space="preserve">cipale raison de perte</w:t>
            </w:r>
          </w:p>
        </w:tc>
      </w:tr>
      <w:tr>
        <w:tc>
          <w:tcPr/>
          <w:p>
            <w:pPr>
              <w:pStyle w:val="Compact"/>
            </w:pPr>
            <w:r>
              <w:t xml:space="preserve">Ont cliqué sur l’annonce d’emploi</w:t>
            </w:r>
          </w:p>
        </w:tc>
        <w:tc>
          <w:tcPr/>
          <w:p>
            <w:pPr>
              <w:pStyle w:val="Compact"/>
            </w:pPr>
            <w:r>
              <w:t xml:space="preserve">18 400</w:t>
            </w:r>
          </w:p>
        </w:tc>
        <w:tc>
          <w:tcPr/>
          <w:p>
            <w:pPr>
              <w:pStyle w:val="Compact"/>
            </w:pPr>
            <w:r>
              <w:t xml:space="preserve">-</w:t>
            </w:r>
            <w:r>
              <w:br/>
            </w:r>
          </w:p>
        </w:tc>
        <w:tc>
          <w:tcPr/>
          <w:p>
            <w:pPr>
              <w:pStyle w:val="Compact"/>
              <w:jc w:val="left"/>
            </w:pPr>
            <w:r>
              <w:t xml:space="preserve">-</w:t>
            </w:r>
          </w:p>
        </w:tc>
      </w:tr>
      <w:tr>
        <w:tc>
          <w:tcPr/>
          <w:p>
            <w:pPr>
              <w:pStyle w:val="Compact"/>
            </w:pPr>
            <w:r>
              <w:t xml:space="preserve">Ont commencé la candidature</w:t>
            </w:r>
          </w:p>
        </w:tc>
        <w:tc>
          <w:tcPr/>
          <w:p>
            <w:pPr>
              <w:pStyle w:val="Compact"/>
            </w:pPr>
            <w:r>
              <w:t xml:space="preserve">7 920</w:t>
            </w:r>
          </w:p>
        </w:tc>
        <w:tc>
          <w:tcPr/>
          <w:p>
            <w:pPr>
              <w:pStyle w:val="Compact"/>
            </w:pPr>
            <w:r>
              <w:t xml:space="preserve">43% R</w:t>
            </w:r>
          </w:p>
        </w:tc>
        <w:tc>
          <w:tcPr/>
          <w:p>
            <w:pPr>
              <w:pStyle w:val="Compact"/>
              <w:jc w:val="left"/>
            </w:pPr>
            <w:r>
              <w:t xml:space="preserve">émunération ou lieu peu clair</w:t>
            </w:r>
          </w:p>
        </w:tc>
      </w:tr>
      <w:tr>
        <w:tc>
          <w:tcPr/>
          <w:p>
            <w:pPr>
              <w:pStyle w:val="Compact"/>
            </w:pPr>
            <w:r>
              <w:t xml:space="preserve">Ont réussi la présélection</w:t>
            </w:r>
          </w:p>
        </w:tc>
        <w:tc>
          <w:tcPr/>
          <w:p>
            <w:pPr>
              <w:pStyle w:val="Compact"/>
            </w:pPr>
            <w:r>
              <w:t xml:space="preserve">4 110</w:t>
            </w:r>
          </w:p>
        </w:tc>
        <w:tc>
          <w:tcPr/>
          <w:p>
            <w:pPr>
              <w:pStyle w:val="Compact"/>
            </w:pPr>
            <w:r>
              <w:t xml:space="preserve">52% D</w:t>
            </w:r>
          </w:p>
        </w:tc>
        <w:tc>
          <w:tcPr/>
          <w:p>
            <w:pPr>
              <w:pStyle w:val="Compact"/>
              <w:jc w:val="left"/>
            </w:pPr>
            <w:r>
              <w:t xml:space="preserve">ocumentation/antécédents</w:t>
            </w:r>
          </w:p>
        </w:tc>
      </w:tr>
      <w:tr>
        <w:tc>
          <w:tcPr/>
          <w:p>
            <w:pPr>
              <w:pStyle w:val="Compact"/>
            </w:pPr>
            <w:r>
              <w:t xml:space="preserve">Ont terminé la formation</w:t>
            </w:r>
          </w:p>
        </w:tc>
        <w:tc>
          <w:tcPr/>
          <w:p>
            <w:pPr>
              <w:pStyle w:val="Compact"/>
            </w:pPr>
            <w:r>
              <w:t xml:space="preserve">2 380</w:t>
            </w:r>
          </w:p>
        </w:tc>
        <w:tc>
          <w:tcPr/>
          <w:p>
            <w:pPr>
              <w:pStyle w:val="Compact"/>
            </w:pPr>
            <w:r>
              <w:t xml:space="preserve">58% E</w:t>
            </w:r>
          </w:p>
        </w:tc>
        <w:tc>
          <w:tcPr/>
          <w:p>
            <w:pPr>
              <w:pStyle w:val="Compact"/>
              <w:jc w:val="left"/>
            </w:pPr>
            <w:r>
              <w:t xml:space="preserve">xigences de temps et d’équipement</w:t>
            </w:r>
          </w:p>
        </w:tc>
      </w:tr>
      <w:tr>
        <w:tc>
          <w:tcPr/>
          <w:p>
            <w:pPr>
              <w:pStyle w:val="Compact"/>
            </w:pPr>
            <w:r>
              <w:t xml:space="preserve">Ont accepté la première mission</w:t>
            </w:r>
          </w:p>
        </w:tc>
        <w:tc>
          <w:tcPr/>
          <w:p>
            <w:pPr>
              <w:pStyle w:val="Compact"/>
            </w:pPr>
            <w:r>
              <w:t xml:space="preserve">1 420</w:t>
            </w:r>
          </w:p>
        </w:tc>
        <w:tc>
          <w:tcPr/>
          <w:p>
            <w:pPr>
              <w:pStyle w:val="Compact"/>
            </w:pPr>
            <w:r>
              <w:t xml:space="preserve">60% D</w:t>
            </w:r>
          </w:p>
        </w:tc>
        <w:tc>
          <w:tcPr/>
          <w:p>
            <w:pPr>
              <w:pStyle w:val="Compact"/>
              <w:jc w:val="left"/>
            </w:pPr>
            <w:r>
              <w:t xml:space="preserve">éplacement ou incompatibilité d’horaire</w:t>
            </w:r>
          </w:p>
        </w:tc>
      </w:tr>
      <w:tr>
        <w:tc>
          <w:tcPr/>
          <w:p>
            <w:pPr>
              <w:pStyle w:val="Compact"/>
            </w:pPr>
            <w:r>
              <w:t xml:space="preserve">Actifs après 60 jours</w:t>
            </w:r>
          </w:p>
        </w:tc>
        <w:tc>
          <w:tcPr/>
          <w:p>
            <w:pPr>
              <w:pStyle w:val="Compact"/>
            </w:pPr>
            <w:r>
              <w:t xml:space="preserve">690</w:t>
            </w:r>
          </w:p>
        </w:tc>
        <w:tc>
          <w:tcPr/>
          <w:p>
            <w:pPr>
              <w:pStyle w:val="Compact"/>
            </w:pPr>
            <w:r>
              <w:t xml:space="preserve">49% H</w:t>
            </w:r>
          </w:p>
        </w:tc>
        <w:tc>
          <w:tcPr/>
          <w:p>
            <w:pPr>
              <w:pStyle w:val="Compact"/>
              <w:jc w:val="left"/>
            </w:pPr>
            <w:r>
              <w:t xml:space="preserve">oraires incohérents, déplacements, évaluations clients</w:t>
            </w:r>
          </w:p>
        </w:tc>
      </w:tr>
    </w:tbl>
    <w:p>
      <w:pPr>
        <w:pStyle w:val="BodyText"/>
      </w:pPr>
      <w:r>
        <w:t xml:space="preserve">L’équipe des opérations a proposé un minimum garanti de 120 $ pour les agents de nettoyage réservant un bloc de six heures, même en cas de demande insuffisante. La finance a estimé qu’une garantie pourrait augmenter l’acceptation et la rétention mais créer des dépenses substantielles de temps d’inactivité pendant le lancement du marché. Une autre proposition permettrait aux agents de nettoyage de fixer leurs propres prix. Les responsables de la croissance ont objecté que les clients s’attendaient à un devis simple et cohérent.</w:t>
      </w:r>
    </w:p>
    <w:bookmarkEnd w:id="14"/>
    <w:bookmarkEnd w:id="15"/>
    <w:bookmarkStart w:id="16" w:name="X30e7e6e85872895eba973e5ec655ca6334fd6cc"/>
    <w:p>
      <w:pPr>
        <w:pStyle w:val="Heading1"/>
      </w:pPr>
      <w:r>
        <w:t xml:space="preserve">Modèle d’emploi et incertitude liée à l’immigration</w:t>
      </w:r>
    </w:p>
    <w:p>
      <w:pPr>
        <w:pStyle w:val="FirstParagraph"/>
      </w:pPr>
      <w:r>
        <w:t xml:space="preserve">L’équipe juridique a averti que BrightNest devait décider si les agents de nettoyage seraient des employés, des travailleurs indépendants, ou un mélange variant selon les États. La réponse affectait le contrôle des horaires, de la formation, des fournitures, de l’assurance, des charges sociales, des avantages sociaux et de la vérification d’emploi. Si les agents de nettoyage étaient des employés, la loi fédérale exigeait que l’entreprise remplisse le formulaire I-9 pour chaque embauche, quels que soient la citoyenneté ou l’origine nationale. Les règles des États pouvaient imposer des exigences supplémentaires ou rendre difficile la classification en tant que travailleur indépendant.</w:t>
      </w:r>
    </w:p>
    <w:p>
      <w:pPr>
        <w:pStyle w:val="BodyText"/>
      </w:pPr>
      <w:r>
        <w:t xml:space="preserve">La disponibilité de la main-d’œuvre était également exposée à la politique d’immigration. En 2025, les travailleurs nés à l’étranger étaient plus susceptibles que les travailleurs nés aux États-Unis de travailler dans des professions de service - 21,2 pour cent contre 15,6 pour cent. BrightNest ne disposait pas de données fiables sur le lieu de naissance ou le statut de ses agents de nettoyage potentiels, et la direction convenait qu’elle ne pouvait pas déduire l’autorisation de travail à partir de la langue, de l’apparence ou de la profession. Néanmoins, un renforcement de l’application des lois sur l’immigration, l’évolution des programmes d’autorisation, et la peur des mesures d’application pouvaient réduire les candidatures ou la mobilité sur certains marchés locaux du travail des services, y compris parmi des personnes pleinement autorisées à travailler mais préoccupées par l’exposition de leur famille ou de leur communauté.</w:t>
      </w:r>
    </w:p>
    <w:p>
      <w:pPr>
        <w:pStyle w:val="BodyText"/>
      </w:pPr>
      <w:r>
        <w:t xml:space="preserve">L’entreprise faisait face à un risque de réputation connexe. Une vérification agressive allant au-delà des exigences légales pourrait dissuader des travailleurs qualifiés et provoquer des plaintes pour discrimination. Des contrôles faibles pourraient exposer l’entreprise à des sanctions, à des inquiétudes des clients et à des perturbations opérationnelles. Un lancement national multiplierait ces enjeux à travers différentes lois du travail des États et conditions de marché du travail local.</w:t>
      </w:r>
    </w:p>
    <w:bookmarkEnd w:id="16"/>
    <w:bookmarkStart w:id="18" w:name="outils-produits-et-qualité-de-service"/>
    <w:p>
      <w:pPr>
        <w:pStyle w:val="Heading1"/>
      </w:pPr>
      <w:r>
        <w:t xml:space="preserve">Outils, produits et qualité de service</w:t>
      </w:r>
    </w:p>
    <w:p>
      <w:pPr>
        <w:pStyle w:val="FirstParagraph"/>
      </w:pPr>
      <w:r>
        <w:t xml:space="preserve">BrightNest exigeait initialement des agents de nettoyage qu’ils fournissent un aspirateur, une serpillière, des outils de base et des produits de nettoyage approuvés. Les candidats pouvaient acheter un kit de démarrage à 310 $ par prélèvements sur salaire ou recevoir un crédit d’équipement de 150 $ après avoir accompli 20 missions. Les entretiens avec les agents de nettoyage suggéraient que cette politique créait trois problèmes. Certains candidats manquaient de liquidités ou d’espace de stockage pour l’équipement. D’autres possédaient déjà des produits préférés et rechignaient à acheter un kit standardisé. Les clients demandaient parfois des produits sans parfum, sans danger pour les animaux, ou certifiés écologiques qui ne figuraient pas dans le kit standard.</w:t>
      </w:r>
    </w:p>
    <w:p>
      <w:pPr>
        <w:pStyle w:val="BodyText"/>
      </w:pPr>
      <w:r>
        <w:t xml:space="preserve">L’équipe des opérations a envisagé quatre modèles d’approvisionnement : équipement fourni par l’agent de nettoyage ; kits de démarrage financés par l’entreprise ; casiers d’approvisionnement locaux ; et kits appartenant à l’entreprise livrés à chaque rendez-vous. Chacun modifiait l’économie, les contrôles de qualité et les arguments de classification des employés. L’équipement appartenant à l’entreprise améliorait la cohérence mais ajoutait des stocks, de la maintenance, du nettoyage, du vol et de la logistique du dernier kilomètre.</w:t>
      </w:r>
    </w:p>
    <w:bookmarkStart w:id="17" w:name="X209f9d46b1ae78117bdba5cc8fe4eeb51b0bd10"/>
    <w:p>
      <w:pPr>
        <w:pStyle w:val="Heading2"/>
      </w:pPr>
      <w:r>
        <w:t xml:space="preserve">Exhibit 4. Rémunération des agents de nettoyage et économie unitaire</w:t>
      </w:r>
    </w:p>
    <w:tbl>
      <w:tblPr>
        <w:tblStyle w:val="Table"/>
        <w:tblW w:type="pct" w:w="4917"/>
        <w:tblLayout w:type="fixed"/>
        <w:tblLook w:firstRow="1" w:lastRow="0" w:firstColumn="0" w:lastColumn="0" w:noHBand="0" w:noVBand="0" w:val="0020"/>
      </w:tblPr>
      <w:tblGrid>
        <w:gridCol w:w="3272"/>
        <w:gridCol w:w="2160"/>
        <w:gridCol w:w="2356"/>
      </w:tblGrid>
      <w:tr>
        <w:trPr>
          <w:tblHeader w:val="on"/>
        </w:trPr>
        <w:tc>
          <w:tcPr/>
          <w:p>
            <w:pPr>
              <w:pStyle w:val="Compact"/>
              <w:jc w:val="left"/>
            </w:pPr>
            <w:r>
              <w:t xml:space="preserve">Poste</w:t>
            </w:r>
          </w:p>
        </w:tc>
        <w:tc>
          <w:tcPr/>
          <w:p>
            <w:pPr>
              <w:pStyle w:val="Compact"/>
            </w:pPr>
            <w:r>
              <w:t xml:space="preserve">Nettoyage récurrent standard Pr</w:t>
            </w:r>
          </w:p>
        </w:tc>
        <w:tc>
          <w:tcPr/>
          <w:p>
            <w:pPr>
              <w:pStyle w:val="Compact"/>
              <w:jc w:val="left"/>
            </w:pPr>
            <w:r>
              <w:t xml:space="preserve">emier nettoyage à prix réduit</w:t>
            </w:r>
          </w:p>
        </w:tc>
      </w:tr>
      <w:tr>
        <w:tc>
          <w:tcPr/>
          <w:p>
            <w:pPr>
              <w:pStyle w:val="Compact"/>
              <w:jc w:val="left"/>
            </w:pPr>
            <w:r>
              <w:t xml:space="preserve">Prix client</w:t>
            </w:r>
          </w:p>
        </w:tc>
        <w:tc>
          <w:tcPr/>
          <w:p>
            <w:pPr>
              <w:pStyle w:val="Compact"/>
            </w:pPr>
            <w:r>
              <w:t xml:space="preserve">142 $</w:t>
            </w:r>
          </w:p>
        </w:tc>
        <w:tc>
          <w:tcPr/>
          <w:p>
            <w:pPr>
              <w:pStyle w:val="Compact"/>
              <w:jc w:val="left"/>
            </w:pPr>
            <w:r>
              <w:t xml:space="preserve">107 $ (remise de 25%)</w:t>
            </w:r>
          </w:p>
        </w:tc>
      </w:tr>
      <w:tr>
        <w:tc>
          <w:tcPr/>
          <w:p>
            <w:pPr>
              <w:pStyle w:val="Compact"/>
              <w:jc w:val="left"/>
            </w:pPr>
            <w:r>
              <w:t xml:space="preserve">Temps actif de l’agent de nettoyage</w:t>
            </w:r>
          </w:p>
        </w:tc>
        <w:tc>
          <w:tcPr/>
          <w:p>
            <w:pPr>
              <w:pStyle w:val="Compact"/>
            </w:pPr>
            <w:r>
              <w:t xml:space="preserve">3,0 heures</w:t>
            </w:r>
          </w:p>
        </w:tc>
        <w:tc>
          <w:tcPr/>
          <w:p>
            <w:pPr>
              <w:pStyle w:val="Compact"/>
              <w:jc w:val="left"/>
            </w:pPr>
            <w:r>
              <w:t xml:space="preserve">3,5 heures</w:t>
            </w:r>
          </w:p>
        </w:tc>
      </w:tr>
      <w:tr>
        <w:tc>
          <w:tcPr/>
          <w:p>
            <w:pPr>
              <w:pStyle w:val="Compact"/>
              <w:jc w:val="left"/>
            </w:pPr>
            <w:r>
              <w:t xml:space="preserve">Rémunération de l’agent de nettoyage</w:t>
            </w:r>
          </w:p>
        </w:tc>
        <w:tc>
          <w:tcPr/>
          <w:p>
            <w:pPr>
              <w:pStyle w:val="Compact"/>
            </w:pPr>
            <w:r>
              <w:t xml:space="preserve">78 $</w:t>
            </w:r>
          </w:p>
        </w:tc>
        <w:tc>
          <w:tcPr/>
          <w:p>
            <w:pPr>
              <w:pStyle w:val="Compact"/>
              <w:jc w:val="left"/>
            </w:pPr>
            <w:r>
              <w:t xml:space="preserve">91 $</w:t>
            </w:r>
          </w:p>
        </w:tc>
      </w:tr>
      <w:tr>
        <w:tc>
          <w:tcPr/>
          <w:p>
            <w:pPr>
              <w:pStyle w:val="Compact"/>
              <w:jc w:val="left"/>
            </w:pPr>
            <w:r>
              <w:t xml:space="preserve">Charges sociales/frais de sous-traitance et assura</w:t>
            </w:r>
          </w:p>
        </w:tc>
        <w:tc>
          <w:tcPr/>
          <w:p>
            <w:pPr>
              <w:pStyle w:val="Compact"/>
            </w:pPr>
            <w:r>
              <w:t xml:space="preserve">nce 14 $</w:t>
            </w:r>
          </w:p>
        </w:tc>
        <w:tc>
          <w:tcPr/>
          <w:p>
            <w:pPr>
              <w:pStyle w:val="Compact"/>
              <w:jc w:val="left"/>
            </w:pPr>
            <w:r>
              <w:t xml:space="preserve">17 $</w:t>
            </w:r>
          </w:p>
        </w:tc>
      </w:tr>
      <w:tr>
        <w:tc>
          <w:tcPr/>
          <w:p>
            <w:pPr>
              <w:pStyle w:val="Compact"/>
              <w:jc w:val="left"/>
            </w:pPr>
            <w:r>
              <w:t xml:space="preserve">Allocation de fournitures et d’équipement</w:t>
            </w:r>
          </w:p>
        </w:tc>
        <w:tc>
          <w:tcPr/>
          <w:p>
            <w:pPr>
              <w:pStyle w:val="Compact"/>
            </w:pPr>
            <w:r>
              <w:t xml:space="preserve">9 $</w:t>
            </w:r>
          </w:p>
        </w:tc>
        <w:tc>
          <w:tcPr/>
          <w:p>
            <w:pPr>
              <w:pStyle w:val="Compact"/>
              <w:jc w:val="left"/>
            </w:pPr>
            <w:r>
              <w:t xml:space="preserve">12 $</w:t>
            </w:r>
          </w:p>
        </w:tc>
      </w:tr>
      <w:tr>
        <w:tc>
          <w:tcPr/>
          <w:p>
            <w:pPr>
              <w:pStyle w:val="Compact"/>
              <w:jc w:val="left"/>
            </w:pPr>
            <w:r>
              <w:t xml:space="preserve">Support de déplacement/kilométrage</w:t>
            </w:r>
          </w:p>
        </w:tc>
        <w:tc>
          <w:tcPr/>
          <w:p>
            <w:pPr>
              <w:pStyle w:val="Compact"/>
            </w:pPr>
            <w:r>
              <w:t xml:space="preserve">8 $</w:t>
            </w:r>
          </w:p>
        </w:tc>
        <w:tc>
          <w:tcPr/>
          <w:p>
            <w:pPr>
              <w:pStyle w:val="Compact"/>
              <w:jc w:val="left"/>
            </w:pPr>
            <w:r>
              <w:t xml:space="preserve">10 $</w:t>
            </w:r>
          </w:p>
        </w:tc>
      </w:tr>
      <w:tr>
        <w:tc>
          <w:tcPr/>
          <w:p>
            <w:pPr>
              <w:pStyle w:val="Compact"/>
              <w:jc w:val="left"/>
            </w:pPr>
            <w:r>
              <w:t xml:space="preserve">Coût d’acquisition client alloué</w:t>
            </w:r>
          </w:p>
        </w:tc>
        <w:tc>
          <w:tcPr/>
          <w:p>
            <w:pPr>
              <w:pStyle w:val="Compact"/>
            </w:pPr>
            <w:r>
              <w:t xml:space="preserve">12 $</w:t>
            </w:r>
          </w:p>
        </w:tc>
        <w:tc>
          <w:tcPr/>
          <w:p>
            <w:pPr>
              <w:pStyle w:val="Compact"/>
              <w:jc w:val="left"/>
            </w:pPr>
            <w:r>
              <w:t xml:space="preserve">61 $</w:t>
            </w:r>
          </w:p>
        </w:tc>
      </w:tr>
      <w:tr>
        <w:tc>
          <w:tcPr/>
          <w:p>
            <w:pPr>
              <w:pStyle w:val="Compact"/>
              <w:jc w:val="left"/>
            </w:pPr>
            <w:r>
              <w:t xml:space="preserve">Support, remboursements, traitement des paiements</w:t>
            </w:r>
          </w:p>
        </w:tc>
        <w:tc>
          <w:tcPr/>
          <w:p>
            <w:pPr>
              <w:pStyle w:val="Compact"/>
            </w:pPr>
            <w:r>
              <w:t xml:space="preserve">10 $</w:t>
            </w:r>
          </w:p>
        </w:tc>
        <w:tc>
          <w:tcPr/>
          <w:p>
            <w:pPr>
              <w:pStyle w:val="Compact"/>
              <w:jc w:val="left"/>
            </w:pPr>
            <w:r>
              <w:t xml:space="preserve">13 $</w:t>
            </w:r>
          </w:p>
        </w:tc>
      </w:tr>
      <w:tr>
        <w:tc>
          <w:tcPr/>
          <w:p>
            <w:pPr>
              <w:pStyle w:val="Compact"/>
              <w:jc w:val="left"/>
            </w:pPr>
            <w:r>
              <w:t xml:space="preserve">Contribution avant frais généraux</w:t>
            </w:r>
          </w:p>
        </w:tc>
        <w:tc>
          <w:tcPr/>
          <w:p>
            <w:pPr>
              <w:pStyle w:val="Compact"/>
            </w:pPr>
            <w:r>
              <w:t xml:space="preserve">11 $</w:t>
            </w:r>
          </w:p>
        </w:tc>
        <w:tc>
          <w:tcPr/>
          <w:p>
            <w:pPr>
              <w:pStyle w:val="Compact"/>
              <w:jc w:val="left"/>
            </w:pPr>
            <w:r>
              <w:t xml:space="preserve">-97 $</w:t>
            </w:r>
          </w:p>
        </w:tc>
      </w:tr>
    </w:tbl>
    <w:p>
      <w:pPr>
        <w:pStyle w:val="BodyText"/>
      </w:pPr>
      <w:r>
        <w:t xml:space="preserve">L’exhibit reflétait des moyennes. Un appartement compact proche d’un autre rendez-vous pouvait produire une marge saine, tandis qu’une grande maison de banlieue avec un trajet de 35 minutes pouvait générer une perte même au prix plein. Le modèle de tarification instantanée de BrightNest utilisait les chambres, les salles de bain, la superficie, les animaux de compagnie et les tâches demandées, mais ne tenait pas encore bien compte de l’encombrement, du stationnement, des retards d’accès ou de l’état du logement.</w:t>
      </w:r>
    </w:p>
    <w:bookmarkEnd w:id="17"/>
    <w:bookmarkEnd w:id="18"/>
    <w:bookmarkStart w:id="20" w:name="la-décision-de-lancement-géographique"/>
    <w:p>
      <w:pPr>
        <w:pStyle w:val="Heading1"/>
      </w:pPr>
      <w:r>
        <w:t xml:space="preserve">La décision de lancement géographique</w:t>
      </w:r>
    </w:p>
    <w:p>
      <w:pPr>
        <w:pStyle w:val="FirstParagraph"/>
      </w:pPr>
      <w:r>
        <w:t xml:space="preserve">Un déploiement national offrait rapidité, visibilité de la marque et un large entonnoir de recrutement. Il créait également le risque de « marchés étroits » : des clients et des agents de nettoyage pouvaient exister dans la même ville mais pas dans le même quartier ou aux mêmes horaires compatibles. Un agent de nettoyage disposé à travailler le mardi matin dans les banlieues nord ne résolvait pas un pic de demande le samedi au centre-ville.</w:t>
      </w:r>
    </w:p>
    <w:p>
      <w:pPr>
        <w:pStyle w:val="BodyText"/>
      </w:pPr>
      <w:r>
        <w:t xml:space="preserve">Un lancement régional pouvait concentrer la publicité, la supervision locale, les parrainages et la densité d’agents de nettoyage. Pourtant, sélectionner uniquement des zones métropolitaines aisées pouvait produire des prix clients élevés associés à des salaires élevés, de la congestion et des coûts d’acquisition de clients élevés. Les régions à moindre coût pouvaient offrir un recrutement plus facile mais une volonté de payer moindre. L’intensité de l’application des lois sur l’immigration et les attitudes locales pouvaient également affecter la confiance des candidats et les perceptions des clients de manières difficiles à quantifier.</w:t>
      </w:r>
    </w:p>
    <w:bookmarkStart w:id="19" w:name="Xb7ae39e7f02ac4d8b5a663107ddac30beee8ef7"/>
    <w:p>
      <w:pPr>
        <w:pStyle w:val="Heading2"/>
      </w:pPr>
      <w:r>
        <w:t xml:space="preserve">Exhibit 5. Profils de marchés de lancement candidats</w:t>
      </w:r>
    </w:p>
    <w:tbl>
      <w:tblPr>
        <w:tblStyle w:val="Table"/>
        <w:tblW w:type="pct" w:w="4953"/>
        <w:tblLayout w:type="fixed"/>
        <w:tblLook w:firstRow="1" w:lastRow="0" w:firstColumn="0" w:lastColumn="0" w:noHBand="0" w:noVBand="0" w:val="0020"/>
      </w:tblPr>
      <w:tblGrid>
        <w:gridCol w:w="1105"/>
        <w:gridCol w:w="1068"/>
        <w:gridCol w:w="1252"/>
        <w:gridCol w:w="1657"/>
        <w:gridCol w:w="1215"/>
        <w:gridCol w:w="1547"/>
      </w:tblGrid>
      <w:tr>
        <w:trPr>
          <w:tblHeader w:val="on"/>
        </w:trPr>
        <w:tc>
          <w:tcPr/>
          <w:p>
            <w:pPr>
              <w:pStyle w:val="Compact"/>
            </w:pPr>
            <w:r>
              <w:t xml:space="preserve">Type de marché P</w:t>
            </w:r>
          </w:p>
        </w:tc>
        <w:tc>
          <w:tcPr/>
          <w:p>
            <w:pPr>
              <w:pStyle w:val="Compact"/>
            </w:pPr>
            <w:r>
              <w:t xml:space="preserve">rix client illustratif Rému</w:t>
            </w:r>
          </w:p>
        </w:tc>
        <w:tc>
          <w:tcPr/>
          <w:p>
            <w:pPr>
              <w:pStyle w:val="Compact"/>
            </w:pPr>
            <w:r>
              <w:t xml:space="preserve">nération cible de l’agent CAC es</w:t>
            </w:r>
          </w:p>
        </w:tc>
        <w:tc>
          <w:tcPr/>
          <w:p>
            <w:pPr>
              <w:pStyle w:val="Compact"/>
            </w:pPr>
            <w:r>
              <w:t xml:space="preserve">timé pour la première réservation Risque de</w:t>
            </w:r>
          </w:p>
        </w:tc>
        <w:tc>
          <w:tcPr/>
          <w:p>
            <w:pPr>
              <w:pStyle w:val="Compact"/>
              <w:jc w:val="right"/>
            </w:pPr>
            <w:r>
              <w:t xml:space="preserve">densité d’agents Autre préoccu</w:t>
            </w:r>
          </w:p>
        </w:tc>
        <w:tc>
          <w:tcPr/>
          <w:p>
            <w:pPr>
              <w:pStyle w:val="Compact"/>
              <w:jc w:val="left"/>
            </w:pPr>
            <w:r>
              <w:t xml:space="preserve">pation</w:t>
            </w:r>
          </w:p>
        </w:tc>
      </w:tr>
      <w:tr>
        <w:tc>
          <w:tcPr/>
          <w:p>
            <w:pPr>
              <w:pStyle w:val="Compact"/>
            </w:pPr>
            <w:r>
              <w:t xml:space="preserve">Côtier à revenu élevé</w:t>
            </w:r>
          </w:p>
        </w:tc>
        <w:tc>
          <w:tcPr/>
          <w:p>
            <w:pPr>
              <w:pStyle w:val="Compact"/>
            </w:pPr>
            <w:r>
              <w:t xml:space="preserve">175 $</w:t>
            </w:r>
          </w:p>
        </w:tc>
        <w:tc>
          <w:tcPr/>
          <w:p>
            <w:pPr>
              <w:pStyle w:val="Compact"/>
            </w:pPr>
            <w:r>
              <w:t xml:space="preserve">31 $/h</w:t>
            </w:r>
          </w:p>
        </w:tc>
        <w:tc>
          <w:tcPr/>
          <w:p>
            <w:pPr>
              <w:pStyle w:val="Compact"/>
            </w:pPr>
            <w:r>
              <w:t xml:space="preserve">78 $</w:t>
            </w:r>
          </w:p>
        </w:tc>
        <w:tc>
          <w:tcPr/>
          <w:p>
            <w:pPr>
              <w:pStyle w:val="Compact"/>
              <w:jc w:val="right"/>
            </w:pPr>
            <w:r>
              <w:t xml:space="preserve">Moyen</w:t>
            </w:r>
          </w:p>
        </w:tc>
        <w:tc>
          <w:tcPr/>
          <w:p>
            <w:pPr>
              <w:pStyle w:val="Compact"/>
              <w:jc w:val="left"/>
            </w:pPr>
            <w:r>
              <w:t xml:space="preserve">Coûts de déplacement et de salaire élevés</w:t>
            </w:r>
          </w:p>
        </w:tc>
      </w:tr>
      <w:tr>
        <w:tc>
          <w:tcPr/>
          <w:p>
            <w:pPr>
              <w:pStyle w:val="Compact"/>
            </w:pPr>
            <w:r>
              <w:t xml:space="preserve">Sun Belt en croissance rapide</w:t>
            </w:r>
          </w:p>
        </w:tc>
        <w:tc>
          <w:tcPr/>
          <w:p>
            <w:pPr>
              <w:pStyle w:val="Compact"/>
            </w:pPr>
            <w:r>
              <w:t xml:space="preserve">145 $</w:t>
            </w:r>
          </w:p>
        </w:tc>
        <w:tc>
          <w:tcPr/>
          <w:p>
            <w:pPr>
              <w:pStyle w:val="Compact"/>
            </w:pPr>
            <w:r>
              <w:t xml:space="preserve">25 $/h</w:t>
            </w:r>
          </w:p>
        </w:tc>
        <w:tc>
          <w:tcPr/>
          <w:p>
            <w:pPr>
              <w:pStyle w:val="Compact"/>
            </w:pPr>
            <w:r>
              <w:t xml:space="preserve">54 $</w:t>
            </w:r>
          </w:p>
        </w:tc>
        <w:tc>
          <w:tcPr/>
          <w:p>
            <w:pPr>
              <w:pStyle w:val="Compact"/>
              <w:jc w:val="right"/>
            </w:pPr>
            <w:r>
              <w:t xml:space="preserve">Faible-Moyen</w:t>
            </w:r>
          </w:p>
        </w:tc>
        <w:tc>
          <w:tcPr/>
          <w:p>
            <w:pPr>
              <w:pStyle w:val="Compact"/>
              <w:jc w:val="left"/>
            </w:pPr>
            <w:r>
              <w:t xml:space="preserve">Étalement urbain et dépendance automobile</w:t>
            </w:r>
          </w:p>
        </w:tc>
      </w:tr>
      <w:tr>
        <w:tc>
          <w:tcPr/>
          <w:p>
            <w:pPr>
              <w:pStyle w:val="Compact"/>
            </w:pPr>
            <w:r>
              <w:t xml:space="preserve">Grande métropole du Midwest</w:t>
            </w:r>
          </w:p>
        </w:tc>
        <w:tc>
          <w:tcPr/>
          <w:p>
            <w:pPr>
              <w:pStyle w:val="Compact"/>
            </w:pPr>
            <w:r>
              <w:t xml:space="preserve">132 $</w:t>
            </w:r>
          </w:p>
        </w:tc>
        <w:tc>
          <w:tcPr/>
          <w:p>
            <w:pPr>
              <w:pStyle w:val="Compact"/>
            </w:pPr>
            <w:r>
              <w:t xml:space="preserve">23 $/h</w:t>
            </w:r>
          </w:p>
        </w:tc>
        <w:tc>
          <w:tcPr/>
          <w:p>
            <w:pPr>
              <w:pStyle w:val="Compact"/>
            </w:pPr>
            <w:r>
              <w:t xml:space="preserve">49 $</w:t>
            </w:r>
          </w:p>
        </w:tc>
        <w:tc>
          <w:tcPr/>
          <w:p>
            <w:pPr>
              <w:pStyle w:val="Compact"/>
              <w:jc w:val="right"/>
            </w:pPr>
            <w:r>
              <w:t xml:space="preserve">Faible</w:t>
            </w:r>
          </w:p>
        </w:tc>
        <w:tc>
          <w:tcPr/>
          <w:p>
            <w:pPr>
              <w:pStyle w:val="Compact"/>
              <w:jc w:val="left"/>
            </w:pPr>
            <w:r>
              <w:t xml:space="preserve">Pénétration plus faible du service récurrent</w:t>
            </w:r>
          </w:p>
        </w:tc>
      </w:tr>
      <w:tr>
        <w:tc>
          <w:tcPr/>
          <w:p>
            <w:pPr>
              <w:pStyle w:val="Compact"/>
            </w:pPr>
            <w:r>
              <w:t xml:space="preserve">Ville universitaire/secondaire</w:t>
            </w:r>
          </w:p>
        </w:tc>
        <w:tc>
          <w:tcPr/>
          <w:p>
            <w:pPr>
              <w:pStyle w:val="Compact"/>
            </w:pPr>
            <w:r>
              <w:t xml:space="preserve">118 $</w:t>
            </w:r>
          </w:p>
        </w:tc>
        <w:tc>
          <w:tcPr/>
          <w:p>
            <w:pPr>
              <w:pStyle w:val="Compact"/>
            </w:pPr>
            <w:r>
              <w:t xml:space="preserve">21 $/h</w:t>
            </w:r>
          </w:p>
        </w:tc>
        <w:tc>
          <w:tcPr/>
          <w:p>
            <w:pPr>
              <w:pStyle w:val="Compact"/>
            </w:pPr>
            <w:r>
              <w:t xml:space="preserve">42 $</w:t>
            </w:r>
          </w:p>
        </w:tc>
        <w:tc>
          <w:tcPr/>
          <w:p>
            <w:pPr>
              <w:pStyle w:val="Compact"/>
              <w:jc w:val="right"/>
            </w:pPr>
            <w:r>
              <w:t xml:space="preserve">Élevé</w:t>
            </w:r>
          </w:p>
        </w:tc>
        <w:tc>
          <w:tcPr/>
          <w:p>
            <w:pPr>
              <w:pStyle w:val="Compact"/>
              <w:jc w:val="left"/>
            </w:pPr>
            <w:r>
              <w:t xml:space="preserve">Rotation saisonnière des travailleurs et clients</w:t>
            </w:r>
          </w:p>
        </w:tc>
      </w:tr>
      <w:tr>
        <w:tc>
          <w:tcPr/>
          <w:p>
            <w:pPr>
              <w:pStyle w:val="Compact"/>
            </w:pPr>
            <w:r>
              <w:t xml:space="preserve">Auto-service national</w:t>
            </w:r>
          </w:p>
        </w:tc>
        <w:tc>
          <w:tcPr/>
          <w:p>
            <w:pPr>
              <w:pStyle w:val="Compact"/>
            </w:pPr>
            <w:r>
              <w:t xml:space="preserve">135 $ en moyenne</w:t>
            </w:r>
          </w:p>
        </w:tc>
        <w:tc>
          <w:tcPr/>
          <w:p>
            <w:pPr>
              <w:pStyle w:val="Compact"/>
            </w:pPr>
            <w:r>
              <w:t xml:space="preserve">24-31 $/h</w:t>
            </w:r>
          </w:p>
        </w:tc>
        <w:tc>
          <w:tcPr/>
          <w:p>
            <w:pPr>
              <w:pStyle w:val="Compact"/>
            </w:pPr>
            <w:r>
              <w:t xml:space="preserve">60 $ en moyenne</w:t>
            </w:r>
          </w:p>
        </w:tc>
        <w:tc>
          <w:tcPr/>
          <w:p>
            <w:pPr>
              <w:pStyle w:val="Compact"/>
              <w:jc w:val="right"/>
            </w:pPr>
            <w:r>
              <w:t xml:space="preserve">Très élevé</w:t>
            </w:r>
          </w:p>
        </w:tc>
        <w:tc>
          <w:tcPr/>
          <w:p>
            <w:pPr>
              <w:pStyle w:val="Compact"/>
              <w:jc w:val="left"/>
            </w:pPr>
            <w:r>
              <w:t xml:space="preserve">Qualité et conformité inégales</w:t>
            </w:r>
          </w:p>
        </w:tc>
      </w:tr>
    </w:tbl>
    <w:bookmarkEnd w:id="19"/>
    <w:bookmarkEnd w:id="20"/>
    <w:bookmarkStart w:id="24" w:name="trois-propositions-de-lancement"/>
    <w:p>
      <w:pPr>
        <w:pStyle w:val="Heading1"/>
      </w:pPr>
      <w:r>
        <w:t xml:space="preserve">Trois propositions de lancement</w:t>
      </w:r>
    </w:p>
    <w:p>
      <w:pPr>
        <w:pStyle w:val="FirstParagraph"/>
      </w:pPr>
      <w:r>
        <w:t xml:space="preserve">À la fin de la phase pilote, l’équipe dirigeante avait élaboré trois propositions.</w:t>
      </w:r>
    </w:p>
    <w:bookmarkStart w:id="21" w:name="X1b35788df3561ae40773ead2243f2042f4dfe34"/>
    <w:p>
      <w:pPr>
        <w:pStyle w:val="Heading2"/>
      </w:pPr>
      <w:r>
        <w:t xml:space="preserve">Proposition A - Stratégie de densité sur cinq villes.</w:t>
      </w:r>
    </w:p>
    <w:p>
      <w:pPr>
        <w:pStyle w:val="FirstParagraph"/>
      </w:pPr>
      <w:r>
        <w:t xml:space="preserve">BrightNest se lancerait uniquement là où elle pourrait recruter au moins 150 agents de nettoyage présélectionnés avant le début de la publicité client majeure. Elle construirait des partenariats locaux, fournirait des kits de démarrage, garantirait des blocs de travail limités, et mettrait l’accent sur les parrainages. Le plan nécessitait environ 11 millions de dollars sur 18 mois et visait 22 000 clients récurrents. Les partisans soutenaient que la densité et la qualité de service étaient des conditions préalables à la croissance. Les critiques craignaient que des concurrents puissent occuper d’autres marchés en premier.</w:t>
      </w:r>
    </w:p>
    <w:bookmarkEnd w:id="21"/>
    <w:bookmarkStart w:id="22" w:name="X34217bb3693a8bea6a8ebac7a668f9fa963df4e"/>
    <w:p>
      <w:pPr>
        <w:pStyle w:val="Heading2"/>
      </w:pPr>
      <w:r>
        <w:t xml:space="preserve">Proposition B - Stratégie de place de marché sur vingt-cinq villes.</w:t>
      </w:r>
    </w:p>
    <w:p>
      <w:pPr>
        <w:pStyle w:val="FirstParagraph"/>
      </w:pPr>
      <w:r>
        <w:t xml:space="preserve">L’entreprise utiliserait WorkReach à l’échelle nationale mais activerait le marketing client dans 25 villes. La rémunération des agents de nettoyage, les prix clients, les remises et les zones de service seraient ajustés par marché. BrightNest dépenserait 16 millions de dollars et viserait 48 000 clients récurrents. Cette approche générait davantage d’apprentissage mais nécessitait une tarification locale sophistiquée, une conformité et des contrôles d’offre-demande qui n’étaient pas encore éprouvés.</w:t>
      </w:r>
    </w:p>
    <w:bookmarkEnd w:id="22"/>
    <w:bookmarkStart w:id="23" w:name="X1f84c90b644cde93cc92ae924cbfb68034bc12b"/>
    <w:p>
      <w:pPr>
        <w:pStyle w:val="Heading2"/>
      </w:pPr>
      <w:r>
        <w:t xml:space="preserve">Proposition C - Stratégie de disponibilité nationale.</w:t>
      </w:r>
    </w:p>
    <w:p>
      <w:pPr>
        <w:pStyle w:val="FirstParagraph"/>
      </w:pPr>
      <w:r>
        <w:t xml:space="preserve">Les clients partout sur le territoire continental des États-Unis pourraient demander un service. BrightNest ne confirmerait un rendez-vous qu’après avoir trouvé un agent de nettoyage disponible correspondant. Le recrutement d’agents de nettoyage se ferait à l’échelle nationale, sans heures garanties et avec un support d’équipement limité. Le plan pourrait produire des données rapidement à un coût fixe relativement faible, mais des temps de confirmation longs, une offre limitée et un service incohérent pourraient nuire à la marque avant que l’entreprise n’apprenne quels marchés fonctionnaient.</w:t>
      </w:r>
    </w:p>
    <w:bookmarkEnd w:id="23"/>
    <w:bookmarkEnd w:id="24"/>
    <w:bookmarkStart w:id="26" w:name="ce-que-les-pilotes-navaient-pas-révélé"/>
    <w:p>
      <w:pPr>
        <w:pStyle w:val="Heading1"/>
      </w:pPr>
      <w:r>
        <w:t xml:space="preserve">Ce que les pilotes n’avaient pas révélé</w:t>
      </w:r>
    </w:p>
    <w:p>
      <w:pPr>
        <w:pStyle w:val="FirstParagraph"/>
      </w:pPr>
      <w:r>
        <w:t xml:space="preserve">Les projets pilotes ont généré des données mais pas de consensus. Une rémunération élevée des agents de nettoyage augmentait l’acceptation des missions, mais seulement lorsque les rendez-vous étaient regroupés géographiquement. Les remises augmentaient les réservations, mais les clients les moins chers étaient aussi les moins susceptibles de repasser commande. Les clients préféraient le même agent de nettoyage, alors que le système de planification atteignait une utilisation plus élevée en attribuant l’agent de nettoyage disponible le plus proche. La flexibilité des agents de nettoyage améliorait le recrutement, mais un choix d’horaires illimité rendait plus difficile la promesse d’un horaire précis aux clients.</w:t>
      </w:r>
    </w:p>
    <w:p>
      <w:pPr>
        <w:pStyle w:val="BodyText"/>
      </w:pPr>
      <w:r>
        <w:t xml:space="preserve">La direction manquait également d’une définition partagée du succès. La croissance mettait l’accent sur les réservations et l’entrée sur le marché. Les opérations mettaient l’accent sur les taux d’achèvement et les évaluations des clients. L’équipe du réseau d’agents de nettoyage mettait l’accent sur les gains horaires, la rétention et le choix des horaires. La finance mettait l’accent sur la marge de contribution après coût d’acquisition. Une ville pouvait sembler un succès selon une mesure et un échec selon une autre.</w:t>
      </w:r>
    </w:p>
    <w:bookmarkStart w:id="25" w:name="X5978cbb4220aa767664e80e7fdb7c2954d33b88"/>
    <w:p>
      <w:pPr>
        <w:pStyle w:val="Heading2"/>
      </w:pPr>
      <w:r>
        <w:t xml:space="preserve">Exhibit 6. Résultats de lancement proposés sur 18 mois</w:t>
      </w:r>
    </w:p>
    <w:tbl>
      <w:tblPr>
        <w:tblStyle w:val="Table"/>
        <w:tblW w:type="pct" w:w="4931"/>
        <w:tblLayout w:type="fixed"/>
        <w:tblLook w:firstRow="1" w:lastRow="0" w:firstColumn="0" w:lastColumn="0" w:noHBand="0" w:noVBand="0" w:val="0020"/>
      </w:tblPr>
      <w:tblGrid>
        <w:gridCol w:w="3277"/>
        <w:gridCol w:w="1256"/>
        <w:gridCol w:w="1638"/>
        <w:gridCol w:w="1638"/>
      </w:tblGrid>
      <w:tr>
        <w:trPr>
          <w:tblHeader w:val="on"/>
        </w:trPr>
        <w:tc>
          <w:tcPr/>
          <w:p>
            <w:pPr>
              <w:pStyle w:val="Compact"/>
            </w:pPr>
            <w:r>
              <w:t xml:space="preserve">Mesure D</w:t>
            </w:r>
          </w:p>
        </w:tc>
        <w:tc>
          <w:tcPr/>
          <w:p>
            <w:pPr>
              <w:pStyle w:val="Compact"/>
            </w:pPr>
            <w:r>
              <w:t xml:space="preserve">ensité cinq villes Pl</w:t>
            </w:r>
          </w:p>
        </w:tc>
        <w:tc>
          <w:tcPr/>
          <w:p>
            <w:pPr>
              <w:pStyle w:val="Compact"/>
            </w:pPr>
            <w:r>
              <w:t xml:space="preserve">ace de marché 25 villes Disp</w:t>
            </w:r>
          </w:p>
        </w:tc>
        <w:tc>
          <w:tcPr/>
          <w:p>
            <w:pPr>
              <w:pStyle w:val="Compact"/>
              <w:jc w:val="left"/>
            </w:pPr>
            <w:r>
              <w:t xml:space="preserve">onibilité nationale</w:t>
            </w:r>
          </w:p>
        </w:tc>
      </w:tr>
      <w:tr>
        <w:tc>
          <w:tcPr/>
          <w:p>
            <w:pPr>
              <w:pStyle w:val="Compact"/>
            </w:pPr>
            <w:r>
              <w:t xml:space="preserve">Investissement requis</w:t>
            </w:r>
          </w:p>
        </w:tc>
        <w:tc>
          <w:tcPr/>
          <w:p>
            <w:pPr>
              <w:pStyle w:val="Compact"/>
            </w:pPr>
            <w:r>
              <w:t xml:space="preserve">11 millions de dollars</w:t>
            </w:r>
          </w:p>
        </w:tc>
        <w:tc>
          <w:tcPr/>
          <w:p>
            <w:pPr>
              <w:pStyle w:val="Compact"/>
            </w:pPr>
            <w:r>
              <w:t xml:space="preserve">16 millions de dollars 1</w:t>
            </w:r>
          </w:p>
        </w:tc>
        <w:tc>
          <w:tcPr/>
          <w:p>
            <w:pPr>
              <w:pStyle w:val="Compact"/>
              <w:jc w:val="left"/>
            </w:pPr>
            <w:r>
              <w:t xml:space="preserve">3 millions de dollars</w:t>
            </w:r>
          </w:p>
        </w:tc>
      </w:tr>
      <w:tr>
        <w:tc>
          <w:tcPr/>
          <w:p>
            <w:pPr>
              <w:pStyle w:val="Compact"/>
            </w:pPr>
            <w:r>
              <w:t xml:space="preserve">Clients récurrents au mois 18</w:t>
            </w:r>
          </w:p>
        </w:tc>
        <w:tc>
          <w:tcPr/>
          <w:p>
            <w:pPr>
              <w:pStyle w:val="Compact"/>
            </w:pPr>
            <w:r>
              <w:t xml:space="preserve">22 000</w:t>
            </w:r>
          </w:p>
        </w:tc>
        <w:tc>
          <w:tcPr/>
          <w:p>
            <w:pPr>
              <w:pStyle w:val="Compact"/>
            </w:pPr>
            <w:r>
              <w:t xml:space="preserve">48 000</w:t>
            </w:r>
          </w:p>
        </w:tc>
        <w:tc>
          <w:tcPr/>
          <w:p>
            <w:pPr>
              <w:pStyle w:val="Compact"/>
              <w:jc w:val="left"/>
            </w:pPr>
            <w:r>
              <w:t xml:space="preserve">55 000</w:t>
            </w:r>
          </w:p>
        </w:tc>
      </w:tr>
      <w:tr>
        <w:tc>
          <w:tcPr/>
          <w:p>
            <w:pPr>
              <w:pStyle w:val="Compact"/>
            </w:pPr>
            <w:r>
              <w:t xml:space="preserve">Agents de nettoyage actifs</w:t>
            </w:r>
          </w:p>
        </w:tc>
        <w:tc>
          <w:tcPr/>
          <w:p>
            <w:pPr>
              <w:pStyle w:val="Compact"/>
            </w:pPr>
            <w:r>
              <w:t xml:space="preserve">1 050</w:t>
            </w:r>
          </w:p>
        </w:tc>
        <w:tc>
          <w:tcPr/>
          <w:p>
            <w:pPr>
              <w:pStyle w:val="Compact"/>
            </w:pPr>
            <w:r>
              <w:t xml:space="preserve">2 750</w:t>
            </w:r>
          </w:p>
        </w:tc>
        <w:tc>
          <w:tcPr/>
          <w:p>
            <w:pPr>
              <w:pStyle w:val="Compact"/>
              <w:jc w:val="left"/>
            </w:pPr>
            <w:r>
              <w:t xml:space="preserve">4 200</w:t>
            </w:r>
          </w:p>
        </w:tc>
      </w:tr>
      <w:tr>
        <w:tc>
          <w:tcPr/>
          <w:p>
            <w:pPr>
              <w:pStyle w:val="Compact"/>
            </w:pPr>
            <w:r>
              <w:t xml:space="preserve">Taux d’achèvement projeté</w:t>
            </w:r>
          </w:p>
        </w:tc>
        <w:tc>
          <w:tcPr/>
          <w:p>
            <w:pPr>
              <w:pStyle w:val="Compact"/>
            </w:pPr>
            <w:r>
              <w:t xml:space="preserve">94%</w:t>
            </w:r>
          </w:p>
        </w:tc>
        <w:tc>
          <w:tcPr/>
          <w:p>
            <w:pPr>
              <w:pStyle w:val="Compact"/>
            </w:pPr>
            <w:r>
              <w:t xml:space="preserve">88%</w:t>
            </w:r>
          </w:p>
        </w:tc>
        <w:tc>
          <w:tcPr/>
          <w:p>
            <w:pPr>
              <w:pStyle w:val="Compact"/>
              <w:jc w:val="left"/>
            </w:pPr>
            <w:r>
              <w:t xml:space="preserve">77%</w:t>
            </w:r>
          </w:p>
        </w:tc>
      </w:tr>
      <w:tr>
        <w:tc>
          <w:tcPr/>
          <w:p>
            <w:pPr>
              <w:pStyle w:val="Compact"/>
            </w:pPr>
            <w:r>
              <w:t xml:space="preserve">Marge de contribution par visite récurrente</w:t>
            </w:r>
          </w:p>
        </w:tc>
        <w:tc>
          <w:tcPr/>
          <w:p>
            <w:pPr>
              <w:pStyle w:val="Compact"/>
            </w:pPr>
            <w:r>
              <w:t xml:space="preserve">18 $</w:t>
            </w:r>
          </w:p>
        </w:tc>
        <w:tc>
          <w:tcPr/>
          <w:p>
            <w:pPr>
              <w:pStyle w:val="Compact"/>
            </w:pPr>
            <w:r>
              <w:t xml:space="preserve">12 $</w:t>
            </w:r>
          </w:p>
        </w:tc>
        <w:tc>
          <w:tcPr/>
          <w:p>
            <w:pPr>
              <w:pStyle w:val="Compact"/>
              <w:jc w:val="left"/>
            </w:pPr>
            <w:r>
              <w:t xml:space="preserve">7 $</w:t>
            </w:r>
          </w:p>
        </w:tc>
      </w:tr>
      <w:tr>
        <w:tc>
          <w:tcPr/>
          <w:p>
            <w:pPr>
              <w:pStyle w:val="Compact"/>
            </w:pPr>
            <w:r>
              <w:t xml:space="preserve">Probabilité de réalisation du plan (estimation de l’équipe)</w:t>
            </w:r>
          </w:p>
        </w:tc>
        <w:tc>
          <w:tcPr/>
          <w:p>
            <w:pPr>
              <w:pStyle w:val="Compact"/>
            </w:pPr>
            <w:r>
              <w:t xml:space="preserve">65%</w:t>
            </w:r>
          </w:p>
        </w:tc>
        <w:tc>
          <w:tcPr/>
          <w:p>
            <w:pPr>
              <w:pStyle w:val="Compact"/>
            </w:pPr>
            <w:r>
              <w:t xml:space="preserve">45%</w:t>
            </w:r>
          </w:p>
        </w:tc>
        <w:tc>
          <w:tcPr/>
          <w:p>
            <w:pPr>
              <w:pStyle w:val="Compact"/>
              <w:jc w:val="left"/>
            </w:pPr>
            <w:r>
              <w:t xml:space="preserve">30%</w:t>
            </w:r>
          </w:p>
        </w:tc>
      </w:tr>
    </w:tbl>
    <w:bookmarkEnd w:id="25"/>
    <w:bookmarkEnd w:id="26"/>
    <w:bookmarkStart w:id="27" w:name="la-décision"/>
    <w:p>
      <w:pPr>
        <w:pStyle w:val="Heading1"/>
      </w:pPr>
      <w:r>
        <w:t xml:space="preserve">La décision</w:t>
      </w:r>
    </w:p>
    <w:p>
      <w:pPr>
        <w:pStyle w:val="FirstParagraph"/>
      </w:pPr>
      <w:r>
        <w:t xml:space="preserve">Chen regarda à nouveau le tableau de bord. BrightNest avait la preuve que les clients voulaient un nettoyage résidentiel pratique et que des milliers de personnes cliqueraient sur des opportunités de nettoyage flexibles. Elle ne savait pas encore si elle pouvait placer le bon agent de nettoyage au bon domicile, au bon moment, à un prix satisfaisant les deux parties de manière répétée.</w:t>
      </w:r>
    </w:p>
    <w:p>
      <w:pPr>
        <w:pStyle w:val="BodyText"/>
      </w:pPr>
      <w:r>
        <w:t xml:space="preserve">La réunion du conseil d’administration était dans quatre semaines. D’ici là, Chen devait décider quelle proposition de lancement recommander, combien dépenser en remises d’introduction, quel forfait de rémunération et d’équipement offrir aux agents de nettoyage, et quelles incertitudes justifiaient des expériences supplémentaires. Attendre préserverait le capital mais pourrait affaiblir l’élan du recrutement. S’étendre produirait de l’information plus rapidement mais pourrait transformer des échecs d’appariement local en un problème de réputation national.</w:t>
      </w:r>
    </w:p>
    <w:bookmarkEnd w:id="27"/>
    <w:bookmarkStart w:id="28" w:name="questions-de-discussion"/>
    <w:p>
      <w:pPr>
        <w:pStyle w:val="Heading1"/>
      </w:pPr>
      <w:r>
        <w:t xml:space="preserve">Questions de discussion</w:t>
      </w:r>
    </w:p>
    <w:p>
      <w:pPr>
        <w:numPr>
          <w:ilvl w:val="0"/>
          <w:numId w:val="1001"/>
        </w:numPr>
      </w:pPr>
      <w:r>
        <w:t xml:space="preserve">Comment BrightNest devrait-elle définir ses marchés adressable, desservable, et raisonnablement atteignable ?</w:t>
      </w:r>
    </w:p>
    <w:p>
      <w:pPr>
        <w:numPr>
          <w:ilvl w:val="0"/>
          <w:numId w:val="1001"/>
        </w:numPr>
      </w:pPr>
      <w:r>
        <w:t xml:space="preserve">La principale contrainte est-elle la demande client, l’offre d’agents de nettoyage, l’appariement géographique, la qualité de service, ou l’économie unitaire ? Quelles preuves soutiennent votre réponse ?</w:t>
      </w:r>
    </w:p>
    <w:p>
      <w:pPr>
        <w:numPr>
          <w:ilvl w:val="0"/>
          <w:numId w:val="1001"/>
        </w:numPr>
      </w:pPr>
      <w:r>
        <w:t xml:space="preserve">Comment l’entreprise devrait-elle mesurer la valeur vie client lorsque la rétention peut dépendre du maintien du même agent de nettoyage ?</w:t>
      </w:r>
    </w:p>
    <w:p>
      <w:pPr>
        <w:numPr>
          <w:ilvl w:val="0"/>
          <w:numId w:val="1001"/>
        </w:numPr>
      </w:pPr>
      <w:r>
        <w:t xml:space="preserve">Quelle remise d’introduction, le cas échéant, BrightNest devrait-elle offrir ? Comment cette remise devrait-elle varier selon le marché ou le client ?</w:t>
      </w:r>
    </w:p>
    <w:p>
      <w:pPr>
        <w:numPr>
          <w:ilvl w:val="0"/>
          <w:numId w:val="1001"/>
        </w:numPr>
      </w:pPr>
      <w:r>
        <w:t xml:space="preserve">Quel système de rémunération équilibrerait des gains attractifs, la flexibilité des horaires, le temps de déplacement, la qualité de service, et les marges de l’entreprise ?</w:t>
      </w:r>
    </w:p>
    <w:p>
      <w:pPr>
        <w:numPr>
          <w:ilvl w:val="0"/>
          <w:numId w:val="1001"/>
        </w:numPr>
      </w:pPr>
      <w:r>
        <w:t xml:space="preserve">BrightNest devrait-elle fournir les outils et produits de nettoyage ? Quelles conséquences opérationnelles et juridiques découlent de chaque modèle d’approvisionnement ?</w:t>
      </w:r>
    </w:p>
    <w:p>
      <w:pPr>
        <w:numPr>
          <w:ilvl w:val="0"/>
          <w:numId w:val="1001"/>
        </w:numPr>
      </w:pPr>
      <w:r>
        <w:t xml:space="preserve">Quelles mesures relatives aux agents de nettoyage la direction devrait-elle surveiller : rémunération à l’heure active, rémunération à l’heure totale, acceptation, annulations, rétention, évaluations, ou autre chose ?</w:t>
      </w:r>
    </w:p>
    <w:p>
      <w:pPr>
        <w:numPr>
          <w:ilvl w:val="0"/>
          <w:numId w:val="1001"/>
        </w:numPr>
      </w:pPr>
      <w:r>
        <w:t xml:space="preserve">Comment l’incertitude de la politique d’immigration devrait-elle affecter la sélection du marché, le recrutement, la conformité, et la planification de scénarios sans encourager des hypothèses discriminatoires ?</w:t>
      </w:r>
    </w:p>
    <w:p>
      <w:pPr>
        <w:numPr>
          <w:ilvl w:val="0"/>
          <w:numId w:val="1001"/>
        </w:numPr>
      </w:pPr>
      <w:r>
        <w:t xml:space="preserve">BrightNest devrait-elle poursuivre une densité sur cinq villes, une place de marché sur 25 villes, une disponibilité nationale, ou une autre séquence d’expansion ?</w:t>
      </w:r>
    </w:p>
    <w:p>
      <w:pPr>
        <w:numPr>
          <w:ilvl w:val="0"/>
          <w:numId w:val="1001"/>
        </w:numPr>
      </w:pPr>
      <w:r>
        <w:t xml:space="preserve">Quelles expériences fourniraient la plus grande valeur d’information avant que l’entreprise n’engage la majeure partie de son capital ?</w:t>
      </w:r>
    </w:p>
    <w:bookmarkEnd w:id="28"/>
    <w:bookmarkStart w:id="34"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9">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30">
        <w:r>
          <w:rPr>
            <w:rStyle w:val="Hyperlink"/>
          </w:rPr>
          <w:t xml:space="preserve">outil de priorisation des décisions</w:t>
        </w:r>
      </w:hyperlink>
      <w:r>
        <w:t xml:space="preserve"> </w:t>
      </w:r>
      <w:r>
        <w:t xml:space="preserve">pour d’abord lister les différents types de décisions (utilisez les</w:t>
      </w:r>
      <w:r>
        <w:t xml:space="preserve"> </w:t>
      </w:r>
      <w:hyperlink r:id="rId31">
        <w:r>
          <w:rPr>
            <w:rStyle w:val="Hyperlink"/>
          </w:rPr>
          <w:t xml:space="preserve">types de décisions</w:t>
        </w:r>
      </w:hyperlink>
      <w:r>
        <w:t xml:space="preserve"> </w:t>
      </w:r>
      <w:r>
        <w:t xml:space="preserve">comme guide). Celles-ci alimenteront alors les lignes de la matrice à droite, où les colonnes sont les métriques de performance triées de gauche à droite par priorité selon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de chaque ligne pour la déplacer vers le haut ou vers le bas. Triez les lignes de sorte que les décisions ayant l’impact le plus important sur les métriques les plus importantes se trouvent vers le haut. Les cellules du coin supérieur gauche devraient présenter la plus forte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32">
        <w:r>
          <w:rPr>
            <w:rStyle w:val="Hyperlink"/>
          </w:rPr>
          <w:t xml:space="preserve">outil de priorisation des incertitudes</w:t>
        </w:r>
      </w:hyperlink>
      <w:r>
        <w:t xml:space="preserve">. Utilisez les</w:t>
      </w:r>
      <w:r>
        <w:t xml:space="preserve"> </w:t>
      </w:r>
      <w:hyperlink r:id="rId33">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par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celle identifiée au point (7), identifiez les personnes, départements, groupes ou organisations avec lesquels vous devriez travailler pour mettre en œuvre la décision.</w:t>
      </w:r>
    </w:p>
    <w:bookmarkEnd w:id="34"/>
    <w:bookmarkStart w:id="35" w:name="données-publiques-et-hypothèses-du-cas"/>
    <w:p>
      <w:pPr>
        <w:pStyle w:val="Heading1"/>
      </w:pPr>
      <w:r>
        <w:t xml:space="preserve">Données publiques et hypothèses du cas</w:t>
      </w:r>
    </w:p>
    <w:p>
      <w:pPr>
        <w:pStyle w:val="FirstParagraph"/>
      </w:pPr>
      <w:r>
        <w:t xml:space="preserve">Ce cas combine des statistiques publiques avec des données d’entreprise fictives. Les estimations de taille de marché sont des calculs de scénarios, et non des mesures officielles des dépenses de nettoyage résidentiel. Le contexte public clé comprend :</w:t>
      </w:r>
    </w:p>
    <w:p>
      <w:pPr>
        <w:numPr>
          <w:ilvl w:val="0"/>
          <w:numId w:val="1005"/>
        </w:numPr>
      </w:pPr>
      <w:r>
        <w:t xml:space="preserve">U.S. Census Bureau QuickFacts : environ 2,53 personnes par foyer entre 2020 et 2024, combiné aux estimations de population nationale, soutient une estimation d’ordre de grandeur d’environ 132 millions de foyers.</w:t>
      </w:r>
    </w:p>
    <w:p>
      <w:pPr>
        <w:numPr>
          <w:ilvl w:val="0"/>
          <w:numId w:val="1005"/>
        </w:numPr>
      </w:pPr>
      <w:r>
        <w:t xml:space="preserve">U.S. Bureau of Labor Statistics, Occupational Employment and Wage Statistics de mai 2025 : 860 670 femmes de ménage et agents d’entretien ; rémunération horaire moyenne de 17,83 $ ; rémunération horaire médiane de 17,07 $.</w:t>
      </w:r>
    </w:p>
    <w:p>
      <w:pPr>
        <w:numPr>
          <w:ilvl w:val="0"/>
          <w:numId w:val="1005"/>
        </w:numPr>
      </w:pPr>
      <w:r>
        <w:t xml:space="preserve">BLS Foreign-Born Workers, 2025 : les travailleurs nés à l’étranger étaient plus susceptibles que les travailleurs nés aux États-Unis d’être employés dans des professions de service, 21,2 pour cent contre 15,6 pour cent.</w:t>
      </w:r>
    </w:p>
    <w:p>
      <w:pPr>
        <w:numPr>
          <w:ilvl w:val="0"/>
          <w:numId w:val="1005"/>
        </w:numPr>
      </w:pPr>
      <w:r>
        <w:t xml:space="preserve">Census Nonemployer Statistics : les services de conciergerie figuraient parmi les plus importantes industries probables de l’économie des petits boulots, avec environ 20 milliards de dollars de recettes en 2023 pour les entreprises individuelles.</w:t>
      </w:r>
    </w:p>
    <w:p>
      <w:pPr>
        <w:numPr>
          <w:ilvl w:val="0"/>
          <w:numId w:val="1005"/>
        </w:numPr>
      </w:pPr>
      <w:r>
        <w:t xml:space="preserve">Directives USCIS Form I-9 : les employeurs américains doivent vérifier l’admissibilité à l’emploi pour chaque employé embauché, y compris les citoyens américains, tout en respectant les exigences anti-discrimination.</w:t>
      </w:r>
    </w:p>
    <w:p>
      <w:pPr>
        <w:pStyle w:val="FirstParagraph"/>
      </w:pPr>
      <w:r>
        <w:t xml:space="preserve">Sources consultées (consultées en juillet 2026) : U.S. Bureau of Labor Statistics, Occupational Employment and Wage Statistics, mai 2025 ; BLS, Labor Force Characteristics of Foreign-Born Workers, 2025 ; U.S. Census Bureau, QuickFacts et 2023 Nonemployer Statistics ; U.S. Citizenship and Immigration Services, Form I-9 Central. Tous les prix, taux de conversion, coûts, prévisions et événements d’entreprise de BrightNest sont fictifs.</w:t>
      </w:r>
    </w:p>
    <w:bookmarkEnd w:id="35"/>
    <w:bookmarkStart w:id="36" w:name="commentaires-de-chatgpt"/>
    <w:p>
      <w:pPr>
        <w:pStyle w:val="Heading1"/>
      </w:pPr>
      <w:r>
        <w:t xml:space="preserve">Commentaires de ChatGPT</w:t>
      </w:r>
    </w:p>
    <w:p>
      <w:pPr>
        <w:pStyle w:val="FirstParagraph"/>
      </w:pPr>
      <w:r>
        <w:t xml:space="preserve">Ce cas examine une start-up fictive qui doit simultanément construire la demande client et recruter un réseau d’agents de nettoyage géographiquement dense et fiable. Il comprend :</w:t>
      </w:r>
    </w:p>
    <w:p>
      <w:pPr>
        <w:numPr>
          <w:ilvl w:val="0"/>
          <w:numId w:val="1006"/>
        </w:numPr>
      </w:pPr>
      <w:r>
        <w:t xml:space="preserve">Des alternatives d’acquisition de clients à travers la recherche, les réseaux sociaux, les parrainages, les places de marché et les partenariats institutionnels</w:t>
      </w:r>
    </w:p>
    <w:p>
      <w:pPr>
        <w:numPr>
          <w:ilvl w:val="0"/>
          <w:numId w:val="1006"/>
        </w:numPr>
      </w:pPr>
      <w:r>
        <w:t xml:space="preserve">Des remises d’introduction et l’incertitude de la valeur vie client</w:t>
      </w:r>
    </w:p>
    <w:p>
      <w:pPr>
        <w:numPr>
          <w:ilvl w:val="0"/>
          <w:numId w:val="1006"/>
        </w:numPr>
      </w:pPr>
      <w:r>
        <w:t xml:space="preserve">La rémunération des agents de nettoyage, la flexibilité, le temps de déplacement, la rétention, et les politiques d’équipement</w:t>
      </w:r>
    </w:p>
    <w:p>
      <w:pPr>
        <w:numPr>
          <w:ilvl w:val="0"/>
          <w:numId w:val="1006"/>
        </w:numPr>
      </w:pPr>
      <w:r>
        <w:t xml:space="preserve">Des considérations employé versus travailleur indépendant</w:t>
      </w:r>
    </w:p>
    <w:p>
      <w:pPr>
        <w:numPr>
          <w:ilvl w:val="0"/>
          <w:numId w:val="1006"/>
        </w:numPr>
      </w:pPr>
      <w:r>
        <w:t xml:space="preserve">L’incertitude liée à la politique d’immigration et à la vérification d’emploi</w:t>
      </w:r>
    </w:p>
    <w:p>
      <w:pPr>
        <w:numPr>
          <w:ilvl w:val="0"/>
          <w:numId w:val="1006"/>
        </w:numPr>
      </w:pPr>
      <w:r>
        <w:t xml:space="preserve">Des stratégies de déploiement régional, multi-villes, et national</w:t>
      </w:r>
    </w:p>
    <w:p>
      <w:pPr>
        <w:numPr>
          <w:ilvl w:val="0"/>
          <w:numId w:val="1006"/>
        </w:numPr>
      </w:pPr>
      <w:r>
        <w:t xml:space="preserve">Des estimations de demande de marché, l’économie unitaire, les entonnoirs de recrutement, et les scénarios de lancement</w:t>
      </w:r>
    </w:p>
    <w:p>
      <w:pPr>
        <w:numPr>
          <w:ilvl w:val="0"/>
          <w:numId w:val="1006"/>
        </w:numPr>
      </w:pPr>
      <w:r>
        <w:t xml:space="preserve">Dix questions de discussion sans solution préférée</w:t>
      </w:r>
    </w:p>
    <w:p>
      <w:pPr>
        <w:pStyle w:val="FirstParagraph"/>
      </w:pPr>
      <w:r>
        <w:t xml:space="preserve">Le contexte de main-d’œuvre utilise les estimations actuelles du BLS d’environ 860 670 femmes de ménage et agents d’entretien, avec une rémunération horaire moyenne de 17,83 $ en mai 2025. Il incorpore également les conclusions du BLS selon lesquelles les travailleurs nés à l’étranger étaient plus concentrés dans les professions de service que les travailleurs nés aux États-Unis en 2025.</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0" Target="https://warrenpowell.org/decision-framing-tool/#decision-prioritization-tool" TargetMode="External" /><Relationship Type="http://schemas.openxmlformats.org/officeDocument/2006/relationships/hyperlink" Id="rId29" Target="https://warrenpowell.org/decision-framing-tool/#metrics-pyramid-tool" TargetMode="External" /><Relationship Type="http://schemas.openxmlformats.org/officeDocument/2006/relationships/hyperlink" Id="rId32" Target="https://warrenpowell.org/decision-framing-tool/#uncertainty-prioritization-tool" TargetMode="External" /><Relationship Type="http://schemas.openxmlformats.org/officeDocument/2006/relationships/hyperlink" Id="rId31" Target="https://warrenpowell.org/decisionsdecisions/#types-of-decision-settings" TargetMode="External" /><Relationship Type="http://schemas.openxmlformats.org/officeDocument/2006/relationships/hyperlink" Id="rId33"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2026-09-11T15:38:54Z</dcterms:created>
  <dcterms:modified xsi:type="dcterms:W3CDTF">2026-09-11T15:38:54Z</dcterms:modified>
</cp:coreProperties>
</file>

<file path=docProps/custom.xml><?xml version="1.0" encoding="utf-8"?>
<Properties xmlns="http://schemas.openxmlformats.org/officeDocument/2006/custom-properties" xmlns:vt="http://schemas.openxmlformats.org/officeDocument/2006/docPropsVTypes"/>
</file>