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Crestline Biotherapies</w:t>
      </w:r>
    </w:p>
    <w:p>
      <w:pPr>
        <w:pStyle w:val="BodyText"/>
      </w:pPr>
      <w:r>
        <w:t xml:space="preserve">La décision de la semaine 28</w:t>
      </w:r>
    </w:p>
    <w:p>
      <w:pPr>
        <w:pStyle w:val="BodyText"/>
      </w:pPr>
      <w:r>
        <w:rPr>
          <w:i/>
          <w:iCs/>
        </w:rPr>
        <w:t xml:space="preserve">Une étude de cas de développement clinique sur la décision de ce qu’il faut apprendre ensuite lorsque le temps, les patients, le capital et la durée de vie du brevet sont tous limités</w:t>
      </w:r>
    </w:p>
    <w:p>
      <w:pPr>
        <w:pStyle w:val="BodyText"/>
      </w:pPr>
      <w:r>
        <w:t xml:space="preserve">Ce cas est fictif et destiné à une discussion pédagogique. Les noms, événements, produits et données de l’entreprise sont inventés ; les statistiques publiques sont citées dans la note source.</w:t>
      </w:r>
    </w:p>
    <w:tbl>
      <w:tblPr>
        <w:tblStyle w:val="Table"/>
        <w:tblW w:type="auto" w:w="0"/>
        <w:tblLook w:firstRow="0" w:lastRow="0" w:firstColumn="0" w:lastColumn="0" w:noHBand="0" w:noVBand="0" w:val="0000"/>
      </w:tblPr>
      <w:tblGrid>
        <w:gridCol w:w="7920"/>
      </w:tblGrid>
      <w:tr>
        <w:tc>
          <w:tcPr/>
          <w:p>
            <w:pPr>
              <w:pStyle w:val="Compact"/>
            </w:pPr>
            <w:r>
              <w:t xml:space="preserve">En octobre 2026, Crestline doit décider s’il faut étendre, redéfinir, mettre en pause ou mettre fin à un essai de Phase II pour un traitement expérimental contre une maladie pulmonaire inflammatoire. Les premiers résultats suggèrent une amélioration significative pour certains patients, peu de bénéfice pour d’autres, et un signal de sécurité qui peut ou non être lié au traitement. Le recrutement est en retard de six mois par rapport au calendrier prévu, un concurrent a annoncé un essai pivot, et Crestline dispose de suffisamment de liquidités pour ne poursuivre qu’un seul programme de développement majeur.</w:t>
            </w:r>
          </w:p>
        </w:tc>
      </w:tr>
    </w:tbl>
    <w:p>
      <w:r>
        <w:pict>
          <v:rect style="width:0;height:1.5pt" o:hralign="center" o:hrstd="t" o:hr="t"/>
        </w:pict>
      </w:r>
    </w:p>
    <w:p>
      <w:pPr>
        <w:pStyle w:val="FirstParagraph"/>
      </w:pPr>
      <w:r>
        <w:t xml:space="preserve">Ce cas est fictif et destiné à une discussion pédagogique. Les noms, événements, résultats cliniques et chiffres financiers internes ont été créés pour ce cas. Les statistiques publiques sont résumées dans la note source.</w:t>
      </w:r>
    </w:p>
    <w:bookmarkStart w:id="9" w:name="lexamen-intermédiaire"/>
    <w:p>
      <w:pPr>
        <w:pStyle w:val="Heading1"/>
      </w:pPr>
      <w:r>
        <w:t xml:space="preserve">L’examen intermédiaire</w:t>
      </w:r>
    </w:p>
    <w:p>
      <w:pPr>
        <w:pStyle w:val="FirstParagraph"/>
      </w:pPr>
      <w:r>
        <w:t xml:space="preserve">À 7h30 le lundi matin, le Dr Elena Marquez, directrice médicale de Crestline Biotherapeutics, a ouvert le rapport confidentiel du comité indépendant de surveillance des données. Le composé phare de l’entreprise, le CLN-47, était testé chez des adultes atteints d’une maladie pulmonaire inflammatoire progressive dont les symptômes restaient mal contrôlés sous traitement standard. L’essai avait atteint 164 patients randomisés, bien en dessous des 240 prévus, mais le conseil d’administration avait autorisé un examen intermédiaire après que le recrutement ait ralenti et que plusieurs événements indésirables aient été signalés.</w:t>
      </w:r>
    </w:p>
    <w:p>
      <w:pPr>
        <w:pStyle w:val="BodyText"/>
      </w:pPr>
      <w:r>
        <w:t xml:space="preserve">Le rapport n’a pas fourni la réponse simple que Marquez avait espérée. Les patients recevant la dose la plus élevée ont montré une amélioration moyenne plus importante de la fonction pulmonaire que ceux recevant le placebo, mais la différence a manqué de peu le seuil statistique inscrit dans le protocole. Un sous-groupe identifié grâce à un biomarqueur sanguin semblait répondre fortement. Ce sous-groupe n’avait pas été désigné comme population primaire au début de l’essai, et le test de laboratoire utilisé pour l’identifier avait produit des résultats incohérents dans deux sites de l’essai.</w:t>
      </w:r>
    </w:p>
    <w:p>
      <w:pPr>
        <w:pStyle w:val="BodyText"/>
      </w:pPr>
      <w:r>
        <w:t xml:space="preserve">Cinq patients recevant le CLN-47 avaient présenté des élévations sérieuses des enzymes hépatiques, contre un patient recevant le placebo. Tous se sont rétablis après l’interruption du traitement. Les investigateurs n’étaient pas d’accord sur la question de savoir si ces événements reflétaient le médicament, d’autres médications, ou la maladie sous-jacente. Le comité n’a pas recommandé d’arrêter l’essai, mais a demandé à Crestline de renforcer la surveillance et de clarifier les conditions dans lesquelles le dosage serait suspendu.</w:t>
      </w:r>
    </w:p>
    <w:bookmarkEnd w:id="9"/>
    <w:bookmarkStart w:id="11" w:name="X09cf32cc2d73353e18aa68c44aed6a8c30d803a"/>
    <w:p>
      <w:pPr>
        <w:pStyle w:val="Heading1"/>
      </w:pPr>
      <w:r>
        <w:t xml:space="preserve">Un chemin à coût élevé avec une faible probabilité d’arrivée</w:t>
      </w:r>
    </w:p>
    <w:p>
      <w:pPr>
        <w:pStyle w:val="FirstParagraph"/>
      </w:pPr>
      <w:r>
        <w:t xml:space="preserve">Le développement clinique exigeait que les entreprises engagent un capital substantiel avant de savoir si un traitement serait sûr, efficace, approuvable, fabricable, ou commercialement accepté. Les essais de Phase III recrutent généralement des centaines ou des milliers de participants et fournissent une grande partie des preuves utilisées dans l’examen réglementaire. Les estimations sectorielles situent souvent le coût total du développement d’un médicament approuvé, y compris les programmes infructueux, dans les milliards de dollars, et le temps écoulé entre 10 et 15 ans.</w:t>
      </w:r>
    </w:p>
    <w:p>
      <w:pPr>
        <w:pStyle w:val="BodyText"/>
      </w:pPr>
      <w:r>
        <w:t xml:space="preserve">L’échec était courant. Les estimations publiées varient selon le domaine pathologique et la méthodologie, mais seule une minorité des composés entrant dans les essais chez l’humain reçoivent finalement une approbation. Le recrutement lui-même pouvait devenir une source majeure de retard : des revues de recherche ont rapporté que de nombreux essais manquent leurs objectifs ou calendriers de recrutement initiaux, tandis qu’une analyse d’essais enregistrés a révélé un retard médian d’environ douze mois parmi les études terminées, et un abandon dans plus d’un cinquième de l’échantillon.</w:t>
      </w:r>
    </w:p>
    <w:p>
      <w:pPr>
        <w:pStyle w:val="BodyText"/>
      </w:pPr>
      <w:r>
        <w:t xml:space="preserve">Pour Crestline, le retard avait un autre coût. Le brevet principal du CLN-47 avait été déposé sept ans plus tôt. Chaque année supplémentaire passée en développement réduisait la période pendant laquelle l’entreprise pourrait vendre le traitement sans concurrence directe des génériques. Pourtant, agir trop rapidement pourrait produire une étude sous-dimensionnée, exposer les patients à une dose dangereuse, ou conduire les régulateurs à rejeter les preuves.</w:t>
      </w:r>
    </w:p>
    <w:bookmarkStart w:id="10" w:name="X6ea4021a6aca3907d006897d3f46dbf1e7c4da6"/>
    <w:p>
      <w:pPr>
        <w:pStyle w:val="Heading2"/>
      </w:pPr>
      <w:r>
        <w:t xml:space="preserve">Exhibit 1. État de l’essai de Phase II du CLN-47</w:t>
      </w:r>
    </w:p>
    <w:tbl>
      <w:tblPr>
        <w:tblStyle w:val="Table"/>
        <w:tblW w:type="pct" w:w="4936"/>
        <w:tblLayout w:type="fixed"/>
        <w:tblLook w:firstRow="1" w:lastRow="0" w:firstColumn="0" w:lastColumn="0" w:noHBand="0" w:noVBand="0" w:val="0020"/>
      </w:tblPr>
      <w:tblGrid>
        <w:gridCol w:w="1523"/>
        <w:gridCol w:w="1929"/>
        <w:gridCol w:w="2183"/>
        <w:gridCol w:w="2183"/>
      </w:tblGrid>
      <w:tr>
        <w:trPr>
          <w:tblHeader w:val="on"/>
        </w:trPr>
        <w:tc>
          <w:tcPr/>
          <w:p>
            <w:pPr>
              <w:pStyle w:val="Compact"/>
              <w:jc w:val="left"/>
            </w:pPr>
            <w:r>
              <w:t xml:space="preserve">Mesure</w:t>
            </w:r>
          </w:p>
        </w:tc>
        <w:tc>
          <w:tcPr/>
          <w:p>
            <w:pPr>
              <w:pStyle w:val="Compact"/>
              <w:jc w:val="left"/>
            </w:pPr>
            <w:r>
              <w:t xml:space="preserve">Plan du protocole</w:t>
            </w:r>
          </w:p>
        </w:tc>
        <w:tc>
          <w:tcPr/>
          <w:p>
            <w:pPr>
              <w:pStyle w:val="Compact"/>
              <w:jc w:val="left"/>
            </w:pPr>
            <w:r>
              <w:t xml:space="preserve">État à la semaine 28</w:t>
            </w:r>
          </w:p>
        </w:tc>
        <w:tc>
          <w:tcPr/>
          <w:p>
            <w:pPr>
              <w:pStyle w:val="Compact"/>
              <w:jc w:val="left"/>
            </w:pPr>
            <w:r>
              <w:t xml:space="preserve">Préoccupation de la direction</w:t>
            </w:r>
          </w:p>
        </w:tc>
      </w:tr>
      <w:tr>
        <w:tc>
          <w:tcPr/>
          <w:p>
            <w:pPr>
              <w:pStyle w:val="Compact"/>
              <w:jc w:val="left"/>
            </w:pPr>
            <w:r>
              <w:t xml:space="preserve">Patients randomisés</w:t>
            </w:r>
          </w:p>
        </w:tc>
        <w:tc>
          <w:tcPr/>
          <w:p>
            <w:pPr>
              <w:pStyle w:val="Compact"/>
              <w:jc w:val="left"/>
            </w:pPr>
            <w:r>
              <w:t xml:space="preserve">240</w:t>
            </w:r>
          </w:p>
        </w:tc>
        <w:tc>
          <w:tcPr/>
          <w:p>
            <w:pPr>
              <w:pStyle w:val="Compact"/>
              <w:jc w:val="left"/>
            </w:pPr>
            <w:r>
              <w:t xml:space="preserve">164</w:t>
            </w:r>
          </w:p>
        </w:tc>
        <w:tc>
          <w:tcPr/>
          <w:p>
            <w:pPr>
              <w:pStyle w:val="Compact"/>
              <w:jc w:val="left"/>
            </w:pPr>
            <w:r>
              <w:t xml:space="preserve">Recrutement en retard de six mois</w:t>
            </w:r>
          </w:p>
        </w:tc>
      </w:tr>
      <w:tr>
        <w:tc>
          <w:tcPr/>
          <w:p>
            <w:pPr>
              <w:pStyle w:val="Compact"/>
              <w:jc w:val="left"/>
            </w:pPr>
            <w:r>
              <w:t xml:space="preserve">Sites d’essai</w:t>
            </w:r>
          </w:p>
        </w:tc>
        <w:tc>
          <w:tcPr/>
          <w:p>
            <w:pPr>
              <w:pStyle w:val="Compact"/>
              <w:jc w:val="left"/>
            </w:pPr>
            <w:r>
              <w:t xml:space="preserve">32</w:t>
            </w:r>
          </w:p>
        </w:tc>
        <w:tc>
          <w:tcPr/>
          <w:p>
            <w:pPr>
              <w:pStyle w:val="Compact"/>
              <w:jc w:val="left"/>
            </w:pPr>
            <w:r>
              <w:t xml:space="preserve">29 ouverts ; 18 recrutant activement</w:t>
            </w:r>
          </w:p>
        </w:tc>
        <w:tc>
          <w:tcPr/>
          <w:p>
            <w:pPr>
              <w:pStyle w:val="Compact"/>
              <w:jc w:val="left"/>
            </w:pPr>
            <w:r>
              <w:t xml:space="preserve">Grande variation entre les sites</w:t>
            </w:r>
          </w:p>
        </w:tc>
      </w:tr>
      <w:tr>
        <w:tc>
          <w:tcPr/>
          <w:p>
            <w:pPr>
              <w:pStyle w:val="Compact"/>
              <w:jc w:val="left"/>
            </w:pPr>
            <w:r>
              <w:t xml:space="preserve">Critère principal</w:t>
            </w:r>
          </w:p>
        </w:tc>
        <w:tc>
          <w:tcPr/>
          <w:p>
            <w:pPr>
              <w:pStyle w:val="Compact"/>
              <w:jc w:val="left"/>
            </w:pPr>
            <w:r>
              <w:t xml:space="preserve">Changement de la fonction pulmonaire</w:t>
            </w:r>
            <w:r>
              <w:t xml:space="preserve"> </w:t>
            </w:r>
            <w:r>
              <w:t xml:space="preserve">à 24 semaines</w:t>
            </w:r>
          </w:p>
        </w:tc>
        <w:tc>
          <w:tcPr/>
          <w:p>
            <w:pPr>
              <w:pStyle w:val="Compact"/>
              <w:jc w:val="left"/>
            </w:pPr>
            <w:r>
              <w:t xml:space="preserve">Dose élevée +3,8% ; placebo +1,9%</w:t>
            </w:r>
          </w:p>
        </w:tc>
        <w:tc>
          <w:tcPr/>
          <w:p>
            <w:pPr>
              <w:pStyle w:val="Compact"/>
              <w:jc w:val="left"/>
            </w:pPr>
            <w:r>
              <w:t xml:space="preserve">Différence sous le seuil pré-spécifié</w:t>
            </w:r>
          </w:p>
        </w:tc>
      </w:tr>
      <w:tr>
        <w:tc>
          <w:tcPr/>
          <w:p>
            <w:pPr>
              <w:pStyle w:val="Compact"/>
              <w:jc w:val="left"/>
            </w:pPr>
            <w:r>
              <w:t xml:space="preserve">Sous-groupe biomarqueur</w:t>
            </w:r>
            <w:r>
              <w:t xml:space="preserve"> </w:t>
            </w:r>
            <w:r>
              <w:t xml:space="preserve">positif</w:t>
            </w:r>
          </w:p>
        </w:tc>
        <w:tc>
          <w:tcPr/>
          <w:p>
            <w:pPr>
              <w:pStyle w:val="Compact"/>
              <w:jc w:val="left"/>
            </w:pPr>
            <w:r>
              <w:t xml:space="preserve">Exploratoire uniquement</w:t>
            </w:r>
          </w:p>
        </w:tc>
        <w:tc>
          <w:tcPr/>
          <w:p>
            <w:pPr>
              <w:pStyle w:val="Compact"/>
              <w:jc w:val="left"/>
            </w:pPr>
            <w:r>
              <w:t xml:space="preserve">Dose élevée +6,4% ; placebo +1,6%</w:t>
            </w:r>
          </w:p>
        </w:tc>
        <w:tc>
          <w:tcPr/>
          <w:p>
            <w:pPr>
              <w:pStyle w:val="Compact"/>
              <w:jc w:val="left"/>
            </w:pPr>
            <w:r>
              <w:t xml:space="preserve">Prometteur mais non pré-spécifié</w:t>
            </w:r>
          </w:p>
        </w:tc>
      </w:tr>
      <w:tr>
        <w:tc>
          <w:tcPr/>
          <w:p>
            <w:pPr>
              <w:pStyle w:val="Compact"/>
              <w:jc w:val="left"/>
            </w:pPr>
            <w:r>
              <w:t xml:space="preserve">Signaux hépatiques sérieux</w:t>
            </w:r>
          </w:p>
        </w:tc>
        <w:tc>
          <w:tcPr/>
          <w:p>
            <w:pPr>
              <w:pStyle w:val="Compact"/>
              <w:jc w:val="left"/>
            </w:pPr>
            <w:r>
              <w:t xml:space="preserve">Aucun déséquilibre attendu</w:t>
            </w:r>
          </w:p>
        </w:tc>
        <w:tc>
          <w:tcPr/>
          <w:p>
            <w:pPr>
              <w:pStyle w:val="Compact"/>
              <w:jc w:val="left"/>
            </w:pPr>
            <w:r>
              <w:t xml:space="preserve">5 traitement ; 1 placebo</w:t>
            </w:r>
          </w:p>
        </w:tc>
        <w:tc>
          <w:tcPr/>
          <w:p>
            <w:pPr>
              <w:pStyle w:val="Compact"/>
              <w:jc w:val="left"/>
            </w:pPr>
            <w:r>
              <w:t xml:space="preserve">Causalité incertaine</w:t>
            </w:r>
          </w:p>
        </w:tc>
      </w:tr>
      <w:tr>
        <w:tc>
          <w:tcPr/>
          <w:p>
            <w:pPr>
              <w:pStyle w:val="Compact"/>
              <w:jc w:val="left"/>
            </w:pPr>
            <w:r>
              <w:t xml:space="preserve">Retraits des participants</w:t>
            </w:r>
          </w:p>
        </w:tc>
        <w:tc>
          <w:tcPr/>
          <w:p>
            <w:pPr>
              <w:pStyle w:val="Compact"/>
              <w:jc w:val="left"/>
            </w:pPr>
            <w:r>
              <w:t xml:space="preserve">Inférieur à 15%</w:t>
            </w:r>
          </w:p>
        </w:tc>
        <w:tc>
          <w:tcPr/>
          <w:p>
            <w:pPr>
              <w:pStyle w:val="Compact"/>
              <w:jc w:val="left"/>
            </w:pPr>
            <w:r>
              <w:t xml:space="preserve">18% dose élevée ; 12% dose faible ;</w:t>
            </w:r>
            <w:r>
              <w:t xml:space="preserve"> </w:t>
            </w:r>
            <w:r>
              <w:t xml:space="preserve">10% placebo</w:t>
            </w:r>
          </w:p>
        </w:tc>
        <w:tc>
          <w:tcPr/>
          <w:p>
            <w:pPr>
              <w:pStyle w:val="Compact"/>
              <w:jc w:val="left"/>
            </w:pPr>
            <w:r>
              <w:t xml:space="preserve">Effets secondaires et charge des visites</w:t>
            </w:r>
          </w:p>
        </w:tc>
      </w:tr>
      <w:tr>
        <w:tc>
          <w:tcPr/>
          <w:p>
            <w:pPr>
              <w:pStyle w:val="Compact"/>
              <w:jc w:val="left"/>
            </w:pPr>
            <w:r>
              <w:t xml:space="preserve">Dépenses actuelles de l’essai</w:t>
            </w:r>
          </w:p>
        </w:tc>
        <w:tc>
          <w:tcPr/>
          <w:p>
            <w:pPr>
              <w:pStyle w:val="Compact"/>
              <w:jc w:val="left"/>
            </w:pPr>
            <w:r>
              <w:t xml:space="preserve">$42 millions au total</w:t>
            </w:r>
          </w:p>
        </w:tc>
        <w:tc>
          <w:tcPr/>
          <w:p>
            <w:pPr>
              <w:pStyle w:val="Compact"/>
              <w:jc w:val="left"/>
            </w:pPr>
            <w:r>
              <w:t xml:space="preserve">$34,6 millions engagés</w:t>
            </w:r>
          </w:p>
        </w:tc>
        <w:tc>
          <w:tcPr/>
          <w:p>
            <w:pPr>
              <w:pStyle w:val="Compact"/>
              <w:jc w:val="left"/>
            </w:pPr>
            <w:r>
              <w:t xml:space="preserve">Surveillance supplémentaire requise</w:t>
            </w:r>
          </w:p>
        </w:tc>
      </w:tr>
    </w:tbl>
    <w:bookmarkEnd w:id="10"/>
    <w:bookmarkEnd w:id="11"/>
    <w:bookmarkStart w:id="13" w:name="Xc00771778886803a478454aa2b8e5e64862477d"/>
    <w:p>
      <w:pPr>
        <w:pStyle w:val="Heading1"/>
      </w:pPr>
      <w:r>
        <w:t xml:space="preserve">Les patients que Crestline pouvait trouver</w:t>
      </w:r>
    </w:p>
    <w:p>
      <w:pPr>
        <w:pStyle w:val="FirstParagraph"/>
      </w:pPr>
      <w:r>
        <w:t xml:space="preserve">La maladie touchait environ 185 000 adultes aux États-Unis, mais seule une fraction répondait aux critères de l’étude. Les candidats devaient présenter une progression documentée, un traitement de fond stable, une fonction hépatique et rénale adéquate, et aucune participation récente à un autre essai. Beaucoup étaient plus âgés, vivaient loin des centres spécialisés, ou dépendaient de membres de la famille pour le transport. Le protocole exigeait onze visites en personne, des analyses sanguines répétées, une imagerie, et une évaluation de marche de six minutes sur trente-deux semaines.</w:t>
      </w:r>
    </w:p>
    <w:p>
      <w:pPr>
        <w:pStyle w:val="BodyText"/>
      </w:pPr>
      <w:r>
        <w:t xml:space="preserve">Crestline avait initialement sélectionné des hôpitaux universitaires de premier plan car leurs médecins comprenaient la maladie et pouvaient gérer des patients complexes. Ces centres avaient aussi des études concurrentes, des processus de contractualisation longs, et une capacité limitée de coordination. Sept sites avaient recruté moins de deux patients. Trois cabinets communautaires de pneumologie recrutaient rapidement mais généraient davantage de déviations au protocole. Un fournisseur de recherche mobile a proposé des prélèvements sanguins à domicile et une surveillance à distance des symptômes, mais les régulateurs n’avaient pas examiné le plan opérationnel révisé et plusieurs investigateurs se demandaient si les évaluations décentralisées seraient comparables aux mesures hospitalières.</w:t>
      </w:r>
    </w:p>
    <w:bookmarkStart w:id="12" w:name="Xa03a61a3d161a35b8c8aa752cde41e8b148da43"/>
    <w:p>
      <w:pPr>
        <w:pStyle w:val="Heading2"/>
      </w:pPr>
      <w:r>
        <w:t xml:space="preserve">Exhibit 2. Performance de recrutement par type de site</w:t>
      </w:r>
    </w:p>
    <w:tbl>
      <w:tblPr>
        <w:tblStyle w:val="Table"/>
        <w:tblW w:type="pct" w:w="4933"/>
        <w:tblLayout w:type="fixed"/>
        <w:tblLook w:firstRow="1" w:lastRow="0" w:firstColumn="0" w:lastColumn="0" w:noHBand="0" w:noVBand="0" w:val="0020"/>
      </w:tblPr>
      <w:tblGrid>
        <w:gridCol w:w="1689"/>
        <w:gridCol w:w="686"/>
        <w:gridCol w:w="1161"/>
        <w:gridCol w:w="897"/>
        <w:gridCol w:w="1267"/>
        <w:gridCol w:w="2112"/>
      </w:tblGrid>
      <w:tr>
        <w:trPr>
          <w:tblHeader w:val="on"/>
        </w:trPr>
        <w:tc>
          <w:tcPr/>
          <w:p>
            <w:pPr>
              <w:pStyle w:val="Compact"/>
              <w:jc w:val="left"/>
            </w:pPr>
            <w:r>
              <w:t xml:space="preserve">Type de site</w:t>
            </w:r>
          </w:p>
        </w:tc>
        <w:tc>
          <w:tcPr/>
          <w:p>
            <w:pPr>
              <w:pStyle w:val="Compact"/>
              <w:jc w:val="left"/>
            </w:pPr>
            <w:r>
              <w:t xml:space="preserve">Sites</w:t>
            </w:r>
            <w:r>
              <w:t xml:space="preserve"> </w:t>
            </w:r>
            <w:r>
              <w:t xml:space="preserve">ouverts</w:t>
            </w:r>
          </w:p>
        </w:tc>
        <w:tc>
          <w:tcPr/>
          <w:p>
            <w:pPr>
              <w:pStyle w:val="Compact"/>
              <w:jc w:val="center"/>
            </w:pPr>
            <w:r>
              <w:t xml:space="preserve">Patients É</w:t>
            </w:r>
            <w:r>
              <w:t xml:space="preserve"> </w:t>
            </w:r>
            <w:r>
              <w:t xml:space="preserve">randomisés</w:t>
            </w:r>
          </w:p>
        </w:tc>
        <w:tc>
          <w:tcPr/>
          <w:p>
            <w:pPr>
              <w:pStyle w:val="Compact"/>
              <w:jc w:val="center"/>
            </w:pPr>
            <w:r>
              <w:t xml:space="preserve">checs de Co</w:t>
            </w:r>
            <w:r>
              <w:t xml:space="preserve"> </w:t>
            </w:r>
            <w:r>
              <w:t xml:space="preserve">sélection</w:t>
            </w:r>
          </w:p>
        </w:tc>
        <w:tc>
          <w:tcPr/>
          <w:p>
            <w:pPr>
              <w:pStyle w:val="Compact"/>
            </w:pPr>
            <w:r>
              <w:t xml:space="preserve">ût mensuel par site Pro</w:t>
            </w:r>
          </w:p>
        </w:tc>
        <w:tc>
          <w:tcPr/>
          <w:p>
            <w:pPr>
              <w:pStyle w:val="Compact"/>
              <w:jc w:val="left"/>
            </w:pPr>
            <w:r>
              <w:t xml:space="preserve">blème observé</w:t>
            </w:r>
          </w:p>
        </w:tc>
      </w:tr>
      <w:tr>
        <w:tc>
          <w:tcPr/>
          <w:p>
            <w:pPr>
              <w:pStyle w:val="Compact"/>
              <w:jc w:val="left"/>
            </w:pPr>
            <w:r>
              <w:t xml:space="preserve">Centres médicaux universitaires</w:t>
            </w:r>
          </w:p>
        </w:tc>
        <w:tc>
          <w:tcPr/>
          <w:p>
            <w:pPr>
              <w:pStyle w:val="Compact"/>
              <w:jc w:val="left"/>
            </w:pPr>
            <w:r>
              <w:t xml:space="preserve">16</w:t>
            </w:r>
          </w:p>
        </w:tc>
        <w:tc>
          <w:tcPr/>
          <w:p>
            <w:pPr>
              <w:pStyle w:val="Compact"/>
              <w:jc w:val="center"/>
            </w:pPr>
            <w:r>
              <w:t xml:space="preserve">91</w:t>
            </w:r>
          </w:p>
        </w:tc>
        <w:tc>
          <w:tcPr/>
          <w:p>
            <w:pPr>
              <w:pStyle w:val="Compact"/>
              <w:jc w:val="center"/>
            </w:pPr>
            <w:r>
              <w:t xml:space="preserve">48%</w:t>
            </w:r>
          </w:p>
        </w:tc>
        <w:tc>
          <w:tcPr/>
          <w:p>
            <w:pPr>
              <w:pStyle w:val="Compact"/>
            </w:pPr>
            <w:r>
              <w:t xml:space="preserve">$68,000</w:t>
            </w:r>
          </w:p>
        </w:tc>
        <w:tc>
          <w:tcPr/>
          <w:p>
            <w:pPr>
              <w:pStyle w:val="Compact"/>
              <w:jc w:val="left"/>
            </w:pPr>
            <w:r>
              <w:t xml:space="preserve">Contractualisation lente ; forte</w:t>
            </w:r>
            <w:r>
              <w:t xml:space="preserve"> </w:t>
            </w:r>
            <w:r>
              <w:t xml:space="preserve">qualité des données</w:t>
            </w:r>
          </w:p>
        </w:tc>
      </w:tr>
      <w:tr>
        <w:tc>
          <w:tcPr/>
          <w:p>
            <w:pPr>
              <w:pStyle w:val="Compact"/>
              <w:jc w:val="left"/>
            </w:pPr>
            <w:r>
              <w:t xml:space="preserve">Hôpitaux régionaux</w:t>
            </w:r>
          </w:p>
        </w:tc>
        <w:tc>
          <w:tcPr/>
          <w:p>
            <w:pPr>
              <w:pStyle w:val="Compact"/>
              <w:jc w:val="left"/>
            </w:pPr>
            <w:r>
              <w:t xml:space="preserve">8</w:t>
            </w:r>
          </w:p>
        </w:tc>
        <w:tc>
          <w:tcPr/>
          <w:p>
            <w:pPr>
              <w:pStyle w:val="Compact"/>
              <w:jc w:val="center"/>
            </w:pPr>
            <w:r>
              <w:t xml:space="preserve">38</w:t>
            </w:r>
          </w:p>
        </w:tc>
        <w:tc>
          <w:tcPr/>
          <w:p>
            <w:pPr>
              <w:pStyle w:val="Compact"/>
              <w:jc w:val="center"/>
            </w:pPr>
            <w:r>
              <w:t xml:space="preserve">42%</w:t>
            </w:r>
          </w:p>
        </w:tc>
        <w:tc>
          <w:tcPr/>
          <w:p>
            <w:pPr>
              <w:pStyle w:val="Compact"/>
            </w:pPr>
            <w:r>
              <w:t xml:space="preserve">$47,000</w:t>
            </w:r>
          </w:p>
        </w:tc>
        <w:tc>
          <w:tcPr/>
          <w:p>
            <w:pPr>
              <w:pStyle w:val="Compact"/>
              <w:jc w:val="left"/>
            </w:pPr>
            <w:r>
              <w:t xml:space="preserve">Attention variable des investigateurs</w:t>
            </w:r>
          </w:p>
        </w:tc>
      </w:tr>
      <w:tr>
        <w:tc>
          <w:tcPr/>
          <w:p>
            <w:pPr>
              <w:pStyle w:val="Compact"/>
              <w:jc w:val="left"/>
            </w:pPr>
            <w:r>
              <w:t xml:space="preserve">Cabinets communautaires de</w:t>
            </w:r>
            <w:r>
              <w:t xml:space="preserve"> </w:t>
            </w:r>
            <w:r>
              <w:t xml:space="preserve">pneumologie</w:t>
            </w:r>
          </w:p>
        </w:tc>
        <w:tc>
          <w:tcPr/>
          <w:p>
            <w:pPr>
              <w:pStyle w:val="Compact"/>
              <w:jc w:val="left"/>
            </w:pPr>
            <w:r>
              <w:t xml:space="preserve">5</w:t>
            </w:r>
          </w:p>
        </w:tc>
        <w:tc>
          <w:tcPr/>
          <w:p>
            <w:pPr>
              <w:pStyle w:val="Compact"/>
              <w:jc w:val="center"/>
            </w:pPr>
            <w:r>
              <w:t xml:space="preserve">29</w:t>
            </w:r>
          </w:p>
        </w:tc>
        <w:tc>
          <w:tcPr/>
          <w:p>
            <w:pPr>
              <w:pStyle w:val="Compact"/>
              <w:jc w:val="center"/>
            </w:pPr>
            <w:r>
              <w:t xml:space="preserve">31%</w:t>
            </w:r>
          </w:p>
        </w:tc>
        <w:tc>
          <w:tcPr/>
          <w:p>
            <w:pPr>
              <w:pStyle w:val="Compact"/>
            </w:pPr>
            <w:r>
              <w:t xml:space="preserve">$34,000</w:t>
            </w:r>
          </w:p>
        </w:tc>
        <w:tc>
          <w:tcPr/>
          <w:p>
            <w:pPr>
              <w:pStyle w:val="Compact"/>
              <w:jc w:val="left"/>
            </w:pPr>
            <w:r>
              <w:t xml:space="preserve">Recrutement plus rapide ; plus de</w:t>
            </w:r>
            <w:r>
              <w:t xml:space="preserve"> </w:t>
            </w:r>
            <w:r>
              <w:t xml:space="preserve">déviations</w:t>
            </w:r>
          </w:p>
        </w:tc>
      </w:tr>
      <w:tr>
        <w:tc>
          <w:tcPr/>
          <w:p>
            <w:pPr>
              <w:pStyle w:val="Compact"/>
              <w:jc w:val="left"/>
            </w:pPr>
            <w:r>
              <w:t xml:space="preserve">Cliniques de recherche dédiées</w:t>
            </w:r>
          </w:p>
        </w:tc>
        <w:tc>
          <w:tcPr/>
          <w:p>
            <w:pPr>
              <w:pStyle w:val="Compact"/>
              <w:jc w:val="left"/>
            </w:pPr>
            <w:r>
              <w:t xml:space="preserve">3</w:t>
            </w:r>
          </w:p>
        </w:tc>
        <w:tc>
          <w:tcPr/>
          <w:p>
            <w:pPr>
              <w:pStyle w:val="Compact"/>
              <w:jc w:val="center"/>
            </w:pPr>
            <w:r>
              <w:t xml:space="preserve">6</w:t>
            </w:r>
          </w:p>
        </w:tc>
        <w:tc>
          <w:tcPr/>
          <w:p>
            <w:pPr>
              <w:pStyle w:val="Compact"/>
              <w:jc w:val="center"/>
            </w:pPr>
            <w:r>
              <w:t xml:space="preserve">55%</w:t>
            </w:r>
          </w:p>
        </w:tc>
        <w:tc>
          <w:tcPr/>
          <w:p>
            <w:pPr>
              <w:pStyle w:val="Compact"/>
            </w:pPr>
            <w:r>
              <w:t xml:space="preserve">$51,000</w:t>
            </w:r>
          </w:p>
        </w:tc>
        <w:tc>
          <w:tcPr/>
          <w:p>
            <w:pPr>
              <w:pStyle w:val="Compact"/>
              <w:jc w:val="left"/>
            </w:pPr>
            <w:r>
              <w:t xml:space="preserve">Réseau de référence faible</w:t>
            </w:r>
          </w:p>
        </w:tc>
      </w:tr>
    </w:tbl>
    <w:p>
      <w:pPr>
        <w:pStyle w:val="BodyText"/>
      </w:pPr>
      <w:r>
        <w:t xml:space="preserve">L’équipe commerciale a proposé d’ouvrir douze cliniques dédiées dans des emplacements commerciaux métropolitains et de faire de la publicité directement auprès des patients via les réseaux sociaux et les groupes de défense des malades. L’équipe clinique s’inquiétait qu’un recrutement agressif puisse produire un grand nombre de candidats inéligibles, susciter des attentes chez des patients gravement malades, et créer l’apparence que l’entreprise commercialisait un médicament avant son approbation. Les défenseurs des patients ont soutenu que le remboursement des frais de déplacement, les rendez-vous en soirée, les documents traduits et les visites à domicile feraient davantage pour élargir l’accès que la publicité seule.</w:t>
      </w:r>
    </w:p>
    <w:bookmarkEnd w:id="12"/>
    <w:bookmarkEnd w:id="13"/>
    <w:bookmarkStart w:id="15" w:name="Xd1f837a6b480c6a3c24cfb99f42b34c2e147278"/>
    <w:p>
      <w:pPr>
        <w:pStyle w:val="Heading1"/>
      </w:pPr>
      <w:r>
        <w:t xml:space="preserve">Ce que signifiaient les résultats intermédiaires</w:t>
      </w:r>
    </w:p>
    <w:p>
      <w:pPr>
        <w:pStyle w:val="FirstParagraph"/>
      </w:pPr>
      <w:r>
        <w:t xml:space="preserve">Le statisticien de l’essai a proposé trois interprétations. La première était que le CLN-47 produisait probablement un bénéfice modeste dans l’ensemble de la population, mais que l’essai comptait trop peu de participants pour le distinguer clairement du hasard. La deuxième était que le traitement fonctionnait principalement chez les patients positifs au biomarqueur. La troisième était que le résultat du sous-groupe était un artefact créé en testant de nombreuses caractéristiques possibles des patients après avoir observé les données.</w:t>
      </w:r>
    </w:p>
    <w:p>
      <w:pPr>
        <w:pStyle w:val="BodyText"/>
      </w:pPr>
      <w:r>
        <w:t xml:space="preserve">Chaque interprétation suggérait une prochaine étape différente. Compléter l’essai original préserverait le protocole mais nécessiterait davantage de patients et peut-être neuf mois supplémentaires. Étendre le groupe positif au biomarqueur pourrait fournir des preuves plus rapides d’un effet plus important, mais nécessiterait de modifier l’analyse statistique et de valider le test. Réduire la dose élevée pourrait résoudre les préoccupations de sécurité mais affaiblir l’efficacité. Crestline pourrait aussi arrêter l’étude et conserver le capital pour un composé différent dont les résultats de Phase I arriveraient dans quatre mois.</w:t>
      </w:r>
    </w:p>
    <w:bookmarkStart w:id="14" w:name="X1d8130d1d95d515b31147a9151bd43f095463f9"/>
    <w:p>
      <w:pPr>
        <w:pStyle w:val="Heading2"/>
      </w:pPr>
      <w:r>
        <w:t xml:space="preserve">Exhibit 3. Alternatives de développement préparées pour le conseil d’administration</w:t>
      </w:r>
    </w:p>
    <w:tbl>
      <w:tblPr>
        <w:tblStyle w:val="Table"/>
        <w:tblW w:type="pct" w:w="4940"/>
        <w:tblLayout w:type="fixed"/>
        <w:tblLook w:firstRow="1" w:lastRow="0" w:firstColumn="0" w:lastColumn="0" w:noHBand="0" w:noVBand="0" w:val="0020"/>
      </w:tblPr>
      <w:tblGrid>
        <w:gridCol w:w="1838"/>
        <w:gridCol w:w="2027"/>
        <w:gridCol w:w="801"/>
        <w:gridCol w:w="848"/>
        <w:gridCol w:w="2310"/>
      </w:tblGrid>
      <w:tr>
        <w:trPr>
          <w:tblHeader w:val="on"/>
        </w:trPr>
        <w:tc>
          <w:tcPr/>
          <w:p>
            <w:pPr>
              <w:pStyle w:val="Compact"/>
              <w:jc w:val="left"/>
            </w:pPr>
            <w:r>
              <w:t xml:space="preserve">Alternative</w:t>
            </w:r>
          </w:p>
        </w:tc>
        <w:tc>
          <w:tcPr/>
          <w:p>
            <w:pPr>
              <w:pStyle w:val="Compact"/>
              <w:jc w:val="left"/>
            </w:pPr>
            <w:r>
              <w:t xml:space="preserve">Coût additionnel</w:t>
            </w:r>
          </w:p>
        </w:tc>
        <w:tc>
          <w:tcPr/>
          <w:p>
            <w:pPr>
              <w:pStyle w:val="Compact"/>
              <w:jc w:val="left"/>
            </w:pPr>
            <w:r>
              <w:t xml:space="preserve">Temps estimé</w:t>
            </w:r>
          </w:p>
        </w:tc>
        <w:tc>
          <w:tcPr/>
          <w:p>
            <w:pPr>
              <w:pStyle w:val="Compact"/>
              <w:jc w:val="left"/>
            </w:pPr>
            <w:r>
              <w:t xml:space="preserve">Patients requis</w:t>
            </w:r>
          </w:p>
        </w:tc>
        <w:tc>
          <w:tcPr/>
          <w:p>
            <w:pPr>
              <w:pStyle w:val="Compact"/>
              <w:jc w:val="left"/>
            </w:pPr>
            <w:r>
              <w:t xml:space="preserve">Exposition principale</w:t>
            </w:r>
          </w:p>
        </w:tc>
      </w:tr>
      <w:tr>
        <w:tc>
          <w:tcPr/>
          <w:p>
            <w:pPr>
              <w:pStyle w:val="Compact"/>
              <w:jc w:val="left"/>
            </w:pPr>
            <w:r>
              <w:t xml:space="preserve">Compléter la Phase II originale</w:t>
            </w:r>
          </w:p>
        </w:tc>
        <w:tc>
          <w:tcPr/>
          <w:p>
            <w:pPr>
              <w:pStyle w:val="Compact"/>
              <w:jc w:val="left"/>
            </w:pPr>
            <w:r>
              <w:t xml:space="preserve">$23 millions</w:t>
            </w:r>
          </w:p>
        </w:tc>
        <w:tc>
          <w:tcPr/>
          <w:p>
            <w:pPr>
              <w:pStyle w:val="Compact"/>
              <w:jc w:val="left"/>
            </w:pPr>
            <w:r>
              <w:t xml:space="preserve">9-12 mois</w:t>
            </w:r>
          </w:p>
        </w:tc>
        <w:tc>
          <w:tcPr/>
          <w:p>
            <w:pPr>
              <w:pStyle w:val="Compact"/>
              <w:jc w:val="left"/>
            </w:pPr>
            <w:r>
              <w:t xml:space="preserve">76</w:t>
            </w:r>
          </w:p>
        </w:tc>
        <w:tc>
          <w:tcPr/>
          <w:p>
            <w:pPr>
              <w:pStyle w:val="Compact"/>
              <w:jc w:val="left"/>
            </w:pPr>
            <w:r>
              <w:t xml:space="preserve">L’effet moyen ambigu peut persister</w:t>
            </w:r>
          </w:p>
        </w:tc>
      </w:tr>
      <w:tr>
        <w:tc>
          <w:tcPr/>
          <w:p>
            <w:pPr>
              <w:pStyle w:val="Compact"/>
              <w:jc w:val="left"/>
            </w:pPr>
            <w:r>
              <w:t xml:space="preserve">Étendre à la cohorte biomarqueur</w:t>
            </w:r>
            <w:r>
              <w:t xml:space="preserve"> </w:t>
            </w:r>
            <w:r>
              <w:t xml:space="preserve">positive</w:t>
            </w:r>
          </w:p>
        </w:tc>
        <w:tc>
          <w:tcPr/>
          <w:p>
            <w:pPr>
              <w:pStyle w:val="Compact"/>
              <w:jc w:val="left"/>
            </w:pPr>
            <w:r>
              <w:t xml:space="preserve">$38 millions</w:t>
            </w:r>
          </w:p>
        </w:tc>
        <w:tc>
          <w:tcPr/>
          <w:p>
            <w:pPr>
              <w:pStyle w:val="Compact"/>
              <w:jc w:val="left"/>
            </w:pPr>
            <w:r>
              <w:t xml:space="preserve">12-15 mois</w:t>
            </w:r>
          </w:p>
        </w:tc>
        <w:tc>
          <w:tcPr/>
          <w:p>
            <w:pPr>
              <w:pStyle w:val="Compact"/>
              <w:jc w:val="left"/>
            </w:pPr>
            <w:r>
              <w:t xml:space="preserve">120</w:t>
            </w:r>
          </w:p>
        </w:tc>
        <w:tc>
          <w:tcPr/>
          <w:p>
            <w:pPr>
              <w:pStyle w:val="Compact"/>
              <w:jc w:val="left"/>
            </w:pPr>
            <w:r>
              <w:t xml:space="preserve">Le test et le sous-groupe pourraient ne pas</w:t>
            </w:r>
            <w:r>
              <w:t xml:space="preserve"> </w:t>
            </w:r>
            <w:r>
              <w:t xml:space="preserve">être acceptés</w:t>
            </w:r>
          </w:p>
        </w:tc>
      </w:tr>
      <w:tr>
        <w:tc>
          <w:tcPr/>
          <w:p>
            <w:pPr>
              <w:pStyle w:val="Compact"/>
              <w:jc w:val="left"/>
            </w:pPr>
            <w:r>
              <w:t xml:space="preserve">Redéfinir la dose et la surveillance</w:t>
            </w:r>
          </w:p>
        </w:tc>
        <w:tc>
          <w:tcPr/>
          <w:p>
            <w:pPr>
              <w:pStyle w:val="Compact"/>
              <w:jc w:val="left"/>
            </w:pPr>
            <w:r>
              <w:t xml:space="preserve">$46 millions</w:t>
            </w:r>
          </w:p>
        </w:tc>
        <w:tc>
          <w:tcPr/>
          <w:p>
            <w:pPr>
              <w:pStyle w:val="Compact"/>
              <w:jc w:val="left"/>
            </w:pPr>
            <w:r>
              <w:t xml:space="preserve">15-18 mois</w:t>
            </w:r>
          </w:p>
        </w:tc>
        <w:tc>
          <w:tcPr/>
          <w:p>
            <w:pPr>
              <w:pStyle w:val="Compact"/>
              <w:jc w:val="left"/>
            </w:pPr>
            <w:r>
              <w:t xml:space="preserve">150</w:t>
            </w:r>
          </w:p>
        </w:tc>
        <w:tc>
          <w:tcPr/>
          <w:p>
            <w:pPr>
              <w:pStyle w:val="Compact"/>
              <w:jc w:val="left"/>
            </w:pPr>
            <w:r>
              <w:t xml:space="preserve">La dose plus faible pourrait perdre en</w:t>
            </w:r>
            <w:r>
              <w:t xml:space="preserve"> </w:t>
            </w:r>
            <w:r>
              <w:t xml:space="preserve">efficacité</w:t>
            </w:r>
          </w:p>
        </w:tc>
      </w:tr>
      <w:tr>
        <w:tc>
          <w:tcPr/>
          <w:p>
            <w:pPr>
              <w:pStyle w:val="Compact"/>
              <w:jc w:val="left"/>
            </w:pPr>
            <w:r>
              <w:t xml:space="preserve">Débuter la planification de la Phase</w:t>
            </w:r>
            <w:r>
              <w:t xml:space="preserve"> </w:t>
            </w:r>
            <w:r>
              <w:t xml:space="preserve">III maintenant</w:t>
            </w:r>
          </w:p>
        </w:tc>
        <w:tc>
          <w:tcPr/>
          <w:p>
            <w:pPr>
              <w:pStyle w:val="Compact"/>
              <w:jc w:val="left"/>
            </w:pPr>
            <w:r>
              <w:t xml:space="preserve">$118 millions avant la première lecture</w:t>
            </w:r>
            <w:r>
              <w:t xml:space="preserve"> </w:t>
            </w:r>
            <w:r>
              <w:t xml:space="preserve">majeure</w:t>
            </w:r>
          </w:p>
        </w:tc>
        <w:tc>
          <w:tcPr/>
          <w:p>
            <w:pPr>
              <w:pStyle w:val="Compact"/>
              <w:jc w:val="left"/>
            </w:pPr>
            <w:r>
              <w:t xml:space="preserve">30-36 mois</w:t>
            </w:r>
          </w:p>
        </w:tc>
        <w:tc>
          <w:tcPr/>
          <w:p>
            <w:pPr>
              <w:pStyle w:val="Compact"/>
              <w:jc w:val="left"/>
            </w:pPr>
            <w:r>
              <w:t xml:space="preserve">780</w:t>
            </w:r>
            <w:r>
              <w:t xml:space="preserve"> </w:t>
            </w:r>
            <w:r>
              <w:t xml:space="preserve">s</w:t>
            </w:r>
          </w:p>
        </w:tc>
        <w:tc>
          <w:tcPr/>
          <w:p>
            <w:pPr>
              <w:pStyle w:val="Compact"/>
              <w:jc w:val="left"/>
            </w:pPr>
            <w:r>
              <w:t xml:space="preserve">Engage le capital avant que l’incertitude ne</w:t>
            </w:r>
            <w:r>
              <w:t xml:space="preserve"> </w:t>
            </w:r>
            <w:r>
              <w:t xml:space="preserve">oit résolue</w:t>
            </w:r>
          </w:p>
        </w:tc>
      </w:tr>
      <w:tr>
        <w:tc>
          <w:tcPr/>
          <w:p>
            <w:pPr>
              <w:pStyle w:val="Compact"/>
              <w:jc w:val="left"/>
            </w:pPr>
            <w:r>
              <w:t xml:space="preserve">Mettre en pause le CLN-47 et attendre</w:t>
            </w:r>
            <w:r>
              <w:t xml:space="preserve"> </w:t>
            </w:r>
            <w:r>
              <w:t xml:space="preserve">l’autre programme</w:t>
            </w:r>
          </w:p>
        </w:tc>
        <w:tc>
          <w:tcPr/>
          <w:p>
            <w:pPr>
              <w:pStyle w:val="Compact"/>
              <w:jc w:val="left"/>
            </w:pPr>
            <w:r>
              <w:t xml:space="preserve">$6 millions de fermeture et de</w:t>
            </w:r>
            <w:r>
              <w:t xml:space="preserve"> </w:t>
            </w:r>
            <w:r>
              <w:t xml:space="preserve">préservation</w:t>
            </w:r>
          </w:p>
        </w:tc>
        <w:tc>
          <w:tcPr/>
          <w:p>
            <w:pPr>
              <w:pStyle w:val="Compact"/>
              <w:jc w:val="left"/>
            </w:pPr>
            <w:r>
              <w:t xml:space="preserve">4-6 mois</w:t>
            </w:r>
          </w:p>
        </w:tc>
        <w:tc>
          <w:tcPr/>
          <w:p>
            <w:pPr>
              <w:pStyle w:val="Compact"/>
              <w:jc w:val="left"/>
            </w:pPr>
            <w:r>
              <w:t xml:space="preserve">0 nouveau</w:t>
            </w:r>
            <w:r>
              <w:t xml:space="preserve"> </w:t>
            </w:r>
            <w:r>
              <w:t xml:space="preserve">p</w:t>
            </w:r>
          </w:p>
        </w:tc>
        <w:tc>
          <w:tcPr/>
          <w:p>
            <w:pPr>
              <w:pStyle w:val="Compact"/>
              <w:jc w:val="left"/>
            </w:pPr>
            <w:r>
              <w:t xml:space="preserve">Les sites et les investisseurs pourraient</w:t>
            </w:r>
            <w:r>
              <w:t xml:space="preserve"> </w:t>
            </w:r>
            <w:r>
              <w:t xml:space="preserve">erdre confiance</w:t>
            </w:r>
          </w:p>
        </w:tc>
      </w:tr>
      <w:tr>
        <w:tc>
          <w:tcPr/>
          <w:p>
            <w:pPr>
              <w:pStyle w:val="Compact"/>
              <w:jc w:val="left"/>
            </w:pPr>
            <w:r>
              <w:t xml:space="preserve">Mettre fin au CLN-47</w:t>
            </w:r>
          </w:p>
        </w:tc>
        <w:tc>
          <w:tcPr/>
          <w:p>
            <w:pPr>
              <w:pStyle w:val="Compact"/>
              <w:jc w:val="left"/>
            </w:pPr>
            <w:r>
              <w:t xml:space="preserve">$3 millions de clôture</w:t>
            </w:r>
          </w:p>
        </w:tc>
        <w:tc>
          <w:tcPr/>
          <w:p>
            <w:pPr>
              <w:pStyle w:val="Compact"/>
              <w:jc w:val="left"/>
            </w:pPr>
            <w:r>
              <w:t xml:space="preserve">3 mois</w:t>
            </w:r>
          </w:p>
        </w:tc>
        <w:tc>
          <w:tcPr/>
          <w:p>
            <w:pPr>
              <w:pStyle w:val="Compact"/>
              <w:jc w:val="left"/>
            </w:pPr>
            <w:r>
              <w:t xml:space="preserve">0 nouveau</w:t>
            </w:r>
          </w:p>
        </w:tc>
        <w:tc>
          <w:tcPr/>
          <w:p>
            <w:pPr>
              <w:pStyle w:val="Compact"/>
              <w:jc w:val="left"/>
            </w:pPr>
            <w:r>
              <w:t xml:space="preserve">Un traitement potentiellement précieux</w:t>
            </w:r>
            <w:r>
              <w:t xml:space="preserve"> </w:t>
            </w:r>
            <w:r>
              <w:t xml:space="preserve">abandonné</w:t>
            </w:r>
          </w:p>
        </w:tc>
      </w:tr>
    </w:tbl>
    <w:bookmarkEnd w:id="14"/>
    <w:bookmarkEnd w:id="15"/>
    <w:bookmarkStart w:id="17" w:name="X3af076158afde7c61d5e2bbc94715e67cf0e6ff"/>
    <w:p>
      <w:pPr>
        <w:pStyle w:val="Heading1"/>
      </w:pPr>
      <w:r>
        <w:t xml:space="preserve">Questions réglementaires et de fabrication</w:t>
      </w:r>
    </w:p>
    <w:p>
      <w:pPr>
        <w:pStyle w:val="FirstParagraph"/>
      </w:pPr>
      <w:r>
        <w:t xml:space="preserve">Les conseillers réglementaires de Crestline s’attendaient à ce que l’agence se concentre sur le signal hépatique, l’importance clinique du changement de fonction pulmonaire, et la crédibilité du biomarqueur. Une réunion formelle pourrait clarifier les attentes, mais la préparation des documents de briefing prendrait dix semaines et la réponse de l’agence pourrait ne pas résoudre le désaccord. Les régulateurs pourraient demander une base de données de sécurité plus large, un suivi plus long, un critère différent, ou un bras de dosage supplémentaire.</w:t>
      </w:r>
    </w:p>
    <w:p>
      <w:pPr>
        <w:pStyle w:val="BodyText"/>
      </w:pPr>
      <w:r>
        <w:t xml:space="preserve">La fabrication ajoutait une autre incertitude. La formulation actuelle nécessitait une distribution réfrigérée et avait une durée de conservation de neuf mois. Un fabricant sous contrat avait produit suffisamment de matériel pour compléter l’étude de Phase II, mais un programme de Phase III nécessiterait de réserver une ligne de production dans les soixante jours. Le dépôt de réservation était de $14 millions et non remboursable. Un second fabricant proposait un coût unitaire inférieur mais devrait répéter le travail de validation des processus. Les ingénieurs testaient également une formulation à température ambiante, bien qu’elle puisse ne pas être prête avant le début d’un essai pivot.</w:t>
      </w:r>
    </w:p>
    <w:bookmarkStart w:id="16" w:name="Xaba9787ad2bd58a7b5094e346f9fc3837d10c40"/>
    <w:p>
      <w:pPr>
        <w:pStyle w:val="Heading2"/>
      </w:pPr>
      <w:r>
        <w:t xml:space="preserve">Exhibit 4. Hypothèses commerciales illustratives</w:t>
      </w:r>
    </w:p>
    <w:tbl>
      <w:tblPr>
        <w:tblStyle w:val="Table"/>
        <w:tblW w:type="pct" w:w="4933"/>
        <w:tblLayout w:type="fixed"/>
        <w:tblLook w:firstRow="1" w:lastRow="0" w:firstColumn="0" w:lastColumn="0" w:noHBand="0" w:noVBand="0" w:val="0020"/>
      </w:tblPr>
      <w:tblGrid>
        <w:gridCol w:w="2338"/>
        <w:gridCol w:w="1488"/>
        <w:gridCol w:w="1754"/>
        <w:gridCol w:w="2232"/>
      </w:tblGrid>
      <w:tr>
        <w:trPr>
          <w:tblHeader w:val="on"/>
        </w:trPr>
        <w:tc>
          <w:tcPr/>
          <w:p>
            <w:pPr>
              <w:pStyle w:val="Compact"/>
              <w:jc w:val="left"/>
            </w:pPr>
            <w:r>
              <w:t xml:space="preserve">Hypothèse</w:t>
            </w:r>
          </w:p>
        </w:tc>
        <w:tc>
          <w:tcPr/>
          <w:p>
            <w:pPr>
              <w:pStyle w:val="Compact"/>
              <w:jc w:val="left"/>
            </w:pPr>
            <w:r>
              <w:t xml:space="preserve">Produit à large indication</w:t>
            </w:r>
          </w:p>
        </w:tc>
        <w:tc>
          <w:tcPr/>
          <w:p>
            <w:pPr>
              <w:pStyle w:val="Compact"/>
              <w:jc w:val="center"/>
            </w:pPr>
            <w:r>
              <w:t xml:space="preserve">Produit limité au biomarqueur</w:t>
            </w:r>
          </w:p>
        </w:tc>
        <w:tc>
          <w:tcPr/>
          <w:p>
            <w:pPr>
              <w:pStyle w:val="Compact"/>
              <w:jc w:val="left"/>
            </w:pPr>
            <w:r>
              <w:t xml:space="preserve">Incertitude majeure</w:t>
            </w:r>
          </w:p>
        </w:tc>
      </w:tr>
      <w:tr>
        <w:tc>
          <w:tcPr/>
          <w:p>
            <w:pPr>
              <w:pStyle w:val="Compact"/>
              <w:jc w:val="left"/>
            </w:pPr>
            <w:r>
              <w:t xml:space="preserve">Patients américains éligibles au lancement</w:t>
            </w:r>
          </w:p>
        </w:tc>
        <w:tc>
          <w:tcPr/>
          <w:p>
            <w:pPr>
              <w:pStyle w:val="Compact"/>
              <w:jc w:val="left"/>
            </w:pPr>
            <w:r>
              <w:t xml:space="preserve">78,000</w:t>
            </w:r>
          </w:p>
        </w:tc>
        <w:tc>
          <w:tcPr/>
          <w:p>
            <w:pPr>
              <w:pStyle w:val="Compact"/>
              <w:jc w:val="center"/>
            </w:pPr>
            <w:r>
              <w:t xml:space="preserve">29,000</w:t>
            </w:r>
          </w:p>
        </w:tc>
        <w:tc>
          <w:tcPr/>
          <w:p>
            <w:pPr>
              <w:pStyle w:val="Compact"/>
              <w:jc w:val="left"/>
            </w:pPr>
            <w:r>
              <w:t xml:space="preserve">Diagnostic, progression, libellé de</w:t>
            </w:r>
            <w:r>
              <w:t xml:space="preserve"> </w:t>
            </w:r>
            <w:r>
              <w:t xml:space="preserve">l’indication</w:t>
            </w:r>
          </w:p>
        </w:tc>
      </w:tr>
      <w:tr>
        <w:tc>
          <w:tcPr/>
          <w:p>
            <w:pPr>
              <w:pStyle w:val="Compact"/>
              <w:jc w:val="left"/>
            </w:pPr>
            <w:r>
              <w:t xml:space="preserve">Adoption par les médecins après trois ans</w:t>
            </w:r>
          </w:p>
        </w:tc>
        <w:tc>
          <w:tcPr/>
          <w:p>
            <w:pPr>
              <w:pStyle w:val="Compact"/>
              <w:jc w:val="left"/>
            </w:pPr>
            <w:r>
              <w:t xml:space="preserve">38%</w:t>
            </w:r>
          </w:p>
        </w:tc>
        <w:tc>
          <w:tcPr/>
          <w:p>
            <w:pPr>
              <w:pStyle w:val="Compact"/>
              <w:jc w:val="center"/>
            </w:pPr>
            <w:r>
              <w:t xml:space="preserve">55%</w:t>
            </w:r>
          </w:p>
        </w:tc>
        <w:tc>
          <w:tcPr/>
          <w:p>
            <w:pPr>
              <w:pStyle w:val="Compact"/>
              <w:jc w:val="left"/>
            </w:pPr>
            <w:r>
              <w:t xml:space="preserve">Bénéfice perçu et charge de surveillance</w:t>
            </w:r>
          </w:p>
        </w:tc>
      </w:tr>
      <w:tr>
        <w:tc>
          <w:tcPr/>
          <w:p>
            <w:pPr>
              <w:pStyle w:val="Compact"/>
              <w:jc w:val="left"/>
            </w:pPr>
            <w:r>
              <w:t xml:space="preserve">Prix net annuel par patient traité</w:t>
            </w:r>
          </w:p>
        </w:tc>
        <w:tc>
          <w:tcPr/>
          <w:p>
            <w:pPr>
              <w:pStyle w:val="Compact"/>
              <w:jc w:val="left"/>
            </w:pPr>
            <w:r>
              <w:t xml:space="preserve">$48,000</w:t>
            </w:r>
          </w:p>
        </w:tc>
        <w:tc>
          <w:tcPr/>
          <w:p>
            <w:pPr>
              <w:pStyle w:val="Compact"/>
              <w:jc w:val="center"/>
            </w:pPr>
            <w:r>
              <w:t xml:space="preserve">$56,000</w:t>
            </w:r>
          </w:p>
        </w:tc>
        <w:tc>
          <w:tcPr/>
          <w:p>
            <w:pPr>
              <w:pStyle w:val="Compact"/>
              <w:jc w:val="left"/>
            </w:pPr>
            <w:r>
              <w:t xml:space="preserve">Restrictions des payeurs et concurrence</w:t>
            </w:r>
          </w:p>
        </w:tc>
      </w:tr>
      <w:tr>
        <w:tc>
          <w:tcPr/>
          <w:p>
            <w:pPr>
              <w:pStyle w:val="Compact"/>
              <w:jc w:val="left"/>
            </w:pPr>
            <w:r>
              <w:t xml:space="preserve">Coût annuel de fabrication/distribution</w:t>
            </w:r>
          </w:p>
        </w:tc>
        <w:tc>
          <w:tcPr/>
          <w:p>
            <w:pPr>
              <w:pStyle w:val="Compact"/>
              <w:jc w:val="left"/>
            </w:pPr>
            <w:r>
              <w:t xml:space="preserve">$7,800</w:t>
            </w:r>
          </w:p>
        </w:tc>
        <w:tc>
          <w:tcPr/>
          <w:p>
            <w:pPr>
              <w:pStyle w:val="Compact"/>
              <w:jc w:val="center"/>
            </w:pPr>
            <w:r>
              <w:t xml:space="preserve">$8,600</w:t>
            </w:r>
          </w:p>
        </w:tc>
        <w:tc>
          <w:tcPr/>
          <w:p>
            <w:pPr>
              <w:pStyle w:val="Compact"/>
              <w:jc w:val="left"/>
            </w:pPr>
            <w:r>
              <w:t xml:space="preserve">Échelle, réfrigération, gaspillage</w:t>
            </w:r>
          </w:p>
        </w:tc>
      </w:tr>
      <w:tr>
        <w:tc>
          <w:tcPr/>
          <w:p>
            <w:pPr>
              <w:pStyle w:val="Compact"/>
              <w:jc w:val="left"/>
            </w:pPr>
            <w:r>
              <w:t xml:space="preserve">Temps jusqu’à la mise sur le marché depuis</w:t>
            </w:r>
            <w:r>
              <w:t xml:space="preserve"> </w:t>
            </w:r>
            <w:r>
              <w:t xml:space="preserve">la décision actuelle</w:t>
            </w:r>
          </w:p>
        </w:tc>
        <w:tc>
          <w:tcPr/>
          <w:p>
            <w:pPr>
              <w:pStyle w:val="Compact"/>
              <w:jc w:val="left"/>
            </w:pPr>
            <w:r>
              <w:t xml:space="preserve">4,5-5,5 ans</w:t>
            </w:r>
          </w:p>
        </w:tc>
        <w:tc>
          <w:tcPr/>
          <w:p>
            <w:pPr>
              <w:pStyle w:val="Compact"/>
              <w:jc w:val="center"/>
            </w:pPr>
            <w:r>
              <w:t xml:space="preserve">4,0-5,0 ans</w:t>
            </w:r>
          </w:p>
        </w:tc>
        <w:tc>
          <w:tcPr/>
          <w:p>
            <w:pPr>
              <w:pStyle w:val="Compact"/>
              <w:jc w:val="left"/>
            </w:pPr>
            <w:r>
              <w:t xml:space="preserve">Résultat de l’essai et examen</w:t>
            </w:r>
            <w:r>
              <w:t xml:space="preserve"> </w:t>
            </w:r>
            <w:r>
              <w:t xml:space="preserve">réglementaire</w:t>
            </w:r>
          </w:p>
        </w:tc>
      </w:tr>
      <w:tr>
        <w:tc>
          <w:tcPr/>
          <w:p>
            <w:pPr>
              <w:pStyle w:val="Compact"/>
              <w:jc w:val="left"/>
            </w:pPr>
            <w:r>
              <w:t xml:space="preserve">Durée de vie effective restante du brevet</w:t>
            </w:r>
            <w:r>
              <w:t xml:space="preserve"> </w:t>
            </w:r>
            <w:r>
              <w:t xml:space="preserve">au lancement</w:t>
            </w:r>
          </w:p>
        </w:tc>
        <w:tc>
          <w:tcPr/>
          <w:p>
            <w:pPr>
              <w:pStyle w:val="Compact"/>
              <w:jc w:val="left"/>
            </w:pPr>
            <w:r>
              <w:t xml:space="preserve">7-9 ans</w:t>
            </w:r>
          </w:p>
        </w:tc>
        <w:tc>
          <w:tcPr/>
          <w:p>
            <w:pPr>
              <w:pStyle w:val="Compact"/>
              <w:jc w:val="center"/>
            </w:pPr>
            <w:r>
              <w:t xml:space="preserve">8-10 ans</w:t>
            </w:r>
          </w:p>
        </w:tc>
        <w:tc>
          <w:tcPr/>
          <w:p>
            <w:pPr>
              <w:pStyle w:val="Compact"/>
              <w:jc w:val="left"/>
            </w:pPr>
            <w:r>
              <w:t xml:space="preserve">Retards et contestations de brevet</w:t>
            </w:r>
          </w:p>
        </w:tc>
      </w:tr>
    </w:tbl>
    <w:bookmarkEnd w:id="16"/>
    <w:bookmarkEnd w:id="17"/>
    <w:bookmarkStart w:id="19" w:name="la-contrainte-de-capital"/>
    <w:p>
      <w:pPr>
        <w:pStyle w:val="Heading1"/>
      </w:pPr>
      <w:r>
        <w:t xml:space="preserve">La contrainte de capital</w:t>
      </w:r>
    </w:p>
    <w:p>
      <w:pPr>
        <w:pStyle w:val="FirstParagraph"/>
      </w:pPr>
      <w:r>
        <w:t xml:space="preserve">Crestline disposait de $186 millions en liquidités et titres négociables. Les engagements existants pour le CLN-47, le second composé, les opérations d’entreprise et le service de la dette consommeraient approximativement $91 millions au cours des dix-huit prochains mois. Lever de nouveaux capitaux propres était possible, mais le cours de l’action de l’entreprise avait chuté de 37 pour cent après la divulgation du retard de recrutement. Un partenariat avec une entreprise pharmaceutique plus grande pourrait fournir du capital et une expertise de gestion des essais, mais les partenaires potentiels voulaient examiner les données intermédiaires et pourraient exiger le contrôle du développement futur et de la tarification.</w:t>
      </w:r>
    </w:p>
    <w:p>
      <w:pPr>
        <w:pStyle w:val="BodyText"/>
      </w:pPr>
      <w:r>
        <w:t xml:space="preserve">Le directeur financier a soutenu que Crestline ne pouvait pas traiter chaque question scientifique comme nécessitant une autre étude. Le responsable de la recherche a répondu que mettre fin à un programme après une analyse intermédiaire non concluante favoriserait systématiquement les traitements avec des effets rapides et évidents et abandonnerait les thérapies nécessitant une meilleure sélection des patients. La directrice commerciale croyait qu’un produit défini par un biomarqueur pourrait susciter un intérêt plus fort des médecins. Le responsable des opérations cliniques a averti qu’une population plus restreinte pourrait être plus difficile, et non plus facile, à recruter.</w:t>
      </w:r>
    </w:p>
    <w:bookmarkStart w:id="18" w:name="X5bcdbfbee3a4131ee2fc3e89f4302989efa056f"/>
    <w:p>
      <w:pPr>
        <w:pStyle w:val="Heading2"/>
      </w:pPr>
      <w:r>
        <w:t xml:space="preserve">Exhibit 5. Perspective de trésorerie sur dix-huit mois</w:t>
      </w:r>
    </w:p>
    <w:tbl>
      <w:tblPr>
        <w:tblStyle w:val="Table"/>
        <w:tblW w:type="pct" w:w="4907"/>
        <w:tblLayout w:type="fixed"/>
        <w:tblLook w:firstRow="1" w:lastRow="0" w:firstColumn="0" w:lastColumn="0" w:noHBand="0" w:noVBand="0" w:val="0020"/>
      </w:tblPr>
      <w:tblGrid>
        <w:gridCol w:w="2346"/>
        <w:gridCol w:w="1760"/>
        <w:gridCol w:w="2053"/>
        <w:gridCol w:w="1613"/>
      </w:tblGrid>
      <w:tr>
        <w:trPr>
          <w:tblHeader w:val="on"/>
        </w:trPr>
        <w:tc>
          <w:tcPr/>
          <w:p>
            <w:pPr>
              <w:pStyle w:val="Compact"/>
              <w:jc w:val="left"/>
            </w:pPr>
            <w:r>
              <w:t xml:space="preserve">Utilisation de la trésorerie</w:t>
            </w:r>
          </w:p>
        </w:tc>
        <w:tc>
          <w:tcPr/>
          <w:p>
            <w:pPr>
              <w:pStyle w:val="Compact"/>
              <w:jc w:val="right"/>
            </w:pPr>
            <w:r>
              <w:t xml:space="preserve">Engagé / plan de bas</w:t>
            </w:r>
          </w:p>
        </w:tc>
        <w:tc>
          <w:tcPr/>
          <w:p>
            <w:pPr>
              <w:pStyle w:val="Compact"/>
            </w:pPr>
            <w:r>
              <w:t xml:space="preserve">e Achèvement de l’essa</w:t>
            </w:r>
          </w:p>
        </w:tc>
        <w:tc>
          <w:tcPr/>
          <w:p>
            <w:pPr>
              <w:pStyle w:val="Compact"/>
            </w:pPr>
            <w:r>
              <w:t xml:space="preserve">i original Extension au biomarqueur</w:t>
            </w:r>
          </w:p>
        </w:tc>
      </w:tr>
      <w:tr>
        <w:tc>
          <w:tcPr/>
          <w:p>
            <w:pPr>
              <w:pStyle w:val="Compact"/>
              <w:jc w:val="left"/>
            </w:pPr>
            <w:r>
              <w:t xml:space="preserve">Opérations d’entreprise et dette</w:t>
            </w:r>
          </w:p>
        </w:tc>
        <w:tc>
          <w:tcPr/>
          <w:p>
            <w:pPr>
              <w:pStyle w:val="Compact"/>
              <w:jc w:val="right"/>
            </w:pPr>
            <w:r>
              <w:t xml:space="preserve">$49 millions</w:t>
            </w:r>
          </w:p>
        </w:tc>
        <w:tc>
          <w:tcPr/>
          <w:p>
            <w:pPr>
              <w:pStyle w:val="Compact"/>
            </w:pPr>
            <w:r>
              <w:t xml:space="preserve">$49 millions</w:t>
            </w:r>
          </w:p>
        </w:tc>
        <w:tc>
          <w:tcPr/>
          <w:p>
            <w:pPr>
              <w:pStyle w:val="Compact"/>
            </w:pPr>
            <w:r>
              <w:t xml:space="preserve">$49 millions</w:t>
            </w:r>
          </w:p>
        </w:tc>
      </w:tr>
      <w:tr>
        <w:tc>
          <w:tcPr/>
          <w:p>
            <w:pPr>
              <w:pStyle w:val="Compact"/>
              <w:jc w:val="left"/>
            </w:pPr>
            <w:r>
              <w:t xml:space="preserve">Obligations actuelles du CLN-47</w:t>
            </w:r>
          </w:p>
        </w:tc>
        <w:tc>
          <w:tcPr/>
          <w:p>
            <w:pPr>
              <w:pStyle w:val="Compact"/>
              <w:jc w:val="right"/>
            </w:pPr>
            <w:r>
              <w:t xml:space="preserve">$35 millions</w:t>
            </w:r>
          </w:p>
        </w:tc>
        <w:tc>
          <w:tcPr/>
          <w:p>
            <w:pPr>
              <w:pStyle w:val="Compact"/>
            </w:pPr>
            <w:r>
              <w:t xml:space="preserve">$35 millions</w:t>
            </w:r>
          </w:p>
        </w:tc>
        <w:tc>
          <w:tcPr/>
          <w:p>
            <w:pPr>
              <w:pStyle w:val="Compact"/>
            </w:pPr>
            <w:r>
              <w:t xml:space="preserve">$35 millions</w:t>
            </w:r>
          </w:p>
        </w:tc>
      </w:tr>
      <w:tr>
        <w:tc>
          <w:tcPr/>
          <w:p>
            <w:pPr>
              <w:pStyle w:val="Compact"/>
              <w:jc w:val="left"/>
            </w:pPr>
            <w:r>
              <w:t xml:space="preserve">Programme CLN-47 additionnel</w:t>
            </w:r>
          </w:p>
        </w:tc>
        <w:tc>
          <w:tcPr/>
          <w:p>
            <w:pPr>
              <w:pStyle w:val="Compact"/>
              <w:jc w:val="right"/>
            </w:pPr>
            <w:r>
              <w:t xml:space="preserve">$0</w:t>
            </w:r>
          </w:p>
        </w:tc>
        <w:tc>
          <w:tcPr/>
          <w:p>
            <w:pPr>
              <w:pStyle w:val="Compact"/>
            </w:pPr>
            <w:r>
              <w:t xml:space="preserve">$23 millions</w:t>
            </w:r>
          </w:p>
        </w:tc>
        <w:tc>
          <w:tcPr/>
          <w:p>
            <w:pPr>
              <w:pStyle w:val="Compact"/>
            </w:pPr>
            <w:r>
              <w:t xml:space="preserve">$38 millions</w:t>
            </w:r>
          </w:p>
        </w:tc>
      </w:tr>
      <w:tr>
        <w:tc>
          <w:tcPr/>
          <w:p>
            <w:pPr>
              <w:pStyle w:val="Compact"/>
              <w:jc w:val="left"/>
            </w:pPr>
            <w:r>
              <w:t xml:space="preserve">Second composé de développement</w:t>
            </w:r>
          </w:p>
        </w:tc>
        <w:tc>
          <w:tcPr/>
          <w:p>
            <w:pPr>
              <w:pStyle w:val="Compact"/>
              <w:jc w:val="right"/>
            </w:pPr>
            <w:r>
              <w:t xml:space="preserve">$31 millions</w:t>
            </w:r>
          </w:p>
        </w:tc>
        <w:tc>
          <w:tcPr/>
          <w:p>
            <w:pPr>
              <w:pStyle w:val="Compact"/>
            </w:pPr>
            <w:r>
              <w:t xml:space="preserve">$31 millions</w:t>
            </w:r>
          </w:p>
        </w:tc>
        <w:tc>
          <w:tcPr/>
          <w:p>
            <w:pPr>
              <w:pStyle w:val="Compact"/>
            </w:pPr>
            <w:r>
              <w:t xml:space="preserve">$31 millions</w:t>
            </w:r>
          </w:p>
        </w:tc>
      </w:tr>
      <w:tr>
        <w:tc>
          <w:tcPr/>
          <w:p>
            <w:pPr>
              <w:pStyle w:val="Compact"/>
              <w:jc w:val="left"/>
            </w:pPr>
            <w:r>
              <w:t xml:space="preserve">Réservation de fabrication</w:t>
            </w:r>
          </w:p>
        </w:tc>
        <w:tc>
          <w:tcPr/>
          <w:p>
            <w:pPr>
              <w:pStyle w:val="Compact"/>
              <w:jc w:val="right"/>
            </w:pPr>
            <w:r>
              <w:t xml:space="preserve">$0</w:t>
            </w:r>
          </w:p>
        </w:tc>
        <w:tc>
          <w:tcPr/>
          <w:p>
            <w:pPr>
              <w:pStyle w:val="Compact"/>
            </w:pPr>
            <w:r>
              <w:t xml:space="preserve">$14 millions</w:t>
            </w:r>
          </w:p>
        </w:tc>
        <w:tc>
          <w:tcPr/>
          <w:p>
            <w:pPr>
              <w:pStyle w:val="Compact"/>
            </w:pPr>
            <w:r>
              <w:t xml:space="preserve">$14 millions</w:t>
            </w:r>
          </w:p>
        </w:tc>
      </w:tr>
      <w:tr>
        <w:tc>
          <w:tcPr/>
          <w:p>
            <w:pPr>
              <w:pStyle w:val="Compact"/>
              <w:jc w:val="left"/>
            </w:pPr>
            <w:r>
              <w:t xml:space="preserve">Trésorerie de clôture projetée</w:t>
            </w:r>
          </w:p>
        </w:tc>
        <w:tc>
          <w:tcPr/>
          <w:p>
            <w:pPr>
              <w:pStyle w:val="Compact"/>
              <w:jc w:val="right"/>
            </w:pPr>
            <w:r>
              <w:t xml:space="preserve">$71 millions</w:t>
            </w:r>
          </w:p>
        </w:tc>
        <w:tc>
          <w:tcPr/>
          <w:p>
            <w:pPr>
              <w:pStyle w:val="Compact"/>
            </w:pPr>
            <w:r>
              <w:t xml:space="preserve">$34 millions</w:t>
            </w:r>
          </w:p>
        </w:tc>
        <w:tc>
          <w:tcPr/>
          <w:p>
            <w:pPr>
              <w:pStyle w:val="Compact"/>
            </w:pPr>
            <w:r>
              <w:t xml:space="preserve">$19 millions</w:t>
            </w:r>
          </w:p>
        </w:tc>
      </w:tr>
    </w:tbl>
    <w:bookmarkEnd w:id="18"/>
    <w:bookmarkEnd w:id="19"/>
    <w:bookmarkStart w:id="20" w:name="X9377c58ce23746cf13b7ccd53687764ac07643b"/>
    <w:p>
      <w:pPr>
        <w:pStyle w:val="Heading1"/>
      </w:pPr>
      <w:r>
        <w:t xml:space="preserve">La réunion du conseil d’administration du mercredi</w:t>
      </w:r>
    </w:p>
    <w:p>
      <w:pPr>
        <w:pStyle w:val="FirstParagraph"/>
      </w:pPr>
      <w:r>
        <w:t xml:space="preserve">Mercredi après-midi, Marquez avait reçu trois nouvelles informations. Un site communautaire a signalé deux élévations supplémentaires des enzymes hépatiques, aucune encore classée comme sérieuse. Le fournisseur de laboratoire a déclaré pouvoir valider un test biomarqueur amélioré en cinq mois, mais seulement si Crestline s’engageait immédiatement à hauteur de $4,2 millions. Un concurrent a annoncé que son essai de Phase III recruterait 620 patients et utiliserait la survie sans hospitalisation plutôt que la fonction pulmonaire comme critère principal.</w:t>
      </w:r>
    </w:p>
    <w:p>
      <w:pPr>
        <w:pStyle w:val="BodyText"/>
      </w:pPr>
      <w:r>
        <w:t xml:space="preserve">L’annonce du concurrent pourrait signifier que les médecins et les hôpitaux auraient encore moins de capacité pour l’essai de Crestline. Elle pourrait aussi valider l’intérêt des investisseurs pour la maladie. Personne ne savait si le traitement concurrent se révélerait plus sûr ou plus efficace, s’il atteindrait le marché en premier, ou si sa conception d’essai influencerait les attentes des régulateurs pour le CLN-47.</w:t>
      </w:r>
    </w:p>
    <w:p>
      <w:pPr>
        <w:pStyle w:val="BodyText"/>
      </w:pPr>
      <w:r>
        <w:t xml:space="preserve">Marquez devait recommander un chemin ce soir-là. Le conseil voudrait savoir si les preuves actuelles justifiaient l’exposition continue des patients et du capital, quelle information supplémentaire changerait matériellement la décision, et à quelle vitesse cette information pourrait être obtenue. Il demanderait aussi si Crestline devait préserver une ambition thérapeutique large, se concentrer sur les patients qui semblaient les plus susceptibles de bénéficier, chercher un partenaire, ou diriger ses ressources restantes ailleurs.</w:t>
      </w:r>
    </w:p>
    <w:p>
      <w:pPr>
        <w:pStyle w:val="BodyText"/>
      </w:pPr>
      <w:r>
        <w:t xml:space="preserve">Aucune option ne protégeait tous les objectifs. Étendre l’étude pourrait révéler un traitement cliniquement important, mais pourrait consommer les liquidités de l’entreprise avant que le résultat ne soit connu. Débuter la planification de la Phase III pourrait préserver le temps et la capacité de fabrication, mais amplifier les conséquences d’une interprétation erronée. Mettre en pause pourrait permettre au test et à la stratégie réglementaire de mûrir, mais les sites, les patients, les employés et les investisseurs pourraient ne pas attendre. La cessation fournirait une clarté financière tout en fermant la possibilité que les données inégales contiennent un véritable signal thérapeutique.</w:t>
      </w:r>
    </w:p>
    <w:bookmarkEnd w:id="20"/>
    <w:bookmarkStart w:id="21" w:name="questions-de-discussion"/>
    <w:p>
      <w:pPr>
        <w:pStyle w:val="Heading1"/>
      </w:pPr>
      <w:r>
        <w:t xml:space="preserve">Questions de discussion</w:t>
      </w:r>
    </w:p>
    <w:p>
      <w:pPr>
        <w:numPr>
          <w:ilvl w:val="0"/>
          <w:numId w:val="1001"/>
        </w:numPr>
      </w:pPr>
      <w:r>
        <w:t xml:space="preserve">Quel est le problème central auquel font face Marquez et Crestline Biotherapeutics ?</w:t>
      </w:r>
    </w:p>
    <w:p>
      <w:pPr>
        <w:numPr>
          <w:ilvl w:val="0"/>
          <w:numId w:val="1001"/>
        </w:numPr>
      </w:pPr>
      <w:r>
        <w:t xml:space="preserve">Comment l’entreprise devrait-elle interpréter le résultat moyen de l’essai et la réponse plus forte dans le sous-groupe positif au biomarqueur ?</w:t>
      </w:r>
    </w:p>
    <w:p>
      <w:pPr>
        <w:numPr>
          <w:ilvl w:val="0"/>
          <w:numId w:val="1001"/>
        </w:numPr>
      </w:pPr>
      <w:r>
        <w:t xml:space="preserve">Quelle information supplémentaire serait la plus précieuse avant de s’engager dans une autre grande étude ?</w:t>
      </w:r>
    </w:p>
    <w:p>
      <w:pPr>
        <w:numPr>
          <w:ilvl w:val="0"/>
          <w:numId w:val="1001"/>
        </w:numPr>
      </w:pPr>
      <w:r>
        <w:t xml:space="preserve">Crestline devrait-elle compléter le protocole original de Phase II, le redéfinir, ou avancer vers la Phase III ? Pourquoi ?</w:t>
      </w:r>
    </w:p>
    <w:p>
      <w:pPr>
        <w:numPr>
          <w:ilvl w:val="0"/>
          <w:numId w:val="1001"/>
        </w:numPr>
      </w:pPr>
      <w:r>
        <w:t xml:space="preserve">Comment les préoccupations de sécurité des patients devraient-elles être équilibrées contre le besoin non satisfait et la possibilité de bénéfice ?</w:t>
      </w:r>
    </w:p>
    <w:p>
      <w:pPr>
        <w:numPr>
          <w:ilvl w:val="0"/>
          <w:numId w:val="1001"/>
        </w:numPr>
      </w:pPr>
      <w:r>
        <w:t xml:space="preserve">Quels changements dans la sélection des sites, le recrutement des patients, la conception des visites, et le remboursement pourraient améliorer le recrutement sans affaiblir la qualité des données ?</w:t>
      </w:r>
    </w:p>
    <w:p>
      <w:pPr>
        <w:numPr>
          <w:ilvl w:val="0"/>
          <w:numId w:val="1001"/>
        </w:numPr>
      </w:pPr>
      <w:r>
        <w:t xml:space="preserve">Crestline devrait-elle réserver une capacité de fabrication avant d’avoir résolu les questions cliniques ?</w:t>
      </w:r>
    </w:p>
    <w:p>
      <w:pPr>
        <w:numPr>
          <w:ilvl w:val="0"/>
          <w:numId w:val="1001"/>
        </w:numPr>
      </w:pPr>
      <w:r>
        <w:t xml:space="preserve">Comment la durée de vie du brevet, l’activité du concurrent, l’acceptation par les médecins, la tarification, et les exigences de fabrication devraient-elles affecter la décision de développement ?</w:t>
      </w:r>
    </w:p>
    <w:p>
      <w:pPr>
        <w:numPr>
          <w:ilvl w:val="0"/>
          <w:numId w:val="1001"/>
        </w:numPr>
      </w:pPr>
      <w:r>
        <w:t xml:space="preserve">Un partenariat améliorerait-il le programme, ou transférerait-il trop de valeur future et de contrôle ?</w:t>
      </w:r>
    </w:p>
    <w:p>
      <w:pPr>
        <w:numPr>
          <w:ilvl w:val="0"/>
          <w:numId w:val="1001"/>
        </w:numPr>
      </w:pPr>
      <w:r>
        <w:t xml:space="preserve">Sous quelles conclusions futures Crestline devrait-elle continuer, restreindre, mettre en pause, ou mettre fin au CLN-47 ?</w:t>
      </w:r>
    </w:p>
    <w:bookmarkEnd w:id="21"/>
    <w:bookmarkStart w:id="27"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22">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qui est un plancher (vert clair) ou un plafond (rouge clair), ou enfin d’une cible (violet).</w:t>
      </w:r>
    </w:p>
    <w:p>
      <w:pPr>
        <w:numPr>
          <w:ilvl w:val="0"/>
          <w:numId w:val="1002"/>
        </w:numPr>
      </w:pPr>
      <w:r>
        <w:t xml:space="preserve">Utilisez l’</w:t>
      </w:r>
      <w:hyperlink r:id="rId23">
        <w:r>
          <w:rPr>
            <w:rStyle w:val="Hyperlink"/>
          </w:rPr>
          <w:t xml:space="preserve">outil de priorisation des décisions</w:t>
        </w:r>
      </w:hyperlink>
      <w:r>
        <w:t xml:space="preserve"> </w:t>
      </w:r>
      <w:r>
        <w:t xml:space="preserve">pour d’abord lister les différents types de décisions (utilisez les</w:t>
      </w:r>
      <w:r>
        <w:t xml:space="preserve"> </w:t>
      </w:r>
      <w:hyperlink r:id="rId24">
        <w:r>
          <w:rPr>
            <w:rStyle w:val="Hyperlink"/>
          </w:rPr>
          <w:t xml:space="preserve">types de décisions</w:t>
        </w:r>
      </w:hyperlink>
      <w:r>
        <w:t xml:space="preserve"> </w:t>
      </w:r>
      <w:r>
        <w:t xml:space="preserve">comme guide). Celles-ci peupleront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le bas. Triez les lignes afin que les décisions ayant le plus grand impact sur les métriques les plus importantes soient vers le haut. Les cellules dans le coin supérieur gauche devraient avoir la plus grande concentration de cellules rouges et orange. À ce stade, identifiez les décisions qui devraient recevoir le plus d’attention dans votre étude. Si vous n’avez aucune décision avec un impact moyen ou élevé sur les métriques les plus importantes, revoyez votre liste de décisions.</w:t>
      </w:r>
    </w:p>
    <w:p>
      <w:pPr>
        <w:numPr>
          <w:ilvl w:val="0"/>
          <w:numId w:val="1002"/>
        </w:numPr>
      </w:pPr>
      <w:r>
        <w:t xml:space="preserve">Répétez le processus pour lister et prioriser les incertitudes en utilisant l’</w:t>
      </w:r>
      <w:hyperlink r:id="rId25">
        <w:r>
          <w:rPr>
            <w:rStyle w:val="Hyperlink"/>
          </w:rPr>
          <w:t xml:space="preserve">outil de priorisation des incertitudes</w:t>
        </w:r>
      </w:hyperlink>
      <w:r>
        <w:t xml:space="preserve">. Utilisez les</w:t>
      </w:r>
      <w:r>
        <w:t xml:space="preserve"> </w:t>
      </w:r>
      <w:hyperlink r:id="rId26">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capturées en utilisant la performance moyenne dans le temps ?</w:t>
      </w:r>
    </w:p>
    <w:p>
      <w:pPr>
        <w:numPr>
          <w:ilvl w:val="1"/>
          <w:numId w:val="1003"/>
        </w:numPr>
      </w:pPr>
      <w:r>
        <w:t xml:space="preserve">Quelles sources d’incertitude représentent des formes de risque qui ne sont pas correctement capturées en utilisant des moyennes ?</w:t>
      </w:r>
    </w:p>
    <w:p>
      <w:pPr>
        <w:numPr>
          <w:ilvl w:val="0"/>
          <w:numId w:val="1002"/>
        </w:numPr>
      </w:pPr>
      <w:r>
        <w:t xml:space="preserve">Choisissez la seule décision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pour laquelle la décision aurait un impact élevé ou moyen.</w:t>
      </w:r>
    </w:p>
    <w:p>
      <w:pPr>
        <w:numPr>
          <w:ilvl w:val="0"/>
          <w:numId w:val="1002"/>
        </w:numPr>
      </w:pPr>
      <w:r>
        <w:t xml:space="preserve">En utilisant la même décision que vous avez identifiée en (7), identifiez les personnes, départements, groupes ou organisations avec lesquels vous devriez travailler pour mettre en œuvre la décision.</w:t>
      </w:r>
    </w:p>
    <w:bookmarkEnd w:id="27"/>
    <w:bookmarkStart w:id="28" w:name="note-source"/>
    <w:p>
      <w:pPr>
        <w:pStyle w:val="Heading1"/>
      </w:pPr>
      <w:r>
        <w:t xml:space="preserve">Note source</w:t>
      </w:r>
    </w:p>
    <w:p>
      <w:pPr>
        <w:pStyle w:val="FirstParagraph"/>
      </w:pPr>
      <w:r>
        <w:t xml:space="preserve">Le fondement conceptuel de ce cas est la section « Running clinical trials for drug testing » de Warren B. Powell, Bridging Decision Problems, Volume I: Framing the Problem, Chapitre 2. Le cas intègre les considérations cliniques, financières, opérationnelles, réglementaires, de fabrication, marketing et concurrentielles de la section dans le récit et les exhibits sans les identifier comme des catégories analytiques distinctes.</w:t>
      </w:r>
    </w:p>
    <w:p>
      <w:pPr>
        <w:pStyle w:val="BodyText"/>
      </w:pPr>
      <w:r>
        <w:t xml:space="preserve">Les informations publiques utilisées pour motiver le contexte comprennent les descriptions de la FDA des essais de Phase III comme impliquant communément approximativement 300 à 3 000 participants et fournissant une grande partie des preuves de sécurité utilisées pour l’examen ; des recherches publiées rapportant que les retards de recrutement sont répandus, que les essais terminés dans une grande analyse avaient un retard médian de 12,2 mois, et que 21,5 pour cent des essais dans cet échantillon ont été abandonnés ; une analyse de 2025 estimant une probabilité moyenne de première approbation de 14,3 pour cent parmi les grandes entreprises pharmaceutiques basées sur la recherche ; et des estimations sectorielles selon lesquelles le développement d’un nouveau médicament prend communément 10 à 15 ans et coûte approximativement $2,6 milliards lorsque les programmes infructueux sont inclus. Les estimations diffèrent selon le domaine thérapeutique, la conception de l’étude, le promoteur, et la méthodologie. Toutes les données, personnes, composés, résultats, budgets et événements de Crestline sont fictifs.</w:t>
      </w:r>
    </w:p>
    <w:bookmarkEnd w:id="28"/>
    <w:bookmarkStart w:id="31" w:name="notes-chatgpt"/>
    <w:p>
      <w:pPr>
        <w:pStyle w:val="Heading1"/>
      </w:pPr>
      <w:r>
        <w:t xml:space="preserve">Notes ChatGPT</w:t>
      </w:r>
    </w:p>
    <w:bookmarkStart w:id="29" w:name="invite"/>
    <w:p>
      <w:pPr>
        <w:pStyle w:val="Heading2"/>
      </w:pPr>
      <w:r>
        <w:t xml:space="preserve">Invite</w:t>
      </w:r>
    </w:p>
    <w:p>
      <w:pPr>
        <w:pStyle w:val="FirstParagraph"/>
      </w:pPr>
      <w:r>
        <w:t xml:space="preserve">Rédigez une étude de cas de 4 à 6 pages basée sur le matériel de la section à https://warrenpowell.org/bridging-vol1/chapter-2/#clinicaltrials. Créez un contexte basé sur les métriques, les décisions et les incertitudes de la section, mais sans y attirer explicitement l’attention. Motivez votre problème de cas avec des données.</w:t>
      </w:r>
    </w:p>
    <w:bookmarkEnd w:id="29"/>
    <w:bookmarkStart w:id="30" w:name="résumé"/>
    <w:p>
      <w:pPr>
        <w:pStyle w:val="Heading2"/>
      </w:pPr>
      <w:r>
        <w:t xml:space="preserve">Résumé</w:t>
      </w:r>
    </w:p>
    <w:p>
      <w:pPr>
        <w:pStyle w:val="FirstParagraph"/>
      </w:pPr>
      <w:r>
        <w:t xml:space="preserve">Le cas suit une entreprise de biotechnologie décidant s’il faut étendre, redéfinir, mettre en pause, avancer, ou mettre fin à un essai de Phase II après avoir reçu des résultats prometteurs mais non concluants. Il incorpore :</w:t>
      </w:r>
    </w:p>
    <w:p>
      <w:pPr>
        <w:numPr>
          <w:ilvl w:val="0"/>
          <w:numId w:val="1005"/>
        </w:numPr>
      </w:pPr>
      <w:r>
        <w:t xml:space="preserve">Le recrutement des patients et la sélection des sites d’essai</w:t>
      </w:r>
    </w:p>
    <w:p>
      <w:pPr>
        <w:numPr>
          <w:ilvl w:val="0"/>
          <w:numId w:val="1005"/>
        </w:numPr>
      </w:pPr>
      <w:r>
        <w:t xml:space="preserve">L’efficacité du traitement et la réponse du sous-groupe</w:t>
      </w:r>
    </w:p>
    <w:p>
      <w:pPr>
        <w:numPr>
          <w:ilvl w:val="0"/>
          <w:numId w:val="1005"/>
        </w:numPr>
      </w:pPr>
      <w:r>
        <w:t xml:space="preserve">Les signaux de sécurité et la sélection de la dose</w:t>
      </w:r>
    </w:p>
    <w:p>
      <w:pPr>
        <w:numPr>
          <w:ilvl w:val="0"/>
          <w:numId w:val="1005"/>
        </w:numPr>
      </w:pPr>
      <w:r>
        <w:t xml:space="preserve">Les exigences réglementaires</w:t>
      </w:r>
    </w:p>
    <w:p>
      <w:pPr>
        <w:numPr>
          <w:ilvl w:val="0"/>
          <w:numId w:val="1005"/>
        </w:numPr>
      </w:pPr>
      <w:r>
        <w:t xml:space="preserve">La capacité de fabrication et les besoins de réfrigération</w:t>
      </w:r>
    </w:p>
    <w:p>
      <w:pPr>
        <w:numPr>
          <w:ilvl w:val="0"/>
          <w:numId w:val="1005"/>
        </w:numPr>
      </w:pPr>
      <w:r>
        <w:t xml:space="preserve">La pression liée à la durée de vie du brevet</w:t>
      </w:r>
    </w:p>
    <w:p>
      <w:pPr>
        <w:numPr>
          <w:ilvl w:val="0"/>
          <w:numId w:val="1005"/>
        </w:numPr>
      </w:pPr>
      <w:r>
        <w:t xml:space="preserve">L’activité du concurrent</w:t>
      </w:r>
    </w:p>
    <w:p>
      <w:pPr>
        <w:numPr>
          <w:ilvl w:val="0"/>
          <w:numId w:val="1005"/>
        </w:numPr>
      </w:pPr>
      <w:r>
        <w:t xml:space="preserve">L’acceptation par les médecins, la tarification, et le potentiel commercial</w:t>
      </w:r>
    </w:p>
    <w:p>
      <w:pPr>
        <w:numPr>
          <w:ilvl w:val="0"/>
          <w:numId w:val="1005"/>
        </w:numPr>
      </w:pPr>
      <w:r>
        <w:t xml:space="preserve">Les contraintes de capital et les alternatives de partenariat</w:t>
      </w:r>
    </w:p>
    <w:p>
      <w:pPr>
        <w:numPr>
          <w:ilvl w:val="0"/>
          <w:numId w:val="1005"/>
        </w:numPr>
      </w:pPr>
      <w:r>
        <w:t xml:space="preserve">Cinq exhibits quantitatifs et dix questions de discussion</w:t>
      </w:r>
    </w:p>
    <w:p>
      <w:pPr>
        <w:pStyle w:val="FirstParagraph"/>
      </w:pPr>
      <w:r>
        <w:t xml:space="preserve">Le contexte est motivé par les directives de la FDA selon lesquelles les études de Phase III impliquent souvent environ 300 à 3 000 participants, des preuves publiées selon lesquelles les essais terminés peuvent connaître des retards médians d’environ 12 mois, et des recherches estimant que seule une minorité de composés entrant dans les essais chez l’humain finissent par obtenir une approbation.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2026-09-11T15:40:20Z</dcterms:created>
  <dcterms:modified xsi:type="dcterms:W3CDTF">2026-09-11T15:40:20Z</dcterms:modified>
</cp:coreProperties>
</file>

<file path=docProps/custom.xml><?xml version="1.0" encoding="utf-8"?>
<Properties xmlns="http://schemas.openxmlformats.org/officeDocument/2006/custom-properties" xmlns:vt="http://schemas.openxmlformats.org/officeDocument/2006/docPropsVTypes"/>
</file>