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Dispatch Dynamics :</w:t>
      </w:r>
    </w:p>
    <w:p>
      <w:pPr>
        <w:pStyle w:val="BodyText"/>
      </w:pPr>
      <w:r>
        <w:t xml:space="preserve">L’écart de recommandation</w:t>
      </w:r>
    </w:p>
    <w:p>
      <w:pPr>
        <w:pStyle w:val="BodyText"/>
      </w:pPr>
      <w:r>
        <w:t xml:space="preserve">Une entreprise d’automatisation des décisions confronte le dernier kilomètre de la mise en œuvre</w:t>
      </w:r>
    </w:p>
    <w:p>
      <w:pPr>
        <w:pStyle w:val="BodyText"/>
      </w:pPr>
      <w:r>
        <w:rPr>
          <w:b/>
          <w:bCs/>
        </w:rPr>
        <w:t xml:space="preserve">La revue du lundi</w:t>
      </w:r>
    </w:p>
    <w:p>
      <w:pPr>
        <w:pStyle w:val="BodyText"/>
      </w:pPr>
      <w:r>
        <w:t xml:space="preserve">À 7h15 un lundi matin, Maya Chen, directrice de la clientèle de Dispatch Dynamics, étudiait un tableau de bord qui semblait contredire l’histoire commerciale de l’entreprise. L’entreprise de logiciels avait achevé douze mises en œuvre de sa plateforme de répartition pour le transport par camion complet. Plusieurs clients ont signalé des gains significatifs en revenu par tracteur, en miles chargés, en productivité de planification et en cohérence du réseau. Pourtant, à travers le portefeuille, seulement 43 pour cent des recommandations de conducteurs éligibles étaient suivies sans modification substantielle.</w:t>
      </w:r>
    </w:p>
    <w:p>
      <w:pPr>
        <w:pStyle w:val="BodyText"/>
      </w:pPr>
      <w:r>
        <w:t xml:space="preserve">Ce chiffre était préoccupant car le système n’affichait pas simplement des prévisions. Toutes les quelques minutes, il évaluait les conducteurs disponibles, les charges engagées, le fret anticipé, les horaires des conducteurs, les exigences de temps à domicile, les contraintes d’équipement et l’incertitude du réseau. Il recommandait ensuite ce que chaque conducteur devait faire ensuite. L’équipe produit croyait qu’une utilisation plus large de ces recommandations était essentielle : des décisions locales qui semblaient sensées isolément pouvaient réduire les options futures ailleurs dans le réseau.</w:t>
      </w:r>
    </w:p>
    <w:p>
      <w:pPr>
        <w:pStyle w:val="BodyText"/>
      </w:pPr>
      <w:r>
        <w:t xml:space="preserve">Mais la métrique d’adoption dissimulait autant qu’elle révélait. Un client suivait 82 pour cent des recommandations et avait amélioré son revenu par tracteur. Un autre n’en suivait que 31 pour cent, mais insistait sur le fait que les répartiteurs protégeaient des engagements de service que le logiciel ne comprenait pas. Un troisième semblait avoir une adoption élevée, mais un audit a révélé que les planificateurs modifiaient les données des conducteurs et des charges avant que les recommandations ne soient générées, orientant efficacement la réponse tout en préservant l’apparence de conformité.</w:t>
      </w:r>
    </w:p>
    <w:p>
      <w:pPr>
        <w:pStyle w:val="BodyText"/>
      </w:pPr>
      <w:r>
        <w:t xml:space="preserve">Chen avait été chargée de proposer une réponse à l’échelle de l’entreprise lors de la réunion opérationnelle trimestrielle dans trois semaines. Dispatch Dynamics pouvait investir dans de meilleures explications produit, un soutien plus intensif à la mise en œuvre, une recherche formelle sur le comportement des utilisateurs, des diagnostics de données améliorés, ou une refonte du flux de travail de répartition. Elle pouvait aussi conclure que la faible adhésion était parfois rationnelle et que le produit devait apprendre davantage des dérogations. Les preuves ne pointaient pas clairement dans une direction.</w:t>
      </w:r>
    </w:p>
    <w:bookmarkStart w:id="9" w:name="le-produit-et-sa-promesse"/>
    <w:p>
      <w:pPr>
        <w:pStyle w:val="Heading1"/>
      </w:pPr>
      <w:r>
        <w:t xml:space="preserve">Le produit et sa promesse</w:t>
      </w:r>
    </w:p>
    <w:p>
      <w:pPr>
        <w:pStyle w:val="FirstParagraph"/>
      </w:pPr>
      <w:r>
        <w:t xml:space="preserve">Dispatch Dynamics vendait un logiciel d’automatisation des décisions aux transporteurs de camions complets de taille moyenne et grande. La plateforme générait des recommandations d’acceptation de charges et de répartition des conducteurs en tenant compte des conséquences en aval. Son affirmation centrale était qu’un planificateur ne devait pas évaluer un couplage conducteur-charge uniquement par son revenu immédiat ou ses miles à vide. Le couplage modifiait également où le conducteur serait positionné, quelles charges futures resteraient faisables, si les engagements de temps à domicile pouvaient être respectés, et comment la capacité rare serait distribuée à travers le réseau.</w:t>
      </w:r>
    </w:p>
    <w:p>
      <w:pPr>
        <w:pStyle w:val="BodyText"/>
      </w:pPr>
      <w:r>
        <w:t xml:space="preserve">Les mises en œuvre réussies avaient modifié le rôle des répartiteurs. Plutôt que de rechercher manuellement chaque affectation faisable, les utilisateurs surveillaient les recommandations, géraient les exceptions, communiquaient avec les conducteurs et les clients, et corrigeaient les informations manquantes. Sur les sites clients les plus performants, la direction décrivait la transition comme un changement de modèle opérationnel plutôt qu’une installation logicielle. Sur les sites plus faibles, le nouveau système avait été inséré aux côtés des feuilles de calcul existantes, des fils de messages et des règles informelles.</w:t>
      </w:r>
    </w:p>
    <w:p>
      <w:pPr>
        <w:pStyle w:val="BodyText"/>
      </w:pPr>
      <w:r>
        <w:t xml:space="preserve">Exhibit 1. Résultats sélectionnés de mise en œuvre après six mois</w:t>
      </w:r>
    </w:p>
    <w:tbl>
      <w:tblPr>
        <w:tblStyle w:val="Table"/>
        <w:tblW w:type="pct" w:w="4921"/>
        <w:tblLayout w:type="fixed"/>
        <w:tblLook w:firstRow="1" w:lastRow="0" w:firstColumn="0" w:lastColumn="0" w:noHBand="0" w:noVBand="0" w:val="0020"/>
      </w:tblPr>
      <w:tblGrid>
        <w:gridCol w:w="1320"/>
        <w:gridCol w:w="502"/>
        <w:gridCol w:w="1697"/>
        <w:gridCol w:w="1571"/>
        <w:gridCol w:w="1257"/>
        <w:gridCol w:w="1445"/>
      </w:tblGrid>
      <w:tr>
        <w:trPr>
          <w:tblHeader w:val="on"/>
        </w:trPr>
        <w:tc>
          <w:tcPr/>
          <w:p>
            <w:pPr>
              <w:pStyle w:val="Compact"/>
              <w:jc w:val="left"/>
            </w:pPr>
            <w:r>
              <w:t xml:space="preserve">Client</w:t>
            </w:r>
          </w:p>
        </w:tc>
        <w:tc>
          <w:tcPr/>
          <w:p>
            <w:pPr>
              <w:pStyle w:val="Compact"/>
              <w:jc w:val="right"/>
            </w:pPr>
            <w:r>
              <w:t xml:space="preserve">Flotte</w:t>
            </w:r>
          </w:p>
        </w:tc>
        <w:tc>
          <w:tcPr/>
          <w:p>
            <w:pPr>
              <w:pStyle w:val="Compact"/>
              <w:jc w:val="right"/>
            </w:pPr>
            <w:r>
              <w:t xml:space="preserve">Adhésion aux recommandati</w:t>
            </w:r>
          </w:p>
        </w:tc>
        <w:tc>
          <w:tcPr/>
          <w:p>
            <w:pPr>
              <w:pStyle w:val="Compact"/>
            </w:pPr>
            <w:r>
              <w:t xml:space="preserve">ons Variation revenu/tr</w:t>
            </w:r>
          </w:p>
        </w:tc>
        <w:tc>
          <w:tcPr/>
          <w:p>
            <w:pPr>
              <w:pStyle w:val="Compact"/>
            </w:pPr>
            <w:r>
              <w:t xml:space="preserve">acteur Variation m</w:t>
            </w:r>
          </w:p>
        </w:tc>
        <w:tc>
          <w:tcPr/>
          <w:p>
            <w:pPr>
              <w:pStyle w:val="Compact"/>
            </w:pPr>
            <w:r>
              <w:t xml:space="preserve">iles à vide Productivité du planificateur</w:t>
            </w:r>
          </w:p>
        </w:tc>
      </w:tr>
      <w:tr>
        <w:tc>
          <w:tcPr/>
          <w:p>
            <w:pPr>
              <w:pStyle w:val="Compact"/>
              <w:jc w:val="left"/>
            </w:pPr>
            <w:r>
              <w:t xml:space="preserve">Northstar Freight</w:t>
            </w:r>
          </w:p>
        </w:tc>
        <w:tc>
          <w:tcPr/>
          <w:p>
            <w:pPr>
              <w:pStyle w:val="Compact"/>
              <w:jc w:val="right"/>
            </w:pPr>
            <w:r>
              <w:t xml:space="preserve">420</w:t>
            </w:r>
          </w:p>
        </w:tc>
        <w:tc>
          <w:tcPr/>
          <w:p>
            <w:pPr>
              <w:pStyle w:val="Compact"/>
              <w:jc w:val="right"/>
            </w:pPr>
            <w:r>
              <w:t xml:space="preserve">82%</w:t>
            </w:r>
          </w:p>
        </w:tc>
        <w:tc>
          <w:tcPr/>
          <w:p>
            <w:pPr>
              <w:pStyle w:val="Compact"/>
            </w:pPr>
            <w:r>
              <w:t xml:space="preserve">+8,1%</w:t>
            </w:r>
          </w:p>
        </w:tc>
        <w:tc>
          <w:tcPr/>
          <w:p>
            <w:pPr>
              <w:pStyle w:val="Compact"/>
            </w:pPr>
            <w:r>
              <w:t xml:space="preserve">-7,4%</w:t>
            </w:r>
          </w:p>
        </w:tc>
        <w:tc>
          <w:tcPr/>
          <w:p>
            <w:pPr>
              <w:pStyle w:val="Compact"/>
            </w:pPr>
            <w:r>
              <w:t xml:space="preserve">+32%</w:t>
            </w:r>
          </w:p>
        </w:tc>
      </w:tr>
      <w:tr>
        <w:tc>
          <w:tcPr/>
          <w:p>
            <w:pPr>
              <w:pStyle w:val="Compact"/>
              <w:jc w:val="left"/>
            </w:pPr>
            <w:r>
              <w:t xml:space="preserve">Redwood Carriers</w:t>
            </w:r>
          </w:p>
        </w:tc>
        <w:tc>
          <w:tcPr/>
          <w:p>
            <w:pPr>
              <w:pStyle w:val="Compact"/>
              <w:jc w:val="right"/>
            </w:pPr>
            <w:r>
              <w:t xml:space="preserve">690</w:t>
            </w:r>
          </w:p>
        </w:tc>
        <w:tc>
          <w:tcPr/>
          <w:p>
            <w:pPr>
              <w:pStyle w:val="Compact"/>
              <w:jc w:val="right"/>
            </w:pPr>
            <w:r>
              <w:t xml:space="preserve">61%</w:t>
            </w:r>
          </w:p>
        </w:tc>
        <w:tc>
          <w:tcPr/>
          <w:p>
            <w:pPr>
              <w:pStyle w:val="Compact"/>
            </w:pPr>
            <w:r>
              <w:t xml:space="preserve">+3,6%</w:t>
            </w:r>
          </w:p>
        </w:tc>
        <w:tc>
          <w:tcPr/>
          <w:p>
            <w:pPr>
              <w:pStyle w:val="Compact"/>
            </w:pPr>
            <w:r>
              <w:t xml:space="preserve">-2,1%</w:t>
            </w:r>
          </w:p>
        </w:tc>
        <w:tc>
          <w:tcPr/>
          <w:p>
            <w:pPr>
              <w:pStyle w:val="Compact"/>
            </w:pPr>
            <w:r>
              <w:t xml:space="preserve">+18%</w:t>
            </w:r>
          </w:p>
        </w:tc>
      </w:tr>
      <w:tr>
        <w:tc>
          <w:tcPr/>
          <w:p>
            <w:pPr>
              <w:pStyle w:val="Compact"/>
              <w:jc w:val="left"/>
            </w:pPr>
            <w:r>
              <w:t xml:space="preserve">Crescent Transport</w:t>
            </w:r>
          </w:p>
        </w:tc>
        <w:tc>
          <w:tcPr/>
          <w:p>
            <w:pPr>
              <w:pStyle w:val="Compact"/>
              <w:jc w:val="right"/>
            </w:pPr>
            <w:r>
              <w:t xml:space="preserve">310</w:t>
            </w:r>
          </w:p>
        </w:tc>
        <w:tc>
          <w:tcPr/>
          <w:p>
            <w:pPr>
              <w:pStyle w:val="Compact"/>
              <w:jc w:val="right"/>
            </w:pPr>
            <w:r>
              <w:t xml:space="preserve">47%</w:t>
            </w:r>
          </w:p>
        </w:tc>
        <w:tc>
          <w:tcPr/>
          <w:p>
            <w:pPr>
              <w:pStyle w:val="Compact"/>
            </w:pPr>
            <w:r>
              <w:t xml:space="preserve">+1,2%</w:t>
            </w:r>
          </w:p>
        </w:tc>
        <w:tc>
          <w:tcPr/>
          <w:p>
            <w:pPr>
              <w:pStyle w:val="Compact"/>
            </w:pPr>
            <w:r>
              <w:t xml:space="preserve">+0,8%</w:t>
            </w:r>
          </w:p>
        </w:tc>
        <w:tc>
          <w:tcPr/>
          <w:p>
            <w:pPr>
              <w:pStyle w:val="Compact"/>
            </w:pPr>
            <w:r>
              <w:t xml:space="preserve">+11%</w:t>
            </w:r>
          </w:p>
        </w:tc>
      </w:tr>
      <w:tr>
        <w:tc>
          <w:tcPr/>
          <w:p>
            <w:pPr>
              <w:pStyle w:val="Compact"/>
              <w:jc w:val="left"/>
            </w:pPr>
            <w:r>
              <w:t xml:space="preserve">Pioneer Logistics</w:t>
            </w:r>
          </w:p>
        </w:tc>
        <w:tc>
          <w:tcPr/>
          <w:p>
            <w:pPr>
              <w:pStyle w:val="Compact"/>
              <w:jc w:val="right"/>
            </w:pPr>
            <w:r>
              <w:t xml:space="preserve">540</w:t>
            </w:r>
          </w:p>
        </w:tc>
        <w:tc>
          <w:tcPr/>
          <w:p>
            <w:pPr>
              <w:pStyle w:val="Compact"/>
              <w:jc w:val="right"/>
            </w:pPr>
            <w:r>
              <w:t xml:space="preserve">31%</w:t>
            </w:r>
          </w:p>
        </w:tc>
        <w:tc>
          <w:tcPr/>
          <w:p>
            <w:pPr>
              <w:pStyle w:val="Compact"/>
            </w:pPr>
            <w:r>
              <w:t xml:space="preserve">-0,4%</w:t>
            </w:r>
          </w:p>
        </w:tc>
        <w:tc>
          <w:tcPr/>
          <w:p>
            <w:pPr>
              <w:pStyle w:val="Compact"/>
            </w:pPr>
            <w:r>
              <w:t xml:space="preserve">-1,7%</w:t>
            </w:r>
          </w:p>
        </w:tc>
        <w:tc>
          <w:tcPr/>
          <w:p>
            <w:pPr>
              <w:pStyle w:val="Compact"/>
            </w:pPr>
            <w:r>
              <w:t xml:space="preserve">+6%</w:t>
            </w:r>
          </w:p>
        </w:tc>
      </w:tr>
      <w:tr>
        <w:tc>
          <w:tcPr/>
          <w:p>
            <w:pPr>
              <w:pStyle w:val="Compact"/>
              <w:jc w:val="left"/>
            </w:pPr>
            <w:r>
              <w:t xml:space="preserve">Summit Haulage</w:t>
            </w:r>
          </w:p>
        </w:tc>
        <w:tc>
          <w:tcPr/>
          <w:p>
            <w:pPr>
              <w:pStyle w:val="Compact"/>
              <w:jc w:val="right"/>
            </w:pPr>
            <w:r>
              <w:t xml:space="preserve">225</w:t>
            </w:r>
          </w:p>
        </w:tc>
        <w:tc>
          <w:tcPr/>
          <w:p>
            <w:pPr>
              <w:pStyle w:val="Compact"/>
              <w:jc w:val="right"/>
            </w:pPr>
            <w:r>
              <w:t xml:space="preserve">68%</w:t>
            </w:r>
          </w:p>
        </w:tc>
        <w:tc>
          <w:tcPr/>
          <w:p>
            <w:pPr>
              <w:pStyle w:val="Compact"/>
            </w:pPr>
            <w:r>
              <w:t xml:space="preserve">+5,0%</w:t>
            </w:r>
          </w:p>
        </w:tc>
        <w:tc>
          <w:tcPr/>
          <w:p>
            <w:pPr>
              <w:pStyle w:val="Compact"/>
            </w:pPr>
            <w:r>
              <w:t xml:space="preserve">-5,9%</w:t>
            </w:r>
          </w:p>
        </w:tc>
        <w:tc>
          <w:tcPr/>
          <w:p>
            <w:pPr>
              <w:pStyle w:val="Compact"/>
            </w:pPr>
            <w:r>
              <w:t xml:space="preserve">+24%</w:t>
            </w:r>
          </w:p>
        </w:tc>
      </w:tr>
      <w:tr>
        <w:tc>
          <w:tcPr/>
          <w:p>
            <w:pPr>
              <w:pStyle w:val="Compact"/>
              <w:jc w:val="left"/>
            </w:pPr>
            <w:r>
              <w:t xml:space="preserve">Médiane du portefeuil</w:t>
            </w:r>
          </w:p>
        </w:tc>
        <w:tc>
          <w:tcPr/>
          <w:p>
            <w:pPr>
              <w:pStyle w:val="Compact"/>
              <w:jc w:val="right"/>
            </w:pPr>
            <w:r>
              <w:t xml:space="preserve">le —</w:t>
            </w:r>
          </w:p>
        </w:tc>
        <w:tc>
          <w:tcPr/>
          <w:p>
            <w:pPr>
              <w:pStyle w:val="Compact"/>
              <w:jc w:val="right"/>
            </w:pPr>
            <w:r>
              <w:t xml:space="preserve">52%</w:t>
            </w:r>
          </w:p>
        </w:tc>
        <w:tc>
          <w:tcPr/>
          <w:p>
            <w:pPr>
              <w:pStyle w:val="Compact"/>
            </w:pPr>
            <w:r>
              <w:t xml:space="preserve">+2,9%</w:t>
            </w:r>
          </w:p>
        </w:tc>
        <w:tc>
          <w:tcPr/>
          <w:p>
            <w:pPr>
              <w:pStyle w:val="Compact"/>
            </w:pPr>
            <w:r>
              <w:t xml:space="preserve">-1,9%</w:t>
            </w:r>
          </w:p>
        </w:tc>
        <w:tc>
          <w:tcPr/>
          <w:p>
            <w:pPr>
              <w:pStyle w:val="Compact"/>
            </w:pPr>
            <w:r>
              <w:t xml:space="preserve">+17%</w:t>
            </w:r>
          </w:p>
        </w:tc>
      </w:tr>
    </w:tbl>
    <w:p>
      <w:pPr>
        <w:pStyle w:val="BodyText"/>
      </w:pPr>
      <w:r>
        <w:t xml:space="preserve">Remarque : toutes les entreprises et tous les chiffres sont fictifs. « Adhésion » signifie que l’action recommandée de conducteur-charge a été exécutée sans modification substantielle dans la fenêtre de décision. Les changements de performance sont mesurés par rapport à la référence de préimplémentation de chaque client et ne sont pas des expériences contrôlées.</w:t>
      </w:r>
    </w:p>
    <w:bookmarkEnd w:id="9"/>
    <w:bookmarkStart w:id="10" w:name="quest-ce-quune-dérogation"/>
    <w:p>
      <w:pPr>
        <w:pStyle w:val="Heading1"/>
      </w:pPr>
      <w:r>
        <w:t xml:space="preserve">Qu’est-ce qu’une dérogation ?</w:t>
      </w:r>
    </w:p>
    <w:p>
      <w:pPr>
        <w:pStyle w:val="FirstParagraph"/>
      </w:pPr>
      <w:r>
        <w:t xml:space="preserve">L’équipe de succès client avait initialement traité chaque dérogation comme preuve que l’utilisateur avait rejeté la recommandation. Les répartiteurs ont protesté. Ils ont fait valoir que l’étiquette combinait au moins quatre situations différentes : la recommandation était infaisable parce que les données étaient erronées ; la recommandation était faisable mais ne reflétait pas un engagement client ou conducteur ; l’utilisateur préférait une action différente basée sur l’expérience ; ou un événement opérationnel avait changé avant l’exécution.</w:t>
      </w:r>
    </w:p>
    <w:p>
      <w:pPr>
        <w:pStyle w:val="BodyText"/>
      </w:pPr>
      <w:r>
        <w:t xml:space="preserve">La plateforme capturait si une recommandation était suivie, mais elle ne capturait pas systématiquement pourquoi elle était modifiée. Les notes en texte libre étaient facultatives, et la terminologie variait selon les clients. Dans un audit de deux semaines, des analystes ont reconstitué 1 284 dérogations en interrogeant les planificateurs et en examinant les messages, la télématique et les historiques de commandes. Les résultats ont affaibli l’interprétation simple selon laquelle les utilisateurs manquaient simplement de confiance.</w:t>
      </w:r>
    </w:p>
    <w:p>
      <w:pPr>
        <w:pStyle w:val="BodyText"/>
      </w:pPr>
      <w:r>
        <w:t xml:space="preserve">Exhibit 2. Raisons reconstituées de 1 284 dérogations aux recommandations</w:t>
      </w:r>
    </w:p>
    <w:tbl>
      <w:tblPr>
        <w:tblStyle w:val="Table"/>
        <w:tblW w:type="pct" w:w="4930"/>
        <w:tblLayout w:type="fixed"/>
        <w:tblLook w:firstRow="1" w:lastRow="0" w:firstColumn="0" w:lastColumn="0" w:noHBand="0" w:noVBand="0" w:val="0020"/>
      </w:tblPr>
      <w:tblGrid>
        <w:gridCol w:w="2603"/>
        <w:gridCol w:w="1329"/>
        <w:gridCol w:w="3876"/>
      </w:tblGrid>
      <w:tr>
        <w:trPr>
          <w:tblHeader w:val="on"/>
        </w:trPr>
        <w:tc>
          <w:tcPr/>
          <w:p>
            <w:pPr>
              <w:pStyle w:val="Compact"/>
              <w:jc w:val="left"/>
            </w:pPr>
            <w:r>
              <w:t xml:space="preserve">Raison attribuée après examen</w:t>
            </w:r>
          </w:p>
        </w:tc>
        <w:tc>
          <w:tcPr/>
          <w:p>
            <w:pPr>
              <w:pStyle w:val="Compact"/>
              <w:jc w:val="center"/>
            </w:pPr>
            <w:r>
              <w:t xml:space="preserve">Part</w:t>
            </w:r>
          </w:p>
        </w:tc>
        <w:tc>
          <w:tcPr/>
          <w:p>
            <w:pPr>
              <w:pStyle w:val="Compact"/>
              <w:jc w:val="left"/>
            </w:pPr>
            <w:r>
              <w:t xml:space="preserve">Problème illustratif</w:t>
            </w:r>
          </w:p>
        </w:tc>
      </w:tr>
      <w:tr>
        <w:tc>
          <w:tcPr/>
          <w:p>
            <w:pPr>
              <w:pStyle w:val="Compact"/>
              <w:jc w:val="left"/>
            </w:pPr>
            <w:r>
              <w:t xml:space="preserve">Données opérationnelles manquantes ou obsolètes</w:t>
            </w:r>
          </w:p>
        </w:tc>
        <w:tc>
          <w:tcPr/>
          <w:p>
            <w:pPr>
              <w:pStyle w:val="Compact"/>
              <w:jc w:val="center"/>
            </w:pPr>
            <w:r>
              <w:t xml:space="preserve">24%</w:t>
            </w:r>
          </w:p>
        </w:tc>
        <w:tc>
          <w:tcPr/>
          <w:p>
            <w:pPr>
              <w:pStyle w:val="Compact"/>
              <w:jc w:val="left"/>
            </w:pPr>
            <w:r>
              <w:t xml:space="preserve">Localisation du conducteur, heures, équipement, rendez-vous ou statut de la charge</w:t>
            </w:r>
          </w:p>
        </w:tc>
      </w:tr>
      <w:tr>
        <w:tc>
          <w:tcPr/>
          <w:p>
            <w:pPr>
              <w:pStyle w:val="Compact"/>
              <w:jc w:val="left"/>
            </w:pPr>
            <w:r>
              <w:t xml:space="preserve">Engagement ou préférence non modélisés</w:t>
            </w:r>
          </w:p>
        </w:tc>
        <w:tc>
          <w:tcPr/>
          <w:p>
            <w:pPr>
              <w:pStyle w:val="Compact"/>
              <w:jc w:val="center"/>
            </w:pPr>
            <w:r>
              <w:t xml:space="preserve">21%</w:t>
            </w:r>
          </w:p>
        </w:tc>
        <w:tc>
          <w:tcPr/>
          <w:p>
            <w:pPr>
              <w:pStyle w:val="Compact"/>
              <w:jc w:val="left"/>
            </w:pPr>
            <w:r>
              <w:t xml:space="preserve">Temps à domicile, promesse client, relation avec le conducteur, visite à l’atelier</w:t>
            </w:r>
          </w:p>
        </w:tc>
      </w:tr>
      <w:tr>
        <w:tc>
          <w:tcPr/>
          <w:p>
            <w:pPr>
              <w:pStyle w:val="Compact"/>
              <w:jc w:val="left"/>
            </w:pPr>
            <w:r>
              <w:t xml:space="preserve">Recommandation n’étant plus d’actualité</w:t>
            </w:r>
          </w:p>
        </w:tc>
        <w:tc>
          <w:tcPr/>
          <w:p>
            <w:pPr>
              <w:pStyle w:val="Compact"/>
              <w:jc w:val="center"/>
            </w:pPr>
            <w:r>
              <w:t xml:space="preserve">16%</w:t>
            </w:r>
          </w:p>
        </w:tc>
        <w:tc>
          <w:tcPr/>
          <w:p>
            <w:pPr>
              <w:pStyle w:val="Compact"/>
              <w:jc w:val="left"/>
            </w:pPr>
            <w:r>
              <w:t xml:space="preserve">Retard de ramassage, annulation, panne, météo ou nouvelle charge prioritaire</w:t>
            </w:r>
          </w:p>
        </w:tc>
      </w:tr>
      <w:tr>
        <w:tc>
          <w:tcPr/>
          <w:p>
            <w:pPr>
              <w:pStyle w:val="Compact"/>
              <w:jc w:val="left"/>
            </w:pPr>
            <w:r>
              <w:t xml:space="preserve">Le répartiteur attendait un meilleur résultat r</w:t>
            </w:r>
          </w:p>
        </w:tc>
        <w:tc>
          <w:tcPr/>
          <w:p>
            <w:pPr>
              <w:pStyle w:val="Compact"/>
              <w:jc w:val="center"/>
            </w:pPr>
            <w:r>
              <w:t xml:space="preserve">éseau 15%</w:t>
            </w:r>
          </w:p>
        </w:tc>
        <w:tc>
          <w:tcPr/>
          <w:p>
            <w:pPr>
              <w:pStyle w:val="Compact"/>
              <w:jc w:val="left"/>
            </w:pPr>
            <w:r>
              <w:t xml:space="preserve">Jugement de positionnement ou fret anticipé non visible dans le système</w:t>
            </w:r>
          </w:p>
        </w:tc>
      </w:tr>
      <w:tr>
        <w:tc>
          <w:tcPr/>
          <w:p>
            <w:pPr>
              <w:pStyle w:val="Compact"/>
              <w:jc w:val="left"/>
            </w:pPr>
            <w:r>
              <w:t xml:space="preserve">Conflit d’indicateur local ou d’incitation</w:t>
            </w:r>
          </w:p>
        </w:tc>
        <w:tc>
          <w:tcPr/>
          <w:p>
            <w:pPr>
              <w:pStyle w:val="Compact"/>
              <w:jc w:val="center"/>
            </w:pPr>
            <w:r>
              <w:t xml:space="preserve">11%</w:t>
            </w:r>
          </w:p>
        </w:tc>
        <w:tc>
          <w:tcPr/>
          <w:p>
            <w:pPr>
              <w:pStyle w:val="Compact"/>
              <w:jc w:val="left"/>
            </w:pPr>
            <w:r>
              <w:t xml:space="preserve">Objectif de miles à vide, bilan client, propriété de la flotte, règle de prime</w:t>
            </w:r>
          </w:p>
        </w:tc>
      </w:tr>
      <w:tr>
        <w:tc>
          <w:tcPr/>
          <w:p>
            <w:pPr>
              <w:pStyle w:val="Compact"/>
              <w:jc w:val="left"/>
            </w:pPr>
            <w:r>
              <w:t xml:space="preserve">Friction de flux de travail ou d’interface</w:t>
            </w:r>
          </w:p>
        </w:tc>
        <w:tc>
          <w:tcPr/>
          <w:p>
            <w:pPr>
              <w:pStyle w:val="Compact"/>
              <w:jc w:val="center"/>
            </w:pPr>
            <w:r>
              <w:t xml:space="preserve">8%</w:t>
            </w:r>
          </w:p>
        </w:tc>
        <w:tc>
          <w:tcPr/>
          <w:p>
            <w:pPr>
              <w:pStyle w:val="Compact"/>
              <w:jc w:val="left"/>
            </w:pPr>
            <w:r>
              <w:t xml:space="preserve">Recommandation arrivée en retard ou nécessitant une double saisie</w:t>
            </w:r>
          </w:p>
        </w:tc>
      </w:tr>
      <w:tr>
        <w:tc>
          <w:tcPr/>
          <w:p>
            <w:pPr>
              <w:pStyle w:val="Compact"/>
              <w:jc w:val="left"/>
            </w:pPr>
            <w:r>
              <w:t xml:space="preserve">Aucune raison défendable identifiée</w:t>
            </w:r>
          </w:p>
        </w:tc>
        <w:tc>
          <w:tcPr/>
          <w:p>
            <w:pPr>
              <w:pStyle w:val="Compact"/>
              <w:jc w:val="center"/>
            </w:pPr>
            <w:r>
              <w:t xml:space="preserve">5%</w:t>
            </w:r>
          </w:p>
        </w:tc>
        <w:tc>
          <w:tcPr/>
          <w:p>
            <w:pPr>
              <w:pStyle w:val="Compact"/>
              <w:jc w:val="left"/>
            </w:pPr>
            <w:r>
              <w:t xml:space="preserve">Habitude, malaise, ou préférence non documentée</w:t>
            </w:r>
          </w:p>
        </w:tc>
      </w:tr>
    </w:tbl>
    <w:bookmarkEnd w:id="10"/>
    <w:bookmarkStart w:id="11" w:name="cinq-explications-concurrentes"/>
    <w:p>
      <w:pPr>
        <w:pStyle w:val="Heading1"/>
      </w:pPr>
      <w:r>
        <w:t xml:space="preserve">Cinq explications concurrentes</w:t>
      </w:r>
    </w:p>
    <w:p>
      <w:pPr>
        <w:pStyle w:val="FirstParagraph"/>
      </w:pPr>
      <w:r>
        <w:rPr>
          <w:b/>
          <w:bCs/>
        </w:rPr>
        <w:t xml:space="preserve">Le problème d’explication du produit.</w:t>
      </w:r>
      <w:r>
        <w:t xml:space="preserve"> </w:t>
      </w:r>
      <w:r>
        <w:t xml:space="preserve">Les répartiteurs pouvaient voir l’action recommandée mais pas toujours les compromis qui la sous-tendaient. Certains voulaient savoir quelles charges futures, contraintes de conducteur ou effets de réseau rendaient la recommandation attrayante. Les responsables produit ont proposé une fonctionnalité d’explication en langage naturel, mais les chercheurs ont averti qu’une explication persuasive pourrait augmenter la conformité même lorsque les données sous-jacentes étaient erronées.</w:t>
      </w:r>
    </w:p>
    <w:p>
      <w:pPr>
        <w:pStyle w:val="BodyText"/>
      </w:pPr>
      <w:r>
        <w:rPr>
          <w:b/>
          <w:bCs/>
        </w:rPr>
        <w:t xml:space="preserve">Le problème de préparation des données.</w:t>
      </w:r>
      <w:r>
        <w:t xml:space="preserve"> </w:t>
      </w:r>
      <w:r>
        <w:t xml:space="preserve">Le moteur d’optimisation dépendait d’informations opportunes et précises. Certains clients avaient des processus faibles pour mettre à jour la disponibilité des conducteurs, le statut des charges, la flexibilité des rendez-vous ou les engagements de temps à domicile. Les dirigeants clients décrivaient souvent cela comme des erreurs logicielles, tandis que les répartiteurs corrigeaient discrètement le registre par des décisions manuelles.</w:t>
      </w:r>
    </w:p>
    <w:p>
      <w:pPr>
        <w:pStyle w:val="BodyText"/>
      </w:pPr>
      <w:r>
        <w:rPr>
          <w:b/>
          <w:bCs/>
        </w:rPr>
        <w:t xml:space="preserve">Le problème de modèle opérationnel.</w:t>
      </w:r>
      <w:r>
        <w:t xml:space="preserve"> </w:t>
      </w:r>
      <w:r>
        <w:t xml:space="preserve">Chez plusieurs transporteurs, l’autorité de répartition restait divisée entre planificateurs régionaux, gestionnaires de conducteurs, représentants du service client et équipes de courtage. Le logiciel optimisait à travers le réseau, mais les employés étaient évalués sur le service local, les miles à vide, ou la performance de leur flotte assignée. Une recommandation pouvait être optimale pour l’entreprise et néanmoins coûteuse pour la personne chargée de l’exécuter.</w:t>
      </w:r>
    </w:p>
    <w:p>
      <w:pPr>
        <w:pStyle w:val="BodyText"/>
      </w:pPr>
      <w:r>
        <w:rPr>
          <w:b/>
          <w:bCs/>
        </w:rPr>
        <w:t xml:space="preserve">Le problème de capacité et d’identité.</w:t>
      </w:r>
      <w:r>
        <w:t xml:space="preserve"> </w:t>
      </w:r>
      <w:r>
        <w:t xml:space="preserve">Les répartiteurs expérimentés avaient construit leur carrière sur le jugement, les relations et la résolution rapide de problèmes. Certains interprétaient l’automatisation comme une remise en cause de leur expertise ou de leur sécurité d’emploi. D’autres accueillaient favorablement le soulagement d’une recherche répétitive mais craignaient d’être tenus responsables d’une recommandation qu’ils n’avaient pas créée.</w:t>
      </w:r>
    </w:p>
    <w:p>
      <w:pPr>
        <w:pStyle w:val="BodyText"/>
      </w:pPr>
      <w:r>
        <w:rPr>
          <w:b/>
          <w:bCs/>
        </w:rPr>
        <w:t xml:space="preserve">Le problème d’apprentissage de l’algorithme.</w:t>
      </w:r>
      <w:r>
        <w:t xml:space="preserve"> </w:t>
      </w:r>
      <w:r>
        <w:t xml:space="preserve">L’équipe produit reconnaissait que certaines dérogations contenaient des informations que le modèle ne possédait pas. Traiter chaque exception comme une non-conformité pourrait supprimer un apprentissage précieux. Pourtant, permettre une large discrétion sans retour structuré rendait difficile de distinguer les exceptions légitimes du rejet habituel.</w:t>
      </w:r>
    </w:p>
    <w:bookmarkEnd w:id="11"/>
    <w:bookmarkStart w:id="12" w:name="le-contraste-entre-clients"/>
    <w:p>
      <w:pPr>
        <w:pStyle w:val="Heading1"/>
      </w:pPr>
      <w:r>
        <w:t xml:space="preserve">Le contraste entre clients</w:t>
      </w:r>
    </w:p>
    <w:p>
      <w:pPr>
        <w:pStyle w:val="FirstParagraph"/>
      </w:pPr>
      <w:r>
        <w:t xml:space="preserve">Northstar Freight avait atteint une adhésion élevée rapidement. Son président a annoncé que la plateforme deviendrait le processus décisionnel par défaut, a rassuré les employés en indiquant que les rôles changeraient plutôt que de disparaître, et a déplacé les planificateurs vers un bureau opérationnel partagé. Pendant le premier mois, le personnel de Dispatch Dynamics a rejoint les sessions de revue quotidiennes. Chaque dérogation nécessitait l’un des six codes de raison, et la direction a modifié les tableaux de bord de sorte que les planificateurs n’étaient pas pénalisés pour des mouvements à vide au niveau du réseau qui soutenaient un meilleur plan en aval.</w:t>
      </w:r>
    </w:p>
    <w:p>
      <w:pPr>
        <w:pStyle w:val="BodyText"/>
      </w:pPr>
      <w:r>
        <w:t xml:space="preserve">Pioneer Logistics a suivi un chemin différent. Le logiciel a été ajouté au système de gestion de transport existant, mais les groupes de répartition régionaux ont conservé leurs propres méthodes et objectifs de performance. La formation s’est concentrée sur la navigation dans l’interface. Les superviseurs ont dit aux utilisateurs d’appliquer leur jugement chaque fois qu’une recommandation « ne semblait pas correcte ». Les répartiteurs ont continué à s’appuyer sur des feuilles de calcul privées et des messages textuels des conducteurs. Le directeur des opérations de Pioneer a fait valoir que ces pratiques préservaient le service client ; l’équipe de compte de Dispatch Dynamics croyait qu’elles empêchaient la plateforme de jamais recevoir un test équitable.</w:t>
      </w:r>
    </w:p>
    <w:p>
      <w:pPr>
        <w:pStyle w:val="BodyText"/>
      </w:pPr>
      <w:r>
        <w:t xml:space="preserve">Le contraste était suggestif mais non concluant. Northstar avait un réseau plus dense, des données plus propres et une culture plus centralisée avant la mise en œuvre. Pioneer servait des clients plus irréguliers et avait plus de conducteurs avec des horaires individualisés. Une intervention de gestion du changement qui a fonctionné chez Northstar pourrait échouer chez Pioneer — ou pourrait simplement exposer plus tôt les limitations du produit.</w:t>
      </w:r>
    </w:p>
    <w:bookmarkEnd w:id="12"/>
    <w:bookmarkStart w:id="13" w:name="un-programme-dapprentissage-proposé"/>
    <w:p>
      <w:pPr>
        <w:pStyle w:val="Heading1"/>
      </w:pPr>
      <w:r>
        <w:t xml:space="preserve">Un programme d’apprentissage proposé</w:t>
      </w:r>
    </w:p>
    <w:p>
      <w:pPr>
        <w:pStyle w:val="FirstParagraph"/>
      </w:pPr>
      <w:r>
        <w:t xml:space="preserve">Chen a demandé à quatre équipes internes de proposer comment Dispatch Dynamics devrait dépenser un budget d’adoption nouvellement approuvé de 1,2 million de dollars. Les propositions se disputaient le même personnel de mise en œuvre et la même capacité d’ingénierie.</w:t>
      </w:r>
    </w:p>
    <w:p>
      <w:pPr>
        <w:pStyle w:val="BodyText"/>
      </w:pPr>
      <w:r>
        <w:t xml:space="preserve">Exhibit 3. Initiatives candidates pour les douze prochains mois</w:t>
      </w:r>
    </w:p>
    <w:tbl>
      <w:tblPr>
        <w:tblStyle w:val="Table"/>
        <w:tblW w:type="pct" w:w="4948"/>
        <w:tblLayout w:type="fixed"/>
        <w:tblLook w:firstRow="1" w:lastRow="0" w:firstColumn="0" w:lastColumn="0" w:noHBand="0" w:noVBand="0" w:val="0020"/>
      </w:tblPr>
      <w:tblGrid>
        <w:gridCol w:w="1741"/>
        <w:gridCol w:w="746"/>
        <w:gridCol w:w="2736"/>
        <w:gridCol w:w="2612"/>
      </w:tblGrid>
      <w:tr>
        <w:trPr>
          <w:tblHeader w:val="on"/>
        </w:trPr>
        <w:tc>
          <w:tcPr/>
          <w:p>
            <w:pPr>
              <w:pStyle w:val="Compact"/>
              <w:jc w:val="left"/>
            </w:pPr>
            <w:r>
              <w:t xml:space="preserve">Initiative</w:t>
            </w:r>
          </w:p>
        </w:tc>
        <w:tc>
          <w:tcPr/>
          <w:p>
            <w:pPr>
              <w:pStyle w:val="Compact"/>
              <w:jc w:val="left"/>
            </w:pPr>
            <w:r>
              <w:t xml:space="preserve">Coût</w:t>
            </w:r>
          </w:p>
        </w:tc>
        <w:tc>
          <w:tcPr/>
          <w:p>
            <w:pPr>
              <w:pStyle w:val="Compact"/>
              <w:jc w:val="left"/>
            </w:pPr>
            <w:r>
              <w:t xml:space="preserve">Question principale</w:t>
            </w:r>
          </w:p>
        </w:tc>
        <w:tc>
          <w:tcPr/>
          <w:p>
            <w:pPr>
              <w:pStyle w:val="Compact"/>
              <w:jc w:val="center"/>
            </w:pPr>
            <w:r>
              <w:t xml:space="preserve">Limitation majeure</w:t>
            </w:r>
          </w:p>
        </w:tc>
      </w:tr>
      <w:tr>
        <w:tc>
          <w:tcPr/>
          <w:p>
            <w:pPr>
              <w:pStyle w:val="Compact"/>
              <w:jc w:val="left"/>
            </w:pPr>
            <w:r>
              <w:t xml:space="preserve">Recherche de terrain intégrée chez 3 clien</w:t>
            </w:r>
          </w:p>
        </w:tc>
        <w:tc>
          <w:tcPr/>
          <w:p>
            <w:pPr>
              <w:pStyle w:val="Compact"/>
              <w:jc w:val="left"/>
            </w:pPr>
            <w:r>
              <w:t xml:space="preserve">ts 360 000 $</w:t>
            </w:r>
          </w:p>
        </w:tc>
        <w:tc>
          <w:tcPr/>
          <w:p>
            <w:pPr>
              <w:pStyle w:val="Compact"/>
              <w:jc w:val="left"/>
            </w:pPr>
            <w:r>
              <w:t xml:space="preserve">Que se passe-t-il au moment de l’acceptation ou de la déroga</w:t>
            </w:r>
          </w:p>
        </w:tc>
        <w:tc>
          <w:tcPr/>
          <w:p>
            <w:pPr>
              <w:pStyle w:val="Compact"/>
              <w:jc w:val="center"/>
            </w:pPr>
            <w:r>
              <w:t xml:space="preserve">tion ? Échantillon réduit ; le comportement peut changer sous observation</w:t>
            </w:r>
          </w:p>
        </w:tc>
      </w:tr>
      <w:tr>
        <w:tc>
          <w:tcPr/>
          <w:p>
            <w:pPr>
              <w:pStyle w:val="Compact"/>
              <w:jc w:val="left"/>
            </w:pPr>
            <w:r>
              <w:t xml:space="preserve">Raisons de dérogation structurées obligato</w:t>
            </w:r>
          </w:p>
        </w:tc>
        <w:tc>
          <w:tcPr/>
          <w:p>
            <w:pPr>
              <w:pStyle w:val="Compact"/>
              <w:jc w:val="left"/>
            </w:pPr>
            <w:r>
              <w:t xml:space="preserve">ires 220 000 $</w:t>
            </w:r>
          </w:p>
        </w:tc>
        <w:tc>
          <w:tcPr/>
          <w:p>
            <w:pPr>
              <w:pStyle w:val="Compact"/>
              <w:jc w:val="left"/>
            </w:pPr>
            <w:r>
              <w:t xml:space="preserve">Quelles exceptions sont légitimes, récurrentes ou évitable</w:t>
            </w:r>
          </w:p>
        </w:tc>
        <w:tc>
          <w:tcPr/>
          <w:p>
            <w:pPr>
              <w:pStyle w:val="Compact"/>
              <w:jc w:val="center"/>
            </w:pPr>
            <w:r>
              <w:t xml:space="preserve">s ? Ajoute une charge à l’utilisateur ; les codes de raison peuvent être manipulés</w:t>
            </w:r>
          </w:p>
        </w:tc>
      </w:tr>
      <w:tr>
        <w:tc>
          <w:tcPr/>
          <w:p>
            <w:pPr>
              <w:pStyle w:val="Compact"/>
              <w:jc w:val="left"/>
            </w:pPr>
            <w:r>
              <w:t xml:space="preserve">Interface d’explication et de confiance</w:t>
            </w:r>
          </w:p>
        </w:tc>
        <w:tc>
          <w:tcPr/>
          <w:p>
            <w:pPr>
              <w:pStyle w:val="Compact"/>
              <w:jc w:val="left"/>
            </w:pPr>
            <w:r>
              <w:t xml:space="preserve">410 000 $</w:t>
            </w:r>
          </w:p>
        </w:tc>
        <w:tc>
          <w:tcPr/>
          <w:p>
            <w:pPr>
              <w:pStyle w:val="Compact"/>
              <w:jc w:val="left"/>
            </w:pPr>
            <w:r>
              <w:t xml:space="preserve">La transparence augmente-t-elle la confiance appropriée ?</w:t>
            </w:r>
          </w:p>
        </w:tc>
        <w:tc>
          <w:tcPr/>
          <w:p>
            <w:pPr>
              <w:pStyle w:val="Compact"/>
              <w:jc w:val="center"/>
            </w:pPr>
            <w:r>
              <w:t xml:space="preserve">Peut créer une fausse confiance ou une surcharge d’information</w:t>
            </w:r>
          </w:p>
        </w:tc>
      </w:tr>
      <w:tr>
        <w:tc>
          <w:tcPr/>
          <w:p>
            <w:pPr>
              <w:pStyle w:val="Compact"/>
              <w:jc w:val="left"/>
            </w:pPr>
            <w:r>
              <w:t xml:space="preserve">Diagnostics de qualité des données et de f</w:t>
            </w:r>
          </w:p>
        </w:tc>
        <w:tc>
          <w:tcPr/>
          <w:p>
            <w:pPr>
              <w:pStyle w:val="Compact"/>
              <w:jc w:val="left"/>
            </w:pPr>
            <w:r>
              <w:t xml:space="preserve">lux de travail</w:t>
            </w:r>
          </w:p>
        </w:tc>
        <w:tc>
          <w:tcPr/>
          <w:p>
            <w:pPr>
              <w:pStyle w:val="Compact"/>
              <w:jc w:val="left"/>
            </w:pPr>
            <w:r>
              <w:t xml:space="preserve">330 000 $ Les recommandations sont-elles rejetées parce qu</w:t>
            </w:r>
          </w:p>
        </w:tc>
        <w:tc>
          <w:tcPr/>
          <w:p>
            <w:pPr>
              <w:pStyle w:val="Compact"/>
              <w:jc w:val="center"/>
            </w:pPr>
            <w:r>
              <w:t xml:space="preserve">e les intrants ou le calendrier sont faibles ? Pourrait être perçu comme blâmant le client</w:t>
            </w:r>
          </w:p>
        </w:tc>
      </w:tr>
      <w:tr>
        <w:tc>
          <w:tcPr/>
          <w:p>
            <w:pPr>
              <w:pStyle w:val="Compact"/>
              <w:jc w:val="left"/>
            </w:pPr>
            <w:r>
              <w:t xml:space="preserve">Pilotes de refonte des tableaux de bord de</w:t>
            </w:r>
          </w:p>
        </w:tc>
        <w:tc>
          <w:tcPr/>
          <w:p>
            <w:pPr>
              <w:pStyle w:val="Compact"/>
              <w:jc w:val="left"/>
            </w:pPr>
            <w:r>
              <w:t xml:space="preserve">s superviseurs</w:t>
            </w:r>
          </w:p>
        </w:tc>
        <w:tc>
          <w:tcPr/>
          <w:p>
            <w:pPr>
              <w:pStyle w:val="Compact"/>
              <w:jc w:val="left"/>
            </w:pPr>
            <w:r>
              <w:t xml:space="preserve">180 000 $ Les incitations et les indicateurs locaux entr</w:t>
            </w:r>
          </w:p>
        </w:tc>
        <w:tc>
          <w:tcPr/>
          <w:p>
            <w:pPr>
              <w:pStyle w:val="Compact"/>
              <w:jc w:val="center"/>
            </w:pPr>
            <w:r>
              <w:t xml:space="preserve">aînent-ils le rejet ? Nécessite la coopération de la direction et des changements sensibles pour le personnel</w:t>
            </w:r>
          </w:p>
        </w:tc>
      </w:tr>
      <w:tr>
        <w:tc>
          <w:tcPr/>
          <w:p>
            <w:pPr>
              <w:pStyle w:val="Compact"/>
              <w:jc w:val="left"/>
            </w:pPr>
            <w:r>
              <w:t xml:space="preserve">Déploiement randomisé de soutiens à l’adop</w:t>
            </w:r>
          </w:p>
        </w:tc>
        <w:tc>
          <w:tcPr/>
          <w:p>
            <w:pPr>
              <w:pStyle w:val="Compact"/>
              <w:jc w:val="left"/>
            </w:pPr>
            <w:r>
              <w:t xml:space="preserve">tion 290 000</w:t>
            </w:r>
          </w:p>
        </w:tc>
        <w:tc>
          <w:tcPr/>
          <w:p>
            <w:pPr>
              <w:pStyle w:val="Compact"/>
              <w:jc w:val="left"/>
            </w:pPr>
            <w:r>
              <w:t xml:space="preserve">$ Quelles pratiques de mise en œuvre améliorent-elles l’ut</w:t>
            </w:r>
          </w:p>
        </w:tc>
        <w:tc>
          <w:tcPr/>
          <w:p>
            <w:pPr>
              <w:pStyle w:val="Compact"/>
              <w:jc w:val="center"/>
            </w:pPr>
            <w:r>
              <w:t xml:space="preserve">ilisation de manière causale ? Opérationnellement difficile ; les clients peuvent résister aux groupes de contrôle</w:t>
            </w:r>
          </w:p>
        </w:tc>
      </w:tr>
    </w:tbl>
    <w:p>
      <w:pPr>
        <w:pStyle w:val="BodyText"/>
      </w:pPr>
      <w:r>
        <w:t xml:space="preserve">Le directeur produit favorisait les explications et les indicateurs de confiance. Le responsable de la mise en œuvre a fait valoir que l’entreprise devrait d’abord imposer des dérogations structurées et des revues opérationnelles quotidiennes. La directrice des données croyait qu’aucune approche ne fonctionnerait avant que la qualité des données clients puisse être mesurée en continu. Les responsables des ventes craignaient que des processus obligatoires n’allongent les mises en œuvre et ne fassent paraître le produit difficile à utiliser. Un membre du conseil d’administration a posé une question plus inconfortable : l’adhésion était-elle même le bon objectif, ou Dispatch Dynamics devrait-elle mesurer la qualité des décisions homme-machine plutôt que le pourcentage de recommandations suivies ?</w:t>
      </w:r>
    </w:p>
    <w:p>
      <w:pPr>
        <w:pStyle w:val="BodyText"/>
      </w:pPr>
      <w:r>
        <w:t xml:space="preserve">Chen devait aussi décider de la franchise avec laquelle discuter du problème avec les clients. Publier des repères d’adhésion au niveau du portefeuille pourrait créer une urgence, mais les clients différaient en conception de réseau et en complexité opérationnelle. Lier les frais ou les garanties de performance à l’adhésion pourrait aligner les incitations, mais pourrait encourager une conformité superficielle. Redéfinir le produit autour de « l’automatisation guidée par l’humain » pourrait améliorer la crédibilité, mais affaiblirait la promesse de l’entreprise d’une automatisation décisionnelle évolutive.</w:t>
      </w:r>
    </w:p>
    <w:bookmarkEnd w:id="13"/>
    <w:bookmarkStart w:id="14" w:name="la-décision"/>
    <w:p>
      <w:pPr>
        <w:pStyle w:val="Heading1"/>
      </w:pPr>
      <w:r>
        <w:t xml:space="preserve">La décision</w:t>
      </w:r>
    </w:p>
    <w:p>
      <w:pPr>
        <w:pStyle w:val="FirstParagraph"/>
      </w:pPr>
      <w:r>
        <w:t xml:space="preserve">Lors de la réunion trimestrielle, on attendrait de Chen qu’elle recommande à la fois une politique client immédiate et un programme de recherche à plus long terme. Elle devait décider ce que Dispatch Dynamics devrait chercher à apprendre, quelles preuves distingueraient les explications concurrentes, et comment l’entreprise devrait agir pendant que ces preuves étaient collectées.</w:t>
      </w:r>
    </w:p>
    <w:p>
      <w:pPr>
        <w:pStyle w:val="BodyText"/>
      </w:pPr>
      <w:r>
        <w:t xml:space="preserve">Les enjeux dépassaient les renouvellements actuels. Si l’entreprise traitait la faible adhésion comme un problème de formation alors que la véritable cause était de mauvaises données ou des contraintes manquantes, elle pourrait nuire à la confiance. Si elle traitait chaque dérogation comme une précieuse information humaine, elle pourrait préserver les habitudes mêmes que le logiciel était conçu pour remplacer. Si elle optimisait uniquement pour l’adhésion, elle pourrait encourager les utilisateurs à suivre les recommandations mécaniquement plutôt qu’à exercer leur jugement lorsque les circonstances changeaient réellement.</w:t>
      </w:r>
    </w:p>
    <w:p>
      <w:pPr>
        <w:pStyle w:val="BodyText"/>
      </w:pPr>
      <w:r>
        <w:t xml:space="preserve">Chen a fermé le tableau de bord et a écrit une question en haut de ses notes : Que signifierait pour un client d’utiliser Dispatch Dynamics correctement ?</w:t>
      </w:r>
    </w:p>
    <w:bookmarkEnd w:id="14"/>
    <w:bookmarkStart w:id="15" w:name="questions-de-discussion"/>
    <w:p>
      <w:pPr>
        <w:pStyle w:val="Heading1"/>
      </w:pPr>
      <w:r>
        <w:t xml:space="preserve">Questions de discussion</w:t>
      </w:r>
    </w:p>
    <w:p>
      <w:pPr>
        <w:numPr>
          <w:ilvl w:val="0"/>
          <w:numId w:val="1001"/>
        </w:numPr>
      </w:pPr>
      <w:r>
        <w:t xml:space="preserve">Comment Dispatch Dynamics devrait-elle définir une utilisation réussie : l’adhésion aux recommandations, la performance commerciale, la qualité des exceptions, ou une combinaison ?</w:t>
      </w:r>
    </w:p>
    <w:p>
      <w:pPr>
        <w:numPr>
          <w:ilvl w:val="0"/>
          <w:numId w:val="1001"/>
        </w:numPr>
      </w:pPr>
      <w:r>
        <w:t xml:space="preserve">Quelles hypothèses pourraient expliquer la faible adoption, et quelles preuves permettraient de les départager ?</w:t>
      </w:r>
    </w:p>
    <w:p>
      <w:pPr>
        <w:numPr>
          <w:ilvl w:val="0"/>
          <w:numId w:val="1001"/>
        </w:numPr>
      </w:pPr>
      <w:r>
        <w:t xml:space="preserve">Quelles catégories de dérogations représentent des défauts du produit, des défauts de données, des conflits organisationnels, ou des informations humaines précieuses ?</w:t>
      </w:r>
    </w:p>
    <w:p>
      <w:pPr>
        <w:numPr>
          <w:ilvl w:val="0"/>
          <w:numId w:val="1001"/>
        </w:numPr>
      </w:pPr>
      <w:r>
        <w:t xml:space="preserve">Comment l’entreprise devrait-elle repenser la mise en œuvre, la formation, les incitations, le flux de travail, ou le produit lui-même ?</w:t>
      </w:r>
    </w:p>
    <w:p>
      <w:pPr>
        <w:numPr>
          <w:ilvl w:val="0"/>
          <w:numId w:val="1001"/>
        </w:numPr>
      </w:pPr>
      <w:r>
        <w:t xml:space="preserve">Quelles initiatives de l’Exhibit 3 devraient recevoir le budget de 1,2 million de dollars, et dans quel ordre ?</w:t>
      </w:r>
    </w:p>
    <w:p>
      <w:pPr>
        <w:numPr>
          <w:ilvl w:val="0"/>
          <w:numId w:val="1001"/>
        </w:numPr>
      </w:pPr>
      <w:r>
        <w:t xml:space="preserve">Quels risques découlent d’une augmentation trop agressive de l’adhésion ?</w:t>
      </w:r>
    </w:p>
    <w:p>
      <w:pPr>
        <w:numPr>
          <w:ilvl w:val="0"/>
          <w:numId w:val="1001"/>
        </w:numPr>
      </w:pPr>
      <w:r>
        <w:t xml:space="preserve">Comment Dispatch Dynamics devrait-elle apprendre des dérogations des clients sans permettre aux utilisateurs de contourner le système indéfiniment ?</w:t>
      </w:r>
    </w:p>
    <w:bookmarkEnd w:id="15"/>
    <w:bookmarkStart w:id="21"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16">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qui est un plancher (vert clair) ou un plafond (rouge clair), ou enfin une cible (violet).</w:t>
      </w:r>
    </w:p>
    <w:p>
      <w:pPr>
        <w:numPr>
          <w:ilvl w:val="0"/>
          <w:numId w:val="1002"/>
        </w:numPr>
      </w:pPr>
      <w:r>
        <w:t xml:space="preserve">Utilisez l’</w:t>
      </w:r>
      <w:hyperlink r:id="rId17">
        <w:r>
          <w:rPr>
            <w:rStyle w:val="Hyperlink"/>
          </w:rPr>
          <w:t xml:space="preserve">outil de priorisation des décisions</w:t>
        </w:r>
      </w:hyperlink>
      <w:r>
        <w:t xml:space="preserve"> </w:t>
      </w:r>
      <w:r>
        <w:t xml:space="preserve">pour d’abord lister les différents types de décisions (utilisez les</w:t>
      </w:r>
      <w:r>
        <w:t xml:space="preserve"> </w:t>
      </w:r>
      <w:hyperlink r:id="rId18">
        <w:r>
          <w:rPr>
            <w:rStyle w:val="Hyperlink"/>
          </w:rPr>
          <w:t xml:space="preserve">types de décisions</w:t>
        </w:r>
      </w:hyperlink>
      <w:r>
        <w:t xml:space="preserve"> </w:t>
      </w:r>
      <w:r>
        <w:t xml:space="preserve">comme guide). Celles-ci rempliront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vers le bas. Triez les lignes de sorte que les décisions ayant le plus grand impact sur les métriques les plus importantes se trouvent vers le haut. Les cellules dans le coin supérieur gauche devraient avoir la plus grande concentration de cellules rouges et orange. À ce stade, identifiez les décisions qui devraient recevoir le plus d’attention dans votre étude. Si vous n’avez pas de décisions ayant un impact moyen ou élevé sur les métriques les plus importantes, révisez votre liste de décisions.</w:t>
      </w:r>
    </w:p>
    <w:p>
      <w:pPr>
        <w:numPr>
          <w:ilvl w:val="0"/>
          <w:numId w:val="1002"/>
        </w:numPr>
      </w:pPr>
      <w:r>
        <w:t xml:space="preserve">Répétez le processus pour lister et prioriser les incertitudes en utilisant l’</w:t>
      </w:r>
      <w:hyperlink r:id="rId19">
        <w:r>
          <w:rPr>
            <w:rStyle w:val="Hyperlink"/>
          </w:rPr>
          <w:t xml:space="preserve">outil de priorisation des incertitudes</w:t>
        </w:r>
      </w:hyperlink>
      <w:r>
        <w:t xml:space="preserve">. Utilisez les</w:t>
      </w:r>
      <w:r>
        <w:t xml:space="preserve"> </w:t>
      </w:r>
      <w:hyperlink r:id="rId20">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capturées en utilisant la performance moyenne dans le temps ?</w:t>
      </w:r>
    </w:p>
    <w:p>
      <w:pPr>
        <w:numPr>
          <w:ilvl w:val="1"/>
          <w:numId w:val="1003"/>
        </w:numPr>
      </w:pPr>
      <w:r>
        <w:t xml:space="preserve">Quelles sources d’incertitude représentent des formes de risque qui ne sont pas correctement capturées en utilisant des moyennes ?</w:t>
      </w:r>
    </w:p>
    <w:p>
      <w:pPr>
        <w:numPr>
          <w:ilvl w:val="0"/>
          <w:numId w:val="1002"/>
        </w:numPr>
      </w:pPr>
      <w:r>
        <w:t xml:space="preserve">Choisissez la décision unique qui semble avoir le plus grand impact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pour laquelle la décision aurait un impact élevé ou moyen.</w:t>
      </w:r>
    </w:p>
    <w:p>
      <w:pPr>
        <w:numPr>
          <w:ilvl w:val="0"/>
          <w:numId w:val="1002"/>
        </w:numPr>
      </w:pPr>
      <w:r>
        <w:t xml:space="preserve">En utilisant la même décision que celle identifiée en (7), identifiez les personnes, départements, groupes ou organisations avec lesquels vous auriez besoin de travailler pour mettre en œuvre la décision.</w:t>
      </w:r>
    </w:p>
    <w:bookmarkEnd w:id="21"/>
    <w:bookmarkStart w:id="22" w:name="note-de-cas"/>
    <w:p>
      <w:pPr>
        <w:pStyle w:val="Heading1"/>
      </w:pPr>
      <w:r>
        <w:t xml:space="preserve">Note de cas</w:t>
      </w:r>
    </w:p>
    <w:p>
      <w:pPr>
        <w:pStyle w:val="FirstParagraph"/>
      </w:pPr>
      <w:r>
        <w:t xml:space="preserve">Ce cas pédagogique fictif s’est inspiré de thèmes récurrents dans les études de cas et documents de gestion du changement téléversés sur l’automatisation décisionnelle du transport par camion complet : les liens entre adoption et performance, la confiance dans les recommandations, le passage de la planification manuelle à la gestion des exceptions, l’importance de l’alignement du flux de travail et du leadership, l’évolution des rôles des employés, la préparation des données, et le besoin continu d’intervention humaine légitime. Toutes les organisations, personnes, événements et exhibits numériques dans ce cas sont inventés à des fins pédagogiques.</w:t>
      </w:r>
    </w:p>
    <w:bookmarkEnd w:id="22"/>
    <w:bookmarkStart w:id="25" w:name="notes-chatgpt"/>
    <w:p>
      <w:pPr>
        <w:pStyle w:val="Heading1"/>
      </w:pPr>
      <w:r>
        <w:t xml:space="preserve">Notes ChatGPT :</w:t>
      </w:r>
    </w:p>
    <w:bookmarkStart w:id="23" w:name="invite"/>
    <w:p>
      <w:pPr>
        <w:pStyle w:val="Heading2"/>
      </w:pPr>
      <w:r>
        <w:t xml:space="preserve">Invite</w:t>
      </w:r>
    </w:p>
    <w:p>
      <w:pPr>
        <w:pStyle w:val="FirstParagraph"/>
      </w:pPr>
      <w:r>
        <w:t xml:space="preserve">Rédigez une étude de cas dans le contexte d’une entreprise de logiciels, « Dynamic Dispatching », qui développe des logiciels pour l’industrie du camion complet. Vous pouvez utiliser les études de cas dans le dossier C:</w:t>
      </w:r>
      <w:r>
        <w:t xml:space="preserve">Powell</w:t>
      </w:r>
      <w:r>
        <w:t xml:space="preserve">documents</w:t>
      </w:r>
      <w:r>
        <w:t xml:space="preserve">Dynamics</w:t>
      </w:r>
      <w:r>
        <w:t xml:space="preserve">case studies, mais n’utilisez aucun nom d’entreprise réelle. « Dispatch Dynamics » a connu un certain nombre de mises en œuvre réussies de son logiciel de répartition, mais il y a trop d’entreprises qui n’utilisent pas les recommandations sur ce qu’il faut faire avec chaque conducteur. Le défi commercial est de découvrir pourquoi ces clients n’utilisent pas le système, et d’explorer les mesures que « Dispatch Dynamics » pourrait prendre pour mieux comprendre l’acceptation par les utilisateurs.</w:t>
      </w:r>
    </w:p>
    <w:bookmarkEnd w:id="23"/>
    <w:bookmarkStart w:id="24" w:name="résumé"/>
    <w:p>
      <w:pPr>
        <w:pStyle w:val="Heading2"/>
      </w:pPr>
      <w:r>
        <w:t xml:space="preserve">Résumé</w:t>
      </w:r>
    </w:p>
    <w:p>
      <w:pPr>
        <w:pStyle w:val="FirstParagraph"/>
      </w:pPr>
      <w:r>
        <w:t xml:space="preserve">Le nouveau cas incorpore des thèmes récurrents des documents téléversés, notamment :</w:t>
      </w:r>
    </w:p>
    <w:p>
      <w:pPr>
        <w:numPr>
          <w:ilvl w:val="0"/>
          <w:numId w:val="1005"/>
        </w:numPr>
      </w:pPr>
      <w:r>
        <w:t xml:space="preserve">La relation entre l’adoption des recommandations et la performance opérationnelle</w:t>
      </w:r>
    </w:p>
    <w:p>
      <w:pPr>
        <w:numPr>
          <w:ilvl w:val="0"/>
          <w:numId w:val="1005"/>
        </w:numPr>
      </w:pPr>
      <w:r>
        <w:t xml:space="preserve">La transition de la répartition manuelle vers la gestion des exceptions</w:t>
      </w:r>
    </w:p>
    <w:p>
      <w:pPr>
        <w:numPr>
          <w:ilvl w:val="0"/>
          <w:numId w:val="1005"/>
        </w:numPr>
      </w:pPr>
      <w:r>
        <w:t xml:space="preserve">La confiance dans les recommandations automatisées</w:t>
      </w:r>
    </w:p>
    <w:p>
      <w:pPr>
        <w:numPr>
          <w:ilvl w:val="0"/>
          <w:numId w:val="1005"/>
        </w:numPr>
      </w:pPr>
      <w:r>
        <w:t xml:space="preserve">La qualité des données et les contraintes opérationnelles manquantes</w:t>
      </w:r>
    </w:p>
    <w:p>
      <w:pPr>
        <w:numPr>
          <w:ilvl w:val="0"/>
          <w:numId w:val="1005"/>
        </w:numPr>
      </w:pPr>
      <w:r>
        <w:t xml:space="preserve">Les conflits entre les recommandations à l’échelle du réseau et les mesures de performance locales</w:t>
      </w:r>
    </w:p>
    <w:p>
      <w:pPr>
        <w:numPr>
          <w:ilvl w:val="0"/>
          <w:numId w:val="1005"/>
        </w:numPr>
      </w:pPr>
      <w:r>
        <w:t xml:space="preserve">Les rôles des répartiteurs, l’identité professionnelle et les préoccupations de sécurité d’emploi</w:t>
      </w:r>
    </w:p>
    <w:p>
      <w:pPr>
        <w:numPr>
          <w:ilvl w:val="0"/>
          <w:numId w:val="1005"/>
        </w:numPr>
      </w:pPr>
      <w:r>
        <w:t xml:space="preserve">Les raisons structurées pour déroger aux recommandations</w:t>
      </w:r>
    </w:p>
    <w:p>
      <w:pPr>
        <w:numPr>
          <w:ilvl w:val="0"/>
          <w:numId w:val="1005"/>
        </w:numPr>
      </w:pPr>
      <w:r>
        <w:t xml:space="preserve">Le besoin de distinguer l’intervention humaine légitime de la non-utilisation habituelle</w:t>
      </w:r>
    </w:p>
    <w:p>
      <w:pPr>
        <w:numPr>
          <w:ilvl w:val="0"/>
          <w:numId w:val="1005"/>
        </w:numPr>
      </w:pPr>
      <w:r>
        <w:t xml:space="preserve">Les initiatives alternatives de recherche, de produit et de mise en œuvre</w:t>
      </w:r>
    </w:p>
    <w:p>
      <w:pPr>
        <w:pStyle w:val="FirstParagraph"/>
      </w:pPr>
      <w:r>
        <w:t xml:space="preserve">Tous les noms d’entreprises et d’individus, événements et exhibits numériques sont fictifs. Le cas laisse délibérément ouverte la question de savoir si le problème principal réside dans le logiciel, les données du client, les pratiques de mise en œuvre, les incitations, la conception organisationnelle, la confiance des utilisateurs, ou la définition d’une « utilisation réussie ».</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2026-09-11T15:41:34Z</dcterms:created>
  <dcterms:modified xsi:type="dcterms:W3CDTF">2026-09-11T15:41:34Z</dcterms:modified>
</cp:coreProperties>
</file>

<file path=docProps/custom.xml><?xml version="1.0" encoding="utf-8"?>
<Properties xmlns="http://schemas.openxmlformats.org/officeDocument/2006/custom-properties" xmlns:vt="http://schemas.openxmlformats.org/officeDocument/2006/docPropsVTypes"/>
</file>