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Comment une communauté devrait-elle réagir lorsque le risque de rougeole est concentré, que la confiance envers la vaccination diminue, et que les coûts de prévention sont immédiats—mais que les bénéfices sont largement invisibles ?</w:t>
      </w:r>
    </w:p>
    <w:tbl>
      <w:tblPr>
        <w:tblStyle w:val="Table"/>
        <w:tblW w:type="auto" w:w="0"/>
        <w:tblLook w:firstRow="0" w:lastRow="0" w:firstColumn="0" w:lastColumn="0" w:noHBand="0" w:noVBand="0" w:val="0000"/>
      </w:tblPr>
      <w:tblGrid>
        <w:gridCol w:w="7920"/>
      </w:tblGrid>
      <w:tr>
        <w:tc>
          <w:tcPr/>
          <w:p>
            <w:pPr>
              <w:pStyle w:val="Compact"/>
              <w:jc w:val="left"/>
            </w:pPr>
            <w:r>
              <w:rPr>
                <w:b/>
                <w:bCs/>
              </w:rPr>
              <w:t xml:space="preserve">CONTEXTE**</w:t>
            </w:r>
            <w:r>
              <w:rPr>
                <w:b/>
                <w:bCs/>
              </w:rPr>
              <w:t xml:space="preserve"> </w:t>
            </w:r>
            <w:r>
              <w:t xml:space="preserve">DÉCIDEUR** DATE DE DÉCISION\</w:t>
            </w:r>
          </w:p>
        </w:tc>
      </w:tr>
      <w:tr>
        <w:tc>
          <w:tcPr/>
          <w:p>
            <w:pPr>
              <w:pStyle w:val="Compact"/>
              <w:jc w:val="left"/>
            </w:pPr>
            <w:r>
              <w:t xml:space="preserve">Harbor County, un comté suburbain-rural fictif Dr Maya Patel, responsable de la santé du comté Août 2026</w:t>
            </w:r>
          </w:p>
        </w:tc>
      </w:tr>
    </w:tbl>
    <w:p>
      <w:r>
        <w:pict>
          <v:rect style="width:0;height:1.5pt" o:hralign="center" o:hrstd="t" o:hr="t"/>
        </w:pict>
      </w:r>
    </w:p>
    <w:bookmarkStart w:id="9" w:name="section"/>
    <w:p>
      <w:pPr>
        <w:pStyle w:val="Heading1"/>
      </w:pPr>
    </w:p>
    <w:bookmarkEnd w:id="9"/>
    <w:bookmarkStart w:id="11" w:name="un-message-avant-laube"/>
    <w:p>
      <w:pPr>
        <w:pStyle w:val="Heading1"/>
      </w:pPr>
      <w:r>
        <w:t xml:space="preserve">Un message avant l’aube</w:t>
      </w:r>
    </w:p>
    <w:p>
      <w:pPr>
        <w:pStyle w:val="FirstParagraph"/>
      </w:pPr>
      <w:r>
        <w:t xml:space="preserve">À 5h42, le Dr Maya Patel a reçu un texto de l’épidémiologiste de l’État : un laboratoire avait confirmé la rougeole chez un élève de neuf ans du comté de Harbor. L’enfant avait fréquenté l’école pendant quatre jours alors qu’il était infectieux, avait visité une clinique de soins urgents, avait participé à un tournoi de basketball le week-end, et avait passé deux heures dans un terminal d’aéroport bondé avant que l’éruption cutanée n’apparaisse.</w:t>
      </w:r>
    </w:p>
    <w:p>
      <w:pPr>
        <w:pStyle w:val="BodyText"/>
      </w:pPr>
      <w:r>
        <w:t xml:space="preserve">À 7h00, le service de santé du comté avait identifié 186 personnes potentiellement exposées. Ce nombre allait augmenter. Certains contacts disposaient de dossiers de vaccination électroniques ; d’autres avaient des dossiers dispersés entre cabinets pédiatriques, écoles, pharmacies et d’autres États. Vingt-sept nourrissons étaient trop jeunes pour la vaccination systématique. Au moins onze personnes exposées étaient enceintes ou immunodéprimées. Le district scolaire voulait savoir si les élèves sans preuve documentée d’immunité devaient être exclus des cours—et pour combien de temps.</w:t>
      </w:r>
    </w:p>
    <w:p>
      <w:pPr>
        <w:pStyle w:val="BodyText"/>
      </w:pPr>
      <w:r>
        <w:t xml:space="preserve">Le cas confirmé est survenu pendant une résurgence nationale. Au 23 juillet 2026, les États-Unis avaient signalé 2 318 cas confirmés de rougeole, dont 93 % associés à des épidémies. Le total pour l’année entière 2025 avait été de 2 289 cas, contre 285 en 2024.¹</w:t>
      </w:r>
    </w:p>
    <w:p>
      <w:pPr>
        <w:pStyle w:val="BodyText"/>
      </w:pPr>
      <w:r>
        <w:t xml:space="preserve">Le comté de Harbor n’avait connu aucune transmission locale confirmée depuis plus d’une décennie. Pourtant, Patel savait que l’absence de maladie ne signifiait pas l’absence de risque. La couverture ROR à l’échelle du comté chez les élèves de maternelle était de 91,8 %, mais cette moyenne masquait une grande variation entre les écoles et les quartiers. Le directeur exécutif du comté avait programmé une réunion d’urgence à 15h30. On attendait de Patel qu’elle recommande une réponse immédiate et une stratégie de vaccination à plus long terme—sans envenimer la méfiance ni promettre qu’une épidémie pourrait être évitée.</w:t>
      </w:r>
    </w:p>
    <w:bookmarkStart w:id="10" w:name="le-défi-central"/>
    <w:p>
      <w:pPr>
        <w:pStyle w:val="Heading2"/>
      </w:pPr>
      <w:r>
        <w:t xml:space="preserve">Le défi central</w:t>
      </w:r>
    </w:p>
    <w:p>
      <w:pPr>
        <w:pStyle w:val="FirstParagraph"/>
      </w:pPr>
      <w:r>
        <w:t xml:space="preserve">Le comté de Harbor devrait-il traiter ce cas comme une exposition maîtrisée nécessitant une réponse intensive à court terme, ou comme la preuve d’un écart d’immunité plus profond justifiant une intervention soutenue dans les écoles, les cliniques et les communautés ?</w:t>
      </w:r>
    </w:p>
    <w:bookmarkEnd w:id="10"/>
    <w:bookmarkEnd w:id="11"/>
    <w:bookmarkStart w:id="12" w:name="le-comté-de-harbor"/>
    <w:p>
      <w:pPr>
        <w:pStyle w:val="Heading1"/>
      </w:pPr>
      <w:r>
        <w:t xml:space="preserve">Le comté de Harbor</w:t>
      </w:r>
    </w:p>
    <w:p>
      <w:pPr>
        <w:pStyle w:val="FirstParagraph"/>
      </w:pPr>
      <w:r>
        <w:t xml:space="preserve">Le comté de Harbor comptait 742 000 habitants. Ses banlieues côtières comprenaient plusieurs grands employeurs, un aéroport régional et un centre médical universitaire. Les communautés de l’arrière-pays étaient plus rurales, avec moins de cabinets pédiatriques et des transports en soirée limités. Le comté était économiquement diversifié : le revenu médian des ménages était de 86 900 $, mais 14 % des enfants vivaient sous le seuil de pauvreté fédéral. Environ 24 % des résidents parlaient une langue autre que l’anglais à la maison. Toutes les données du comté de Harbor dans ce cas sont fictives mais conçues pour refléter les conditions rencontrées par les communautés américaines.</w:t>
      </w:r>
    </w:p>
    <w:bookmarkEnd w:id="12"/>
    <w:bookmarkStart w:id="13" w:name="X9b19ff5ec8378f5b68d87163a28ec70a5f62aaa"/>
    <w:p>
      <w:pPr>
        <w:pStyle w:val="Heading1"/>
      </w:pPr>
      <w:r>
        <w:t xml:space="preserve">Une maladie évitable avec des exigences de contrôle strictes</w:t>
      </w:r>
    </w:p>
    <w:p>
      <w:pPr>
        <w:pStyle w:val="FirstParagraph"/>
      </w:pPr>
      <w:r>
        <w:t xml:space="preserve">La rougeole est parmi les infections humaines les plus contagieuses. Les symptômes commencent souvent 7 à 14 jours après l’exposition, ce qui permet aux personnes infectées de se déplacer dans les écoles, les cliniques, les magasins, les lieux de travail et les systèmes de transport avant que la maladie ne soit reconnue. Environ un patient américain non vacciné atteint de rougeole sur cinq est hospitalisé ; une pneumonie survient chez jusqu’à un enfant sur vingt, et une encéphalite chez environ un cas sur mille.²</w:t>
      </w:r>
    </w:p>
    <w:p>
      <w:pPr>
        <w:pStyle w:val="BodyText"/>
      </w:pPr>
      <w:r>
        <w:t xml:space="preserve">Deux doses de vaccin ROR offrent la meilleure protection, et la plupart des personnes vaccinées sont protégées à vie. Il est habituellement recommandé que les enfants reçoivent la première dose entre 12 et 15 mois et la seconde entre 4 et 6 ans.³ La protection communautaire nécessite généralement une couverture vaccinale supérieure à 95 %, un seuil qui doit être maintenu localement et pas seulement dans les moyennes à l’échelle du comté.¹</w:t>
      </w:r>
    </w:p>
    <w:p>
      <w:pPr>
        <w:pStyle w:val="BodyText"/>
      </w:pPr>
      <w:r>
        <w:t xml:space="preserve">La couverture ROR nationale en maternelle est passée de 95,2 % en 2019–2020 à 92,5 % en 2024–2025, laissant environ 286 000 élèves de maternelle sans documentation attestant l’achèvement de la série. Les exemptions d’un ou plusieurs vaccins ont augmenté à 3,6 %, et dix-sept États ont signalé des taux d’exemption supérieurs à 5 %.⁴</w:t>
      </w:r>
    </w:p>
    <w:bookmarkEnd w:id="13"/>
    <w:bookmarkStart w:id="14" w:name="la-carte-locale-de-limmunité"/>
    <w:p>
      <w:pPr>
        <w:pStyle w:val="Heading1"/>
      </w:pPr>
      <w:r>
        <w:t xml:space="preserve">La carte locale de l’immunité</w:t>
      </w:r>
    </w:p>
    <w:p>
      <w:pPr>
        <w:pStyle w:val="FirstParagraph"/>
      </w:pPr>
      <w:r>
        <w:t xml:space="preserve">La moyenne du comté de Harbor semblait gérable jusqu’à ce que les analystes cartographient la couverture au niveau des écoles. Quarante-trois des 128 écoles primaires du comté dépassaient une couverture ROR documentée de 95 %. Trente-et-une écoles étaient en dessous de 90 %, dont neuf en dessous de 85 %. Plusieurs écoles à faible couverture étaient géographiquement regroupées, mais leurs circonstances différaient. Certaines desservaient des familles qui avaient des difficultés à programmer des rendez-vous ou à récupérer des dossiers. D’autres avaient des réseaux organisés de parents qui remettaient en question les exigences vaccinales. Quelques écoles privées avaient des taux d’exemption élevés mais de solides relations avec les familles et peu de confiance envers le gouvernement du comté.</w:t>
      </w:r>
    </w:p>
    <w:p>
      <w:pPr>
        <w:pStyle w:val="BodyText"/>
      </w:pPr>
      <w:r>
        <w:t xml:space="preserve">Les données étaient incomplètes. Le registre de vaccination de l’État ne capturait pas de manière fiable les vaccinations administrées avant que les familles ne s’installent dans l’État. Les dossiers scolaires comptaient l’absence de documentation comme non-vaccination, ce qui surestimait la susceptibilité dans certains endroits. En même temps, les moyennes scolaires pouvaient sous-estimer le risque, car les familles non vaccinées interagissaient souvent par le biais d’équipes sportives, de communautés religieuses, de réseaux de garde d’enfants et de groupes d’école à domicile qui traversaient les frontières scolaires.</w:t>
      </w:r>
    </w:p>
    <w:bookmarkEnd w:id="14"/>
    <w:bookmarkStart w:id="15" w:name="la-réponse-immédiate"/>
    <w:p>
      <w:pPr>
        <w:pStyle w:val="Heading1"/>
      </w:pPr>
      <w:r>
        <w:t xml:space="preserve">La réponse immédiate</w:t>
      </w:r>
    </w:p>
    <w:p>
      <w:pPr>
        <w:pStyle w:val="FirstParagraph"/>
      </w:pPr>
      <w:r>
        <w:t xml:space="preserve">Enquête de cas et recherche des contacts : Interroger la famille, reconstituer les lieux et les horaires, notifier les personnes exposées, et surveiller les symptômes pendant 21 jours après la dernière exposition.</w:t>
      </w:r>
    </w:p>
    <w:p>
      <w:pPr>
        <w:pStyle w:val="BodyText"/>
      </w:pPr>
      <w:r>
        <w:t xml:space="preserve">Protection post-exposition : Organiser une vaccination ROR rapide pour les contacts éligibles dans les 72 heures suivant l’exposition et une immunoglobuline pour certaines personnes à haut risque dans les six jours.³</w:t>
      </w:r>
    </w:p>
    <w:p>
      <w:pPr>
        <w:pStyle w:val="BodyText"/>
      </w:pPr>
      <w:r>
        <w:t xml:space="preserve">Contrôles scolaires : Vérifier les dossiers, identifier les élèves et le personnel susceptibles, et déterminer si l’exclusion est légalement requise ou opérationnellement réalisable.</w:t>
      </w:r>
    </w:p>
    <w:p>
      <w:pPr>
        <w:pStyle w:val="BodyText"/>
      </w:pPr>
      <w:r>
        <w:t xml:space="preserve">Préparation clinique : Alerter les hôpitaux et les cabinets, établir des procédures d’isolement, et réduire le risque que des patients suspects exposent les salles d’attente.</w:t>
      </w:r>
    </w:p>
    <w:p>
      <w:pPr>
        <w:pStyle w:val="BodyText"/>
      </w:pPr>
      <w:r>
        <w:t xml:space="preserve">Communication publique : Informer la communauté suffisamment rapidement pour inciter à l’action, tout en évitant de divulguer l’identité de l’enfant ou un langage qui pourrait stigmatiser une école, une communauté confessionnelle, un groupe d’immigrants ou des familles réticentes à la vaccination.</w:t>
      </w:r>
    </w:p>
    <w:bookmarkEnd w:id="15"/>
    <w:bookmarkStart w:id="16" w:name="points-de-vue-contradictoires"/>
    <w:p>
      <w:pPr>
        <w:pStyle w:val="Heading1"/>
      </w:pPr>
      <w:r>
        <w:t xml:space="preserve">Points de vue contradictoires</w:t>
      </w:r>
    </w:p>
    <w:p>
      <w:pPr>
        <w:pStyle w:val="FirstParagraph"/>
      </w:pPr>
      <w:r>
        <w:t xml:space="preserve">La surintendante Laura Chen voulait une règle uniforme. Les directeurs d’établissement ne pouvaient pas interpréter des dossiers et exemptions différents tout en gérant des parents et du personnel anxieux. L’avocate du comté a averti que les règles d’exclusion étaient régies par le droit de l’État et les exigences de procédure régulière. Les pédiatres soutenaient les cliniques de vaccination mais ont indiqué que de nombreux cabinets manquaient de personnel de réserve et de stockage réfrigéré pour une campagne soudaine. Les dirigeants hospitaliers ont demandé au comté de financer une capacité de triage et de dépistage dédiée pour que les patients suspects n’entrent pas dans les salles d’attente ordinaires des services d’urgence.</w:t>
      </w:r>
    </w:p>
    <w:p>
      <w:pPr>
        <w:pStyle w:val="BodyText"/>
      </w:pPr>
      <w:r>
        <w:t xml:space="preserve">Les groupes de parents étaient en désaccord marqué. Certains exigeaient l’exclusion immédiate de tout élève sans immunité vérifiée. D’autres soutenaient qu’un seul cas importé ne justifiait pas de perturber l’éducation ou de traiter les familles exemptées comme irresponsables. Les organisations communautaires ont déclaré que les messages du comté étaient trop techniques et trop centrés sur la persuasion. Elles voulaient un soutien pratique—traduction, transport, cliniques en soirée, récupération des dossiers, et messagers de confiance—avant l’application des règles.</w:t>
      </w:r>
    </w:p>
    <w:bookmarkEnd w:id="16"/>
    <w:bookmarkStart w:id="17" w:name="la-décision-de-financement"/>
    <w:p>
      <w:pPr>
        <w:pStyle w:val="Heading1"/>
      </w:pPr>
      <w:r>
        <w:t xml:space="preserve">La décision de financement</w:t>
      </w:r>
    </w:p>
    <w:p>
      <w:pPr>
        <w:pStyle w:val="FirstParagraph"/>
      </w:pPr>
      <w:r>
        <w:t xml:space="preserve">Patel pouvait accéder à 1,9 million de $ de réserves d’urgence. Une subvention d’État pour épidémie pourrait rembourser jusqu’à 1,2 million de $, mais seulement après que les dépenses soient documentées et approuvées. Le directeur exécutif du comté était disposé à envisager une affectation supplémentaire si Patel pouvait expliquer ce qui serait acheté, combien de temps cela fonctionnerait, et quand le comté s’arrêterait. Chaque dollar consacré à la rougeole serait indisponible pour les inspections de restaurants, les cliniques d’infections sexuellement transmissibles, les visites de santé maternelle, le contrôle de la tuberculose, et les préparatifs pour la saison des virus respiratoires de l’automne.</w:t>
      </w:r>
    </w:p>
    <w:bookmarkEnd w:id="17"/>
    <w:bookmarkStart w:id="18" w:name="programmes-en-cours-dexamen"/>
    <w:p>
      <w:pPr>
        <w:pStyle w:val="Heading1"/>
      </w:pPr>
      <w:r>
        <w:t xml:space="preserve">Programmes en cours d’examen</w:t>
      </w:r>
    </w:p>
    <w:p>
      <w:pPr>
        <w:pStyle w:val="FirstParagraph"/>
      </w:pPr>
      <w:r>
        <w:t xml:space="preserve">Remarque : Les coûts, les résultats et les estimations locales sont fictifs. Les chiffres de capacité indiquent ce qui pourrait être fourni au cours des 90 premiers jours.</w:t>
      </w:r>
    </w:p>
    <w:tbl>
      <w:tblPr>
        <w:tblStyle w:val="Table"/>
        <w:tblW w:type="pct" w:w="4950"/>
        <w:tblLayout w:type="fixed"/>
        <w:tblLook w:firstRow="1" w:lastRow="0" w:firstColumn="0" w:lastColumn="0" w:noHBand="0" w:noVBand="0" w:val="0020"/>
      </w:tblPr>
      <w:tblGrid>
        <w:gridCol w:w="1221"/>
        <w:gridCol w:w="551"/>
        <w:gridCol w:w="1694"/>
        <w:gridCol w:w="2324"/>
        <w:gridCol w:w="2048"/>
      </w:tblGrid>
      <w:tr>
        <w:trPr>
          <w:tblHeader w:val="on"/>
        </w:trPr>
        <w:tc>
          <w:tcPr/>
          <w:p>
            <w:pPr>
              <w:pStyle w:val="Compact"/>
              <w:jc w:val="left"/>
            </w:pPr>
            <w:r>
              <w:t xml:space="preserve">Intervention</w:t>
            </w:r>
          </w:p>
        </w:tc>
        <w:tc>
          <w:tcPr/>
          <w:p>
            <w:pPr>
              <w:pStyle w:val="Compact"/>
            </w:pPr>
            <w:r>
              <w:t xml:space="preserve">Coût sur 90 jo</w:t>
            </w:r>
          </w:p>
        </w:tc>
        <w:tc>
          <w:tcPr/>
          <w:p>
            <w:pPr>
              <w:pStyle w:val="Compact"/>
              <w:jc w:val="left"/>
            </w:pPr>
            <w:r>
              <w:t xml:space="preserve">urs Capacité potentielle</w:t>
            </w:r>
          </w:p>
        </w:tc>
        <w:tc>
          <w:tcPr/>
          <w:p>
            <w:pPr>
              <w:pStyle w:val="Compact"/>
              <w:jc w:val="center"/>
            </w:pPr>
            <w:r>
              <w:t xml:space="preserve">Incertitude principale</w:t>
            </w:r>
          </w:p>
        </w:tc>
        <w:tc>
          <w:tcPr/>
          <w:p>
            <w:pPr>
              <w:pStyle w:val="Compact"/>
              <w:jc w:val="center"/>
            </w:pPr>
            <w:r>
              <w:t xml:space="preserve">Contrainte opérationnelle</w:t>
            </w:r>
          </w:p>
        </w:tc>
      </w:tr>
      <w:tr>
        <w:tc>
          <w:tcPr/>
          <w:p>
            <w:pPr>
              <w:pStyle w:val="Compact"/>
              <w:jc w:val="left"/>
            </w:pPr>
            <w:r>
              <w:t xml:space="preserve">Cliniques en milieu scolaire</w:t>
            </w:r>
          </w:p>
        </w:tc>
        <w:tc>
          <w:tcPr/>
          <w:p>
            <w:pPr>
              <w:pStyle w:val="Compact"/>
            </w:pPr>
            <w:r>
              <w:t xml:space="preserve">620 00</w:t>
            </w:r>
          </w:p>
        </w:tc>
        <w:tc>
          <w:tcPr/>
          <w:p>
            <w:pPr>
              <w:pStyle w:val="Compact"/>
              <w:jc w:val="left"/>
            </w:pPr>
            <w:r>
              <w:t xml:space="preserve">0 $ 18 000 vaccinations ou révisions d</w:t>
            </w:r>
          </w:p>
        </w:tc>
        <w:tc>
          <w:tcPr/>
          <w:p>
            <w:pPr>
              <w:pStyle w:val="Compact"/>
              <w:jc w:val="center"/>
            </w:pPr>
            <w:r>
              <w:t xml:space="preserve">e dossiers Combien d’élèves non documentés sont déjà i</w:t>
            </w:r>
          </w:p>
        </w:tc>
        <w:tc>
          <w:tcPr/>
          <w:p>
            <w:pPr>
              <w:pStyle w:val="Compact"/>
              <w:jc w:val="center"/>
            </w:pPr>
            <w:r>
              <w:t xml:space="preserve">mmunisés ? Nécessite le consentement de l’école, du personnel et une chaîne du froid</w:t>
            </w:r>
          </w:p>
        </w:tc>
      </w:tr>
      <w:tr>
        <w:tc>
          <w:tcPr/>
          <w:p>
            <w:pPr>
              <w:pStyle w:val="Compact"/>
              <w:jc w:val="left"/>
            </w:pPr>
            <w:r>
              <w:t xml:space="preserve">Cliniques mobiles/communautaire</w:t>
            </w:r>
          </w:p>
        </w:tc>
        <w:tc>
          <w:tcPr/>
          <w:p>
            <w:pPr>
              <w:pStyle w:val="Compact"/>
            </w:pPr>
            <w:r>
              <w:t xml:space="preserve">s 410 00</w:t>
            </w:r>
          </w:p>
        </w:tc>
        <w:tc>
          <w:tcPr/>
          <w:p>
            <w:pPr>
              <w:pStyle w:val="Compact"/>
              <w:jc w:val="left"/>
            </w:pPr>
            <w:r>
              <w:t xml:space="preserve">0 $ 7 500 vaccinations ; 36 événements</w:t>
            </w:r>
          </w:p>
        </w:tc>
        <w:tc>
          <w:tcPr/>
          <w:p>
            <w:pPr>
              <w:pStyle w:val="Compact"/>
              <w:jc w:val="center"/>
            </w:pPr>
            <w:r>
              <w:t xml:space="preserve">en soirée Les groupes à faible couverture assisteront-il</w:t>
            </w:r>
          </w:p>
        </w:tc>
        <w:tc>
          <w:tcPr/>
          <w:p>
            <w:pPr>
              <w:pStyle w:val="Compact"/>
              <w:jc w:val="center"/>
            </w:pPr>
            <w:r>
              <w:t xml:space="preserve">s aux événements parrainés par le comté ? Les sites et partenaires de confiance varient selon le quartier</w:t>
            </w:r>
          </w:p>
        </w:tc>
      </w:tr>
      <w:tr>
        <w:tc>
          <w:tcPr/>
          <w:p>
            <w:pPr>
              <w:pStyle w:val="Compact"/>
              <w:jc w:val="left"/>
            </w:pPr>
            <w:r>
              <w:t xml:space="preserve">Équipe de réconciliation des do</w:t>
            </w:r>
          </w:p>
        </w:tc>
        <w:tc>
          <w:tcPr/>
          <w:p>
            <w:pPr>
              <w:pStyle w:val="Compact"/>
            </w:pPr>
            <w:r>
              <w:t xml:space="preserve">ssiers 28</w:t>
            </w:r>
          </w:p>
        </w:tc>
        <w:tc>
          <w:tcPr/>
          <w:p>
            <w:pPr>
              <w:pStyle w:val="Compact"/>
              <w:jc w:val="left"/>
            </w:pPr>
            <w:r>
              <w:t xml:space="preserve">0 000 $ 25 000 dossiers d’élèves révis</w:t>
            </w:r>
          </w:p>
        </w:tc>
        <w:tc>
          <w:tcPr/>
          <w:p>
            <w:pPr>
              <w:pStyle w:val="Compact"/>
              <w:jc w:val="center"/>
            </w:pPr>
            <w:r>
              <w:t xml:space="preserve">és L’amélioration des dossiers changera-t-elle sensiblem</w:t>
            </w:r>
          </w:p>
        </w:tc>
        <w:tc>
          <w:tcPr/>
          <w:p>
            <w:pPr>
              <w:pStyle w:val="Compact"/>
              <w:jc w:val="center"/>
            </w:pPr>
            <w:r>
              <w:t xml:space="preserve">ent les estimations de risque ? Partage de données et vérification manuelle</w:t>
            </w:r>
          </w:p>
        </w:tc>
      </w:tr>
      <w:tr>
        <w:tc>
          <w:tcPr/>
          <w:p>
            <w:pPr>
              <w:pStyle w:val="Compact"/>
              <w:jc w:val="left"/>
            </w:pPr>
            <w:r>
              <w:t xml:space="preserve">Soutien à l’isolement clinique</w:t>
            </w:r>
          </w:p>
        </w:tc>
        <w:tc>
          <w:tcPr/>
          <w:p>
            <w:pPr>
              <w:pStyle w:val="Compact"/>
            </w:pPr>
            <w:r>
              <w:t xml:space="preserve">360 000 $</w:t>
            </w:r>
          </w:p>
        </w:tc>
        <w:tc>
          <w:tcPr/>
          <w:p>
            <w:pPr>
              <w:pStyle w:val="Compact"/>
              <w:jc w:val="left"/>
            </w:pPr>
            <w:r>
              <w:t xml:space="preserve">12 établissements équipés et formés</w:t>
            </w:r>
          </w:p>
        </w:tc>
        <w:tc>
          <w:tcPr/>
          <w:p>
            <w:pPr>
              <w:pStyle w:val="Compact"/>
              <w:jc w:val="center"/>
            </w:pPr>
            <w:r>
              <w:t xml:space="preserve">Combien de cas suspects rechercheront des soins ?</w:t>
            </w:r>
          </w:p>
        </w:tc>
        <w:tc>
          <w:tcPr/>
          <w:p>
            <w:pPr>
              <w:pStyle w:val="Compact"/>
              <w:jc w:val="center"/>
            </w:pPr>
            <w:r>
              <w:t xml:space="preserve">Les flux de travail hospitaliers et des cabinets diffèrent</w:t>
            </w:r>
          </w:p>
        </w:tc>
      </w:tr>
      <w:tr>
        <w:tc>
          <w:tcPr/>
          <w:p>
            <w:pPr>
              <w:pStyle w:val="Compact"/>
              <w:jc w:val="left"/>
            </w:pPr>
            <w:r>
              <w:t xml:space="preserve">Communication et messagers 24</w:t>
            </w:r>
          </w:p>
        </w:tc>
        <w:tc>
          <w:tcPr/>
          <w:p>
            <w:pPr>
              <w:pStyle w:val="Compact"/>
            </w:pPr>
            <w:r>
              <w:t xml:space="preserve">0 000 $ C</w:t>
            </w:r>
          </w:p>
        </w:tc>
        <w:tc>
          <w:tcPr/>
          <w:p>
            <w:pPr>
              <w:pStyle w:val="Compact"/>
              <w:jc w:val="left"/>
            </w:pPr>
            <w:r>
              <w:t xml:space="preserve">ampagne multilingue ; 40 subventions à des</w:t>
            </w:r>
          </w:p>
        </w:tc>
        <w:tc>
          <w:tcPr/>
          <w:p>
            <w:pPr>
              <w:pStyle w:val="Compact"/>
              <w:jc w:val="center"/>
            </w:pPr>
            <w:r>
              <w:t xml:space="preserve">partenaires La communication pourrait-elle accroître la r</w:t>
            </w:r>
          </w:p>
        </w:tc>
        <w:tc>
          <w:tcPr/>
          <w:p>
            <w:pPr>
              <w:pStyle w:val="Compact"/>
              <w:jc w:val="center"/>
            </w:pPr>
            <w:r>
              <w:t xml:space="preserve">ésistance ou la stigmatisation ? L’impact est difficile à attribuer</w:t>
            </w:r>
          </w:p>
        </w:tc>
      </w:tr>
      <w:tr>
        <w:tc>
          <w:tcPr/>
          <w:p>
            <w:pPr>
              <w:pStyle w:val="Compact"/>
              <w:jc w:val="left"/>
            </w:pPr>
            <w:r>
              <w:t xml:space="preserve">Réserve de recherche des contac</w:t>
            </w:r>
          </w:p>
        </w:tc>
        <w:tc>
          <w:tcPr/>
          <w:p>
            <w:pPr>
              <w:pStyle w:val="Compact"/>
            </w:pPr>
            <w:r>
              <w:t xml:space="preserve">ts étendue</w:t>
            </w:r>
          </w:p>
        </w:tc>
        <w:tc>
          <w:tcPr/>
          <w:p>
            <w:pPr>
              <w:pStyle w:val="Compact"/>
              <w:jc w:val="left"/>
            </w:pPr>
            <w:r>
              <w:t xml:space="preserve">510 000 $ Jusqu’à 1 800 contacts sur</w:t>
            </w:r>
          </w:p>
        </w:tc>
        <w:tc>
          <w:tcPr/>
          <w:p>
            <w:pPr>
              <w:pStyle w:val="Compact"/>
              <w:jc w:val="center"/>
            </w:pPr>
            <w:r>
              <w:t xml:space="preserve">veillés Nombre et complexité des cas futurs</w:t>
            </w:r>
          </w:p>
        </w:tc>
        <w:tc>
          <w:tcPr/>
          <w:p>
            <w:pPr>
              <w:pStyle w:val="Compact"/>
              <w:jc w:val="center"/>
            </w:pPr>
            <w:r>
              <w:t xml:space="preserve">Exige beaucoup de main-d’œuvre ; la demande peut disparaître ou augmenter</w:t>
            </w:r>
          </w:p>
        </w:tc>
      </w:tr>
    </w:tbl>
    <w:bookmarkEnd w:id="18"/>
    <w:bookmarkStart w:id="19" w:name="X2da4fbdc32e8ad7d165425f99aa43b511596211"/>
    <w:p>
      <w:pPr>
        <w:pStyle w:val="Heading1"/>
      </w:pPr>
      <w:r>
        <w:t xml:space="preserve">Orientations possibles—non mutuellement exclusives</w:t>
      </w:r>
    </w:p>
    <w:p>
      <w:pPr>
        <w:pStyle w:val="FirstParagraph"/>
      </w:pPr>
      <w:r>
        <w:t xml:space="preserve">Contenir l’exposition actuelle. Concentrer les ressources sur la recherche des contacts, la prophylaxie post-exposition, la vérification des dossiers scolaires, et l’isolement clinique ; éviter une campagne plus large sauf si des cas secondaires apparaissent.</w:t>
      </w:r>
    </w:p>
    <w:p>
      <w:pPr>
        <w:pStyle w:val="BodyText"/>
      </w:pPr>
      <w:r>
        <w:t xml:space="preserve">Combler les lacunes d’accès documentées. Étendre la vaccination pratique et la récupération des dossiers dans les écoles à faible couverture, quelles que soient les convictions déclarées des familles.</w:t>
      </w:r>
    </w:p>
    <w:p>
      <w:pPr>
        <w:pStyle w:val="BodyText"/>
      </w:pPr>
      <w:r>
        <w:t xml:space="preserve">Utiliser une application scolaire plus stricte. Resserrer les délais et les pratiques d’exclusion pour augmenter l’immunité documentée, en acceptant les perturbations politiques et éducatives.</w:t>
      </w:r>
    </w:p>
    <w:p>
      <w:pPr>
        <w:pStyle w:val="BodyText"/>
      </w:pPr>
      <w:r>
        <w:t xml:space="preserve">Investir dans la confiance et les relations. Financer des organisations locales et des cliniciens pour engager les familles réticentes dans le temps, même si les résultats mesurables peuvent être lents et incertains.</w:t>
      </w:r>
    </w:p>
    <w:p>
      <w:pPr>
        <w:pStyle w:val="BodyText"/>
      </w:pPr>
      <w:r>
        <w:t xml:space="preserve">Adopter un portefeuille déclenché par le risque. Prédéfinir des seuils—nouveaux cas, contextes d’exposition, couverture scolaire, capacité hospitalière—qui élargissent ou réduisent automatiquement les interventions.</w:t>
      </w:r>
    </w:p>
    <w:bookmarkEnd w:id="19"/>
    <w:bookmarkStart w:id="20" w:name="que-signifierait-le-succès"/>
    <w:p>
      <w:pPr>
        <w:pStyle w:val="Heading1"/>
      </w:pPr>
      <w:r>
        <w:t xml:space="preserve">Que signifierait le succès ?</w:t>
      </w:r>
    </w:p>
    <w:p>
      <w:pPr>
        <w:pStyle w:val="FirstParagraph"/>
      </w:pPr>
      <w:r>
        <w:t xml:space="preserve">Les parties prenantes ne s’accordaient pas sur l’objectif. Les épidémiologistes mettaient l’accent sur la prévention de la transmission secondaire. Les écoles voulaient la stabilité de la fréquentation et des règles claires. Les hôpitaux privilégiaient un triage sûr et évitaient les expositions. Les parents se concentraient sur la sécurité de l’enfant, l’autonomie, ou les deux. Les groupes communautaires mettaient l’accent sur la confiance et l’accès équitable. Les responsables financiers voulaient connaître le coût par vaccination, par dossier vérifié, par cas détecté, ou par infection évitée—bien que cette dernière mesure ne puisse jamais être observée directement.</w:t>
      </w:r>
    </w:p>
    <w:p>
      <w:pPr>
        <w:pStyle w:val="BodyText"/>
      </w:pPr>
      <w:r>
        <w:t xml:space="preserve">Patel faisait également face à un problème de timing. Une réponse énergique pourrait sembler gaspilleuse si aucun second cas ne survenait. Une réponse mesurée pourrait sembler prudente—jusqu’à ce qu’une reconnaissance tardive permette une transmission à travers plusieurs écoles. De meilleures données pourraient réduire l’incertitude, mais attendre de meilleures données était en soi une décision.</w:t>
      </w:r>
    </w:p>
    <w:bookmarkEnd w:id="20"/>
    <w:bookmarkStart w:id="21" w:name="Xabb79411148ac109d7b695a95611426d60a5775"/>
    <w:p>
      <w:pPr>
        <w:pStyle w:val="Heading1"/>
      </w:pPr>
      <w:r>
        <w:t xml:space="preserve">Exhibit 1. Indicateurs de vaccination du comté de Harbor</w:t>
      </w:r>
    </w:p>
    <w:p>
      <w:pPr>
        <w:pStyle w:val="FirstParagraph"/>
      </w:pPr>
      <w:r>
        <w:t xml:space="preserve">*Les chiffres de 2026 reflètent les dossiers disponibles au 15 juillet. Tous les chiffres du comté de Harbor sont fictifs.</w:t>
      </w:r>
    </w:p>
    <w:tbl>
      <w:tblPr>
        <w:tblStyle w:val="Table"/>
        <w:tblW w:type="pct" w:w="4901"/>
        <w:tblLayout w:type="fixed"/>
        <w:tblLook w:firstRow="1" w:lastRow="0" w:firstColumn="0" w:lastColumn="0" w:noHBand="0" w:noVBand="0" w:val="0020"/>
      </w:tblPr>
      <w:tblGrid>
        <w:gridCol w:w="3293"/>
        <w:gridCol w:w="862"/>
        <w:gridCol w:w="862"/>
        <w:gridCol w:w="862"/>
        <w:gridCol w:w="862"/>
        <w:gridCol w:w="1019"/>
      </w:tblGrid>
      <w:tr>
        <w:trPr>
          <w:tblHeader w:val="on"/>
        </w:trPr>
        <w:tc>
          <w:tcPr/>
          <w:p>
            <w:pPr>
              <w:pStyle w:val="Compact"/>
              <w:jc w:val="left"/>
            </w:pPr>
            <w:r>
              <w:t xml:space="preserve">Indicateur</w:t>
            </w:r>
          </w:p>
        </w:tc>
        <w:tc>
          <w:tcPr/>
          <w:p>
            <w:pPr>
              <w:pStyle w:val="Compact"/>
              <w:jc w:val="center"/>
            </w:pPr>
            <w:r>
              <w:t xml:space="preserve">2021–22</w:t>
            </w:r>
          </w:p>
        </w:tc>
        <w:tc>
          <w:tcPr/>
          <w:p>
            <w:pPr>
              <w:pStyle w:val="Compact"/>
              <w:jc w:val="center"/>
            </w:pPr>
            <w:r>
              <w:t xml:space="preserve">2022–23</w:t>
            </w:r>
          </w:p>
        </w:tc>
        <w:tc>
          <w:tcPr/>
          <w:p>
            <w:pPr>
              <w:pStyle w:val="Compact"/>
              <w:jc w:val="center"/>
            </w:pPr>
            <w:r>
              <w:t xml:space="preserve">2023–24</w:t>
            </w:r>
          </w:p>
        </w:tc>
        <w:tc>
          <w:tcPr/>
          <w:p>
            <w:pPr>
              <w:pStyle w:val="Compact"/>
              <w:jc w:val="center"/>
            </w:pPr>
            <w:r>
              <w:t xml:space="preserve">2024–25</w:t>
            </w:r>
          </w:p>
        </w:tc>
        <w:tc>
          <w:tcPr/>
          <w:p>
            <w:pPr>
              <w:pStyle w:val="Compact"/>
              <w:jc w:val="center"/>
            </w:pPr>
            <w:r>
              <w:t xml:space="preserve">2025–26*</w:t>
            </w:r>
          </w:p>
        </w:tc>
      </w:tr>
      <w:tr>
        <w:tc>
          <w:tcPr/>
          <w:p>
            <w:pPr>
              <w:pStyle w:val="Compact"/>
              <w:jc w:val="left"/>
            </w:pPr>
            <w:r>
              <w:t xml:space="preserve">Couverture ROR en maternelle</w:t>
            </w:r>
          </w:p>
        </w:tc>
        <w:tc>
          <w:tcPr/>
          <w:p>
            <w:pPr>
              <w:pStyle w:val="Compact"/>
              <w:jc w:val="center"/>
            </w:pPr>
            <w:r>
              <w:t xml:space="preserve">94,8%</w:t>
            </w:r>
          </w:p>
        </w:tc>
        <w:tc>
          <w:tcPr/>
          <w:p>
            <w:pPr>
              <w:pStyle w:val="Compact"/>
              <w:jc w:val="center"/>
            </w:pPr>
            <w:r>
              <w:t xml:space="preserve">94,1%</w:t>
            </w:r>
          </w:p>
        </w:tc>
        <w:tc>
          <w:tcPr/>
          <w:p>
            <w:pPr>
              <w:pStyle w:val="Compact"/>
              <w:jc w:val="center"/>
            </w:pPr>
            <w:r>
              <w:t xml:space="preserve">93,0%</w:t>
            </w:r>
          </w:p>
        </w:tc>
        <w:tc>
          <w:tcPr/>
          <w:p>
            <w:pPr>
              <w:pStyle w:val="Compact"/>
              <w:jc w:val="center"/>
            </w:pPr>
            <w:r>
              <w:t xml:space="preserve">92,4%</w:t>
            </w:r>
          </w:p>
        </w:tc>
        <w:tc>
          <w:tcPr/>
          <w:p>
            <w:pPr>
              <w:pStyle w:val="Compact"/>
              <w:jc w:val="center"/>
            </w:pPr>
            <w:r>
              <w:t xml:space="preserve">91,8%</w:t>
            </w:r>
          </w:p>
        </w:tc>
      </w:tr>
      <w:tr>
        <w:tc>
          <w:tcPr/>
          <w:p>
            <w:pPr>
              <w:pStyle w:val="Compact"/>
              <w:jc w:val="left"/>
            </w:pPr>
            <w:r>
              <w:t xml:space="preserve">Élèves avec exemptions 2,</w:t>
            </w:r>
          </w:p>
        </w:tc>
        <w:tc>
          <w:tcPr/>
          <w:p>
            <w:pPr>
              <w:pStyle w:val="Compact"/>
              <w:jc w:val="center"/>
            </w:pPr>
            <w:r>
              <w:t xml:space="preserve">4% 2,</w:t>
            </w:r>
          </w:p>
        </w:tc>
        <w:tc>
          <w:tcPr/>
          <w:p>
            <w:pPr>
              <w:pStyle w:val="Compact"/>
              <w:jc w:val="center"/>
            </w:pPr>
            <w:r>
              <w:t xml:space="preserve">8% 3,</w:t>
            </w:r>
          </w:p>
        </w:tc>
        <w:tc>
          <w:tcPr/>
          <w:p>
            <w:pPr>
              <w:pStyle w:val="Compact"/>
              <w:jc w:val="center"/>
            </w:pPr>
            <w:r>
              <w:t xml:space="preserve">3% 3,</w:t>
            </w:r>
          </w:p>
        </w:tc>
        <w:tc>
          <w:tcPr/>
          <w:p>
            <w:pPr>
              <w:pStyle w:val="Compact"/>
              <w:jc w:val="center"/>
            </w:pPr>
            <w:r>
              <w:t xml:space="preserve">9% 4,</w:t>
            </w:r>
          </w:p>
        </w:tc>
        <w:tc>
          <w:tcPr/>
          <w:p>
            <w:pPr>
              <w:pStyle w:val="Compact"/>
              <w:jc w:val="center"/>
            </w:pPr>
            <w:r>
              <w:t xml:space="preserve">4%</w:t>
            </w:r>
          </w:p>
        </w:tc>
      </w:tr>
      <w:tr>
        <w:tc>
          <w:tcPr/>
          <w:p>
            <w:pPr>
              <w:pStyle w:val="Compact"/>
              <w:jc w:val="left"/>
            </w:pPr>
            <w:r>
              <w:t xml:space="preserve">Élèves sans documentation complète 5,2%</w:t>
            </w:r>
          </w:p>
        </w:tc>
        <w:tc>
          <w:tcPr/>
          <w:p>
            <w:pPr>
              <w:pStyle w:val="Compact"/>
              <w:jc w:val="center"/>
            </w:pPr>
            <w:r>
              <w:t xml:space="preserve">5,9%</w:t>
            </w:r>
          </w:p>
        </w:tc>
        <w:tc>
          <w:tcPr/>
          <w:p>
            <w:pPr>
              <w:pStyle w:val="Compact"/>
              <w:jc w:val="center"/>
            </w:pPr>
            <w:r>
              <w:t xml:space="preserve">7,0%</w:t>
            </w:r>
          </w:p>
        </w:tc>
        <w:tc>
          <w:tcPr/>
          <w:p>
            <w:pPr>
              <w:pStyle w:val="Compact"/>
              <w:jc w:val="center"/>
            </w:pPr>
            <w:r>
              <w:t xml:space="preserve">7,6%</w:t>
            </w:r>
          </w:p>
        </w:tc>
        <w:tc>
          <w:tcPr/>
          <w:p>
            <w:pPr>
              <w:pStyle w:val="Compact"/>
              <w:jc w:val="center"/>
            </w:pPr>
            <w:r>
              <w:t xml:space="preserve">8,2%</w:t>
            </w:r>
          </w:p>
        </w:tc>
        <w:tc>
          <w:tcPr/>
          <w:p>
            <w:pPr>
              <w:pStyle w:val="Compact"/>
            </w:pPr>
          </w:p>
        </w:tc>
      </w:tr>
      <w:tr>
        <w:tc>
          <w:tcPr/>
          <w:p>
            <w:pPr>
              <w:pStyle w:val="Compact"/>
              <w:jc w:val="left"/>
            </w:pPr>
            <w:r>
              <w:t xml:space="preserve">Écoles primaires sous 90% de couverture 12</w:t>
            </w:r>
          </w:p>
        </w:tc>
        <w:tc>
          <w:tcPr/>
          <w:p>
            <w:pPr>
              <w:pStyle w:val="Compact"/>
              <w:jc w:val="center"/>
            </w:pPr>
            <w:r>
              <w:t xml:space="preserve">17</w:t>
            </w:r>
          </w:p>
        </w:tc>
        <w:tc>
          <w:tcPr/>
          <w:p>
            <w:pPr>
              <w:pStyle w:val="Compact"/>
              <w:jc w:val="center"/>
            </w:pPr>
            <w:r>
              <w:t xml:space="preserve">23</w:t>
            </w:r>
          </w:p>
        </w:tc>
        <w:tc>
          <w:tcPr/>
          <w:p>
            <w:pPr>
              <w:pStyle w:val="Compact"/>
              <w:jc w:val="center"/>
            </w:pPr>
            <w:r>
              <w:t xml:space="preserve">27</w:t>
            </w:r>
          </w:p>
        </w:tc>
        <w:tc>
          <w:tcPr/>
          <w:p>
            <w:pPr>
              <w:pStyle w:val="Compact"/>
              <w:jc w:val="center"/>
            </w:pPr>
            <w:r>
              <w:t xml:space="preserve">31</w:t>
            </w:r>
          </w:p>
        </w:tc>
        <w:tc>
          <w:tcPr/>
          <w:p>
            <w:pPr>
              <w:pStyle w:val="Compact"/>
            </w:pPr>
          </w:p>
        </w:tc>
      </w:tr>
      <w:tr>
        <w:tc>
          <w:tcPr/>
          <w:p>
            <w:pPr>
              <w:pStyle w:val="Compact"/>
              <w:jc w:val="left"/>
            </w:pPr>
            <w:r>
              <w:t xml:space="preserve">Écoles primaires sous 85% de couverture 2</w:t>
            </w:r>
          </w:p>
        </w:tc>
        <w:tc>
          <w:tcPr/>
          <w:p>
            <w:pPr>
              <w:pStyle w:val="Compact"/>
              <w:jc w:val="center"/>
            </w:pPr>
            <w:r>
              <w:t xml:space="preserve">4</w:t>
            </w:r>
          </w:p>
        </w:tc>
        <w:tc>
          <w:tcPr/>
          <w:p>
            <w:pPr>
              <w:pStyle w:val="Compact"/>
              <w:jc w:val="center"/>
            </w:pPr>
            <w:r>
              <w:t xml:space="preserve">6</w:t>
            </w:r>
          </w:p>
        </w:tc>
        <w:tc>
          <w:tcPr/>
          <w:p>
            <w:pPr>
              <w:pStyle w:val="Compact"/>
              <w:jc w:val="center"/>
            </w:pPr>
            <w:r>
              <w:t xml:space="preserve">8</w:t>
            </w:r>
          </w:p>
        </w:tc>
        <w:tc>
          <w:tcPr/>
          <w:p>
            <w:pPr>
              <w:pStyle w:val="Compact"/>
              <w:jc w:val="center"/>
            </w:pPr>
            <w:r>
              <w:t xml:space="preserve">9</w:t>
            </w:r>
          </w:p>
        </w:tc>
        <w:tc>
          <w:tcPr/>
          <w:p>
            <w:pPr>
              <w:pStyle w:val="Compact"/>
            </w:pPr>
          </w:p>
        </w:tc>
      </w:tr>
      <w:tr>
        <w:tc>
          <w:tcPr/>
          <w:p>
            <w:pPr>
              <w:pStyle w:val="Compact"/>
              <w:jc w:val="left"/>
            </w:pPr>
            <w:r>
              <w:t xml:space="preserve">Doses ROR administrées par les cliniques d</w:t>
            </w:r>
          </w:p>
        </w:tc>
        <w:tc>
          <w:tcPr/>
          <w:p>
            <w:pPr>
              <w:pStyle w:val="Compact"/>
              <w:jc w:val="center"/>
            </w:pPr>
            <w:r>
              <w:t xml:space="preserve">u comté</w:t>
            </w:r>
          </w:p>
        </w:tc>
        <w:tc>
          <w:tcPr/>
          <w:p>
            <w:pPr>
              <w:pStyle w:val="Compact"/>
              <w:jc w:val="center"/>
            </w:pPr>
            <w:r>
              <w:t xml:space="preserve">3 420</w:t>
            </w:r>
          </w:p>
        </w:tc>
        <w:tc>
          <w:tcPr/>
          <w:p>
            <w:pPr>
              <w:pStyle w:val="Compact"/>
              <w:jc w:val="center"/>
            </w:pPr>
            <w:r>
              <w:t xml:space="preserve">3 180</w:t>
            </w:r>
          </w:p>
        </w:tc>
        <w:tc>
          <w:tcPr/>
          <w:p>
            <w:pPr>
              <w:pStyle w:val="Compact"/>
              <w:jc w:val="center"/>
            </w:pPr>
            <w:r>
              <w:t xml:space="preserve">2 960</w:t>
            </w:r>
          </w:p>
        </w:tc>
        <w:tc>
          <w:tcPr/>
          <w:p>
            <w:pPr>
              <w:pStyle w:val="Compact"/>
              <w:jc w:val="center"/>
            </w:pPr>
            <w:r>
              <w:t xml:space="preserve">3 610 2 740</w:t>
            </w:r>
          </w:p>
        </w:tc>
      </w:tr>
    </w:tbl>
    <w:bookmarkEnd w:id="21"/>
    <w:bookmarkStart w:id="22" w:name="X54eb384ae65c06fd6a450d7bc0008635f003397"/>
    <w:p>
      <w:pPr>
        <w:pStyle w:val="Heading1"/>
      </w:pPr>
      <w:r>
        <w:t xml:space="preserve">Exhibit 2. Variation masquée par la moyenne du comté</w:t>
      </w:r>
    </w:p>
    <w:tbl>
      <w:tblPr>
        <w:tblStyle w:val="Table"/>
        <w:tblW w:type="pct" w:w="4925"/>
        <w:tblLayout w:type="fixed"/>
        <w:tblLook w:firstRow="1" w:lastRow="0" w:firstColumn="0" w:lastColumn="0" w:noHBand="0" w:noVBand="0" w:val="0020"/>
      </w:tblPr>
      <w:tblGrid>
        <w:gridCol w:w="1773"/>
        <w:gridCol w:w="650"/>
        <w:gridCol w:w="1536"/>
        <w:gridCol w:w="1004"/>
        <w:gridCol w:w="1063"/>
        <w:gridCol w:w="1773"/>
      </w:tblGrid>
      <w:tr>
        <w:trPr>
          <w:tblHeader w:val="on"/>
        </w:trPr>
        <w:tc>
          <w:tcPr/>
          <w:p>
            <w:pPr>
              <w:pStyle w:val="Compact"/>
              <w:jc w:val="left"/>
            </w:pPr>
            <w:r>
              <w:t xml:space="preserve">Groupe d’écoles</w:t>
            </w:r>
          </w:p>
        </w:tc>
        <w:tc>
          <w:tcPr/>
          <w:p>
            <w:pPr>
              <w:pStyle w:val="Compact"/>
              <w:jc w:val="right"/>
            </w:pPr>
            <w:r>
              <w:t xml:space="preserve">Élèves C</w:t>
            </w:r>
          </w:p>
        </w:tc>
        <w:tc>
          <w:tcPr/>
          <w:p>
            <w:pPr>
              <w:pStyle w:val="Compact"/>
              <w:jc w:val="left"/>
            </w:pPr>
            <w:r>
              <w:t xml:space="preserve">ouverture ROR documentée</w:t>
            </w:r>
          </w:p>
        </w:tc>
        <w:tc>
          <w:tcPr/>
          <w:p>
            <w:pPr>
              <w:pStyle w:val="Compact"/>
              <w:jc w:val="right"/>
            </w:pPr>
            <w:r>
              <w:t xml:space="preserve">Taux d’exemption</w:t>
            </w:r>
          </w:p>
        </w:tc>
        <w:tc>
          <w:tcPr/>
          <w:p>
            <w:pPr>
              <w:pStyle w:val="Compact"/>
              <w:jc w:val="right"/>
            </w:pPr>
            <w:r>
              <w:t xml:space="preserve">Dossiers manqua</w:t>
            </w:r>
          </w:p>
        </w:tc>
        <w:tc>
          <w:tcPr/>
          <w:p>
            <w:pPr>
              <w:pStyle w:val="Compact"/>
              <w:jc w:val="left"/>
            </w:pPr>
            <w:r>
              <w:t xml:space="preserve">nts Indicateur d’accès</w:t>
            </w:r>
          </w:p>
        </w:tc>
      </w:tr>
      <w:tr>
        <w:tc>
          <w:tcPr/>
          <w:p>
            <w:pPr>
              <w:pStyle w:val="Compact"/>
              <w:jc w:val="left"/>
            </w:pPr>
            <w:r>
              <w:t xml:space="preserve">Côte Nord 8 4</w:t>
            </w:r>
          </w:p>
        </w:tc>
        <w:tc>
          <w:tcPr/>
          <w:p>
            <w:pPr>
              <w:pStyle w:val="Compact"/>
              <w:jc w:val="right"/>
            </w:pPr>
            <w:r>
              <w:t xml:space="preserve">20 96,</w:t>
            </w:r>
          </w:p>
        </w:tc>
        <w:tc>
          <w:tcPr/>
          <w:p>
            <w:pPr>
              <w:pStyle w:val="Compact"/>
              <w:jc w:val="left"/>
            </w:pPr>
            <w:r>
              <w:t xml:space="preserve">4% 1,2</w:t>
            </w:r>
          </w:p>
        </w:tc>
        <w:tc>
          <w:tcPr/>
          <w:p>
            <w:pPr>
              <w:pStyle w:val="Compact"/>
              <w:jc w:val="right"/>
            </w:pPr>
            <w:r>
              <w:t xml:space="preserve">% 2,4</w:t>
            </w:r>
          </w:p>
        </w:tc>
        <w:tc>
          <w:tcPr/>
          <w:p>
            <w:pPr>
              <w:pStyle w:val="Compact"/>
              <w:jc w:val="right"/>
            </w:pPr>
            <w:r>
              <w:t xml:space="preserve">% For</w:t>
            </w:r>
          </w:p>
        </w:tc>
        <w:tc>
          <w:tcPr/>
          <w:p>
            <w:pPr>
              <w:pStyle w:val="Compact"/>
              <w:jc w:val="left"/>
            </w:pPr>
            <w:r>
              <w:t xml:space="preserve">te densité de prestataires</w:t>
            </w:r>
          </w:p>
        </w:tc>
      </w:tr>
      <w:tr>
        <w:tc>
          <w:tcPr/>
          <w:p>
            <w:pPr>
              <w:pStyle w:val="Compact"/>
              <w:jc w:val="left"/>
            </w:pPr>
            <w:r>
              <w:t xml:space="preserve">Centre-ville</w:t>
            </w:r>
          </w:p>
        </w:tc>
        <w:tc>
          <w:tcPr/>
          <w:p>
            <w:pPr>
              <w:pStyle w:val="Compact"/>
              <w:jc w:val="right"/>
            </w:pPr>
            <w:r>
              <w:t xml:space="preserve">11 760</w:t>
            </w:r>
          </w:p>
        </w:tc>
        <w:tc>
          <w:tcPr/>
          <w:p>
            <w:pPr>
              <w:pStyle w:val="Compact"/>
              <w:jc w:val="left"/>
            </w:pPr>
            <w:r>
              <w:t xml:space="preserve">90,7%</w:t>
            </w:r>
          </w:p>
        </w:tc>
        <w:tc>
          <w:tcPr/>
          <w:p>
            <w:pPr>
              <w:pStyle w:val="Compact"/>
              <w:jc w:val="right"/>
            </w:pPr>
            <w:r>
              <w:t xml:space="preserve">2,1%</w:t>
            </w:r>
          </w:p>
        </w:tc>
        <w:tc>
          <w:tcPr/>
          <w:p>
            <w:pPr>
              <w:pStyle w:val="Compact"/>
              <w:jc w:val="right"/>
            </w:pPr>
            <w:r>
              <w:t xml:space="preserve">7,2%</w:t>
            </w:r>
          </w:p>
        </w:tc>
        <w:tc>
          <w:tcPr/>
          <w:p>
            <w:pPr>
              <w:pStyle w:val="Compact"/>
              <w:jc w:val="left"/>
            </w:pPr>
            <w:r>
              <w:t xml:space="preserve">Forte mobilité ; multilingue</w:t>
            </w:r>
          </w:p>
        </w:tc>
      </w:tr>
      <w:tr>
        <w:tc>
          <w:tcPr/>
          <w:p>
            <w:pPr>
              <w:pStyle w:val="Compact"/>
              <w:jc w:val="left"/>
            </w:pPr>
            <w:r>
              <w:t xml:space="preserve">Zone rurale intérieure</w:t>
            </w:r>
          </w:p>
        </w:tc>
        <w:tc>
          <w:tcPr/>
          <w:p>
            <w:pPr>
              <w:pStyle w:val="Compact"/>
              <w:jc w:val="right"/>
            </w:pPr>
            <w:r>
              <w:t xml:space="preserve">6</w:t>
            </w:r>
          </w:p>
        </w:tc>
        <w:tc>
          <w:tcPr/>
          <w:p>
            <w:pPr>
              <w:pStyle w:val="Compact"/>
              <w:jc w:val="left"/>
            </w:pPr>
            <w:r>
              <w:t xml:space="preserve">180 88,9%</w:t>
            </w:r>
          </w:p>
        </w:tc>
        <w:tc>
          <w:tcPr/>
          <w:p>
            <w:pPr>
              <w:pStyle w:val="Compact"/>
              <w:jc w:val="right"/>
            </w:pPr>
            <w:r>
              <w:t xml:space="preserve">3,4%</w:t>
            </w:r>
          </w:p>
        </w:tc>
        <w:tc>
          <w:tcPr/>
          <w:p>
            <w:pPr>
              <w:pStyle w:val="Compact"/>
              <w:jc w:val="right"/>
            </w:pPr>
            <w:r>
              <w:t xml:space="preserve">7,7%</w:t>
            </w:r>
          </w:p>
        </w:tc>
        <w:tc>
          <w:tcPr/>
          <w:p>
            <w:pPr>
              <w:pStyle w:val="Compact"/>
              <w:jc w:val="left"/>
            </w:pPr>
            <w:r>
              <w:t xml:space="preserve">Peu de cliniques en soirée/week-end</w:t>
            </w:r>
          </w:p>
        </w:tc>
      </w:tr>
      <w:tr>
        <w:tc>
          <w:tcPr/>
          <w:p>
            <w:pPr>
              <w:pStyle w:val="Compact"/>
              <w:jc w:val="left"/>
            </w:pPr>
            <w:r>
              <w:t xml:space="preserve">Banlieue Ouest</w:t>
            </w:r>
          </w:p>
        </w:tc>
        <w:tc>
          <w:tcPr/>
          <w:p>
            <w:pPr>
              <w:pStyle w:val="Compact"/>
              <w:jc w:val="right"/>
            </w:pPr>
            <w:r>
              <w:t xml:space="preserve">9 540</w:t>
            </w:r>
          </w:p>
        </w:tc>
        <w:tc>
          <w:tcPr/>
          <w:p>
            <w:pPr>
              <w:pStyle w:val="Compact"/>
              <w:jc w:val="left"/>
            </w:pPr>
            <w:r>
              <w:t xml:space="preserve">93,6%</w:t>
            </w:r>
          </w:p>
        </w:tc>
        <w:tc>
          <w:tcPr/>
          <w:p>
            <w:pPr>
              <w:pStyle w:val="Compact"/>
              <w:jc w:val="right"/>
            </w:pPr>
            <w:r>
              <w:t xml:space="preserve">4,8%</w:t>
            </w:r>
          </w:p>
        </w:tc>
        <w:tc>
          <w:tcPr/>
          <w:p>
            <w:pPr>
              <w:pStyle w:val="Compact"/>
              <w:jc w:val="right"/>
            </w:pPr>
            <w:r>
              <w:t xml:space="preserve">1,6%</w:t>
            </w:r>
          </w:p>
        </w:tc>
        <w:tc>
          <w:tcPr/>
          <w:p>
            <w:pPr>
              <w:pStyle w:val="Compact"/>
              <w:jc w:val="left"/>
            </w:pPr>
            <w:r>
              <w:t xml:space="preserve">Forte densité de prestataires</w:t>
            </w:r>
          </w:p>
        </w:tc>
      </w:tr>
      <w:tr>
        <w:tc>
          <w:tcPr/>
          <w:p>
            <w:pPr>
              <w:pStyle w:val="Compact"/>
              <w:jc w:val="left"/>
            </w:pPr>
            <w:r>
              <w:t xml:space="preserve">Écoles indépendantes/privées</w:t>
            </w:r>
          </w:p>
        </w:tc>
        <w:tc>
          <w:tcPr/>
          <w:p>
            <w:pPr>
              <w:pStyle w:val="Compact"/>
              <w:jc w:val="right"/>
            </w:pPr>
            <w:r>
              <w:t xml:space="preserve">4 330</w:t>
            </w:r>
          </w:p>
        </w:tc>
        <w:tc>
          <w:tcPr/>
          <w:p>
            <w:pPr>
              <w:pStyle w:val="Compact"/>
              <w:jc w:val="left"/>
            </w:pPr>
            <w:r>
              <w:t xml:space="preserve">84,7%</w:t>
            </w:r>
          </w:p>
        </w:tc>
        <w:tc>
          <w:tcPr/>
          <w:p>
            <w:pPr>
              <w:pStyle w:val="Compact"/>
              <w:jc w:val="right"/>
            </w:pPr>
            <w:r>
              <w:t xml:space="preserve">11,2%</w:t>
            </w:r>
          </w:p>
        </w:tc>
        <w:tc>
          <w:tcPr/>
          <w:p>
            <w:pPr>
              <w:pStyle w:val="Compact"/>
              <w:jc w:val="right"/>
            </w:pPr>
            <w:r>
              <w:t xml:space="preserve">4,1%</w:t>
            </w:r>
          </w:p>
        </w:tc>
        <w:tc>
          <w:tcPr/>
          <w:p>
            <w:pPr>
              <w:pStyle w:val="Compact"/>
              <w:jc w:val="left"/>
            </w:pPr>
            <w:r>
              <w:t xml:space="preserve">Les politiques et la confiance varient</w:t>
            </w:r>
          </w:p>
        </w:tc>
      </w:tr>
      <w:tr>
        <w:tc>
          <w:tcPr/>
          <w:p>
            <w:pPr>
              <w:pStyle w:val="Compact"/>
              <w:jc w:val="left"/>
            </w:pPr>
            <w:r>
              <w:t xml:space="preserve">Ensemble du comté</w:t>
            </w:r>
          </w:p>
        </w:tc>
        <w:tc>
          <w:tcPr/>
          <w:p>
            <w:pPr>
              <w:pStyle w:val="Compact"/>
              <w:jc w:val="right"/>
            </w:pPr>
            <w:r>
              <w:t xml:space="preserve">40 2</w:t>
            </w:r>
          </w:p>
        </w:tc>
        <w:tc>
          <w:tcPr/>
          <w:p>
            <w:pPr>
              <w:pStyle w:val="Compact"/>
              <w:jc w:val="left"/>
            </w:pPr>
            <w:r>
              <w:t xml:space="preserve">30 91,8%</w:t>
            </w:r>
          </w:p>
        </w:tc>
        <w:tc>
          <w:tcPr/>
          <w:p>
            <w:pPr>
              <w:pStyle w:val="Compact"/>
              <w:jc w:val="right"/>
            </w:pPr>
            <w:r>
              <w:t xml:space="preserve">4,4%</w:t>
            </w:r>
          </w:p>
        </w:tc>
        <w:tc>
          <w:tcPr/>
          <w:p>
            <w:pPr>
              <w:pStyle w:val="Compact"/>
              <w:jc w:val="right"/>
            </w:pPr>
            <w:r>
              <w:t xml:space="preserve">3,8%</w:t>
            </w:r>
          </w:p>
        </w:tc>
        <w:tc>
          <w:tcPr/>
          <w:p>
            <w:pPr>
              <w:pStyle w:val="Compact"/>
              <w:jc w:val="left"/>
            </w:pPr>
            <w:r>
              <w:t xml:space="preserve">La moyenne masque le regroupement</w:t>
            </w:r>
          </w:p>
        </w:tc>
      </w:tr>
    </w:tbl>
    <w:bookmarkEnd w:id="22"/>
    <w:bookmarkStart w:id="23" w:name="questions-de-discussion"/>
    <w:p>
      <w:pPr>
        <w:pStyle w:val="Heading1"/>
      </w:pPr>
      <w:r>
        <w:t xml:space="preserve">Questions de discussion</w:t>
      </w:r>
    </w:p>
    <w:p>
      <w:pPr>
        <w:numPr>
          <w:ilvl w:val="0"/>
          <w:numId w:val="1001"/>
        </w:numPr>
      </w:pPr>
      <w:r>
        <w:t xml:space="preserve">Quel problème Patel est-elle censée résoudre : contenir une exposition, prévenir une épidémie, augmenter la couverture vaccinale, rétablir la confiance, ou protéger les résidents vulnérables ?</w:t>
      </w:r>
    </w:p>
    <w:p>
      <w:pPr>
        <w:numPr>
          <w:ilvl w:val="0"/>
          <w:numId w:val="1001"/>
        </w:numPr>
      </w:pPr>
      <w:r>
        <w:t xml:space="preserve">Quelles décisions doivent être prises avant la réunion de 15h30, et lesquelles peuvent dépendre de nouvelles informations ?</w:t>
      </w:r>
    </w:p>
    <w:p>
      <w:pPr>
        <w:numPr>
          <w:ilvl w:val="0"/>
          <w:numId w:val="1001"/>
        </w:numPr>
      </w:pPr>
      <w:r>
        <w:t xml:space="preserve">Comment le comté devrait-il distinguer le manque de vaccination du manque de documentation ? Quelle est la valeur d’une amélioration des données ?</w:t>
      </w:r>
    </w:p>
    <w:p>
      <w:pPr>
        <w:numPr>
          <w:ilvl w:val="0"/>
          <w:numId w:val="1001"/>
        </w:numPr>
      </w:pPr>
      <w:r>
        <w:t xml:space="preserve">Quelles mesures de performance devraient régir la réponse : cas, transmission secondaire, couverture, dossiers vérifiés, jours d’école perdus, confiance, équité, coût, ou une combinaison de ceux-ci ?</w:t>
      </w:r>
    </w:p>
    <w:p>
      <w:pPr>
        <w:numPr>
          <w:ilvl w:val="0"/>
          <w:numId w:val="1001"/>
        </w:numPr>
      </w:pPr>
      <w:r>
        <w:t xml:space="preserve">Comment les ressources devraient-elles être allouées lorsque la faible couverture résulte de causes différentes dans différentes communautés ?</w:t>
      </w:r>
    </w:p>
    <w:p>
      <w:pPr>
        <w:numPr>
          <w:ilvl w:val="0"/>
          <w:numId w:val="1001"/>
        </w:numPr>
      </w:pPr>
      <w:r>
        <w:t xml:space="preserve">Quelle stratégie de communication fournirait des informations utiles sans accroître la stigmatisation, la polarisation, ou la complaisance ?</w:t>
      </w:r>
    </w:p>
    <w:p>
      <w:pPr>
        <w:numPr>
          <w:ilvl w:val="0"/>
          <w:numId w:val="1001"/>
        </w:numPr>
      </w:pPr>
      <w:r>
        <w:t xml:space="preserve">Préparez une recommandation de 90 jours pour Patel, incluant un budget, des déclencheurs de décision, et des indicateurs qui entraîneraient l’expansion, la réduction, ou le changement de la stratégie.</w:t>
      </w:r>
    </w:p>
    <w:bookmarkEnd w:id="23"/>
    <w:bookmarkStart w:id="29" w:name="questions-de-cadrage-de-la-décision"/>
    <w:p>
      <w:pPr>
        <w:pStyle w:val="Heading1"/>
      </w:pPr>
      <w:r>
        <w:t xml:space="preserve">Questions de cadrage de la décision</w:t>
      </w:r>
    </w:p>
    <w:p>
      <w:pPr>
        <w:numPr>
          <w:ilvl w:val="0"/>
          <w:numId w:val="1002"/>
        </w:numPr>
      </w:pPr>
      <w:r>
        <w:t xml:space="preserve">Identifiez et décrivez les responsabilités du décideur. Cela devrait définir la portée du problème.</w:t>
      </w:r>
    </w:p>
    <w:p>
      <w:pPr>
        <w:numPr>
          <w:ilvl w:val="0"/>
          <w:numId w:val="1002"/>
        </w:numPr>
      </w:pPr>
      <w:r>
        <w:t xml:space="preserve">Utilisez l’</w:t>
      </w:r>
      <w:hyperlink r:id="rId24">
        <w:r>
          <w:rPr>
            <w:rStyle w:val="Hyperlink"/>
          </w:rPr>
          <w:t xml:space="preserve">outil de pyramide des métriques</w:t>
        </w:r>
      </w:hyperlink>
      <w:r>
        <w:t xml:space="preserve"> </w:t>
      </w:r>
      <w:r>
        <w:t xml:space="preserve">pour identifier et prioriser les différentes métriques de performance. Cliquez sur l’ovale contenant la métrique pour indiquer s’il s’agit d’une métrique à maximiser (vert), à minimiser (rouge), d’une cible qui est un plancher (vert clair) ou un plafond (rouge clair), ou enfin une cible (violet).</w:t>
      </w:r>
    </w:p>
    <w:p>
      <w:pPr>
        <w:numPr>
          <w:ilvl w:val="0"/>
          <w:numId w:val="1002"/>
        </w:numPr>
      </w:pPr>
      <w:r>
        <w:t xml:space="preserve">Utilisez l’</w:t>
      </w:r>
      <w:hyperlink r:id="rId25">
        <w:r>
          <w:rPr>
            <w:rStyle w:val="Hyperlink"/>
          </w:rPr>
          <w:t xml:space="preserve">outil de priorisation des décisions</w:t>
        </w:r>
      </w:hyperlink>
      <w:r>
        <w:t xml:space="preserve"> </w:t>
      </w:r>
      <w:r>
        <w:t xml:space="preserve">pour d’abord dresser la liste des différents types de décisions (utilisez les</w:t>
      </w:r>
      <w:r>
        <w:t xml:space="preserve"> </w:t>
      </w:r>
      <w:hyperlink r:id="rId26">
        <w:r>
          <w:rPr>
            <w:rStyle w:val="Hyperlink"/>
          </w:rPr>
          <w:t xml:space="preserve">types de décisions</w:t>
        </w:r>
      </w:hyperlink>
      <w:r>
        <w:t xml:space="preserve"> </w:t>
      </w:r>
      <w:r>
        <w:t xml:space="preserve">comme guide). Celles-ci peupleront ensuite les lignes de la matrice à droite, où les colonnes sont les métriques de performance triées de gauche à droite par ordre de priorité dans la pyramide ci-dessus. Cliquez sur chaque cellule pour indiquer si l’impact de la décision sur chaque métrique est élevé (rouge), moyen (orange), faible (jaune) ou nul (blanc).</w:t>
      </w:r>
    </w:p>
    <w:p>
      <w:pPr>
        <w:numPr>
          <w:ilvl w:val="0"/>
          <w:numId w:val="1002"/>
        </w:numPr>
      </w:pPr>
      <w:r>
        <w:t xml:space="preserve">Vous pouvez saisir la poignée (trois barres) la plus à gauche sur chaque ligne pour la déplacer vers le haut ou vers le bas. Triez les lignes de sorte que les décisions ayant le plus grand impact sur les métriques les plus importantes se trouvent vers le haut. Les cellules dans le coin supérieur gauche devraient présenter la plus grande concentration de cellules rouges et orange. À ce stade, identifiez les décisions qui devraient recevoir le plus d’attention dans votre étude. Si vous n’avez aucune décision ayant un impact moyen ou élevé sur les métriques les plus importantes, revoyez votre liste de décisions.</w:t>
      </w:r>
    </w:p>
    <w:p>
      <w:pPr>
        <w:numPr>
          <w:ilvl w:val="0"/>
          <w:numId w:val="1002"/>
        </w:numPr>
      </w:pPr>
      <w:r>
        <w:t xml:space="preserve">Répétez le processus pour dresser la liste et prioriser les incertitudes en utilisant l’</w:t>
      </w:r>
      <w:hyperlink r:id="rId27">
        <w:r>
          <w:rPr>
            <w:rStyle w:val="Hyperlink"/>
          </w:rPr>
          <w:t xml:space="preserve">outil de priorisation des incertitudes</w:t>
        </w:r>
      </w:hyperlink>
      <w:r>
        <w:t xml:space="preserve">. Utilisez les</w:t>
      </w:r>
      <w:r>
        <w:t xml:space="preserve"> </w:t>
      </w:r>
      <w:hyperlink r:id="rId28">
        <w:r>
          <w:rPr>
            <w:rStyle w:val="Hyperlink"/>
          </w:rPr>
          <w:t xml:space="preserve">catégories d’incertitude</w:t>
        </w:r>
      </w:hyperlink>
      <w:r>
        <w:t xml:space="preserve"> </w:t>
      </w:r>
      <w:r>
        <w:t xml:space="preserve">pour vous aider à les identifier.</w:t>
      </w:r>
    </w:p>
    <w:p>
      <w:pPr>
        <w:numPr>
          <w:ilvl w:val="0"/>
          <w:numId w:val="1002"/>
        </w:numPr>
      </w:pPr>
      <w:r>
        <w:t xml:space="preserve">Il est important de différencier les incertitudes qui peuvent être évaluées en moyenne, ou en tant qu’événements de risque :</w:t>
      </w:r>
    </w:p>
    <w:p>
      <w:pPr>
        <w:numPr>
          <w:ilvl w:val="1"/>
          <w:numId w:val="1003"/>
        </w:numPr>
      </w:pPr>
      <w:r>
        <w:t xml:space="preserve">Quelles sources d’incertitude seraient captées en utilisant la performance moyenne au fil du temps ?</w:t>
      </w:r>
    </w:p>
    <w:p>
      <w:pPr>
        <w:numPr>
          <w:ilvl w:val="1"/>
          <w:numId w:val="1003"/>
        </w:numPr>
      </w:pPr>
      <w:r>
        <w:t xml:space="preserve">Quelles sources d’incertitude représentent des formes de risque qui ne sont pas correctement captées en utilisant des moyennes ?</w:t>
      </w:r>
    </w:p>
    <w:p>
      <w:pPr>
        <w:numPr>
          <w:ilvl w:val="0"/>
          <w:numId w:val="1002"/>
        </w:numPr>
      </w:pPr>
      <w:r>
        <w:t xml:space="preserve">Choisissez la décision unique qui semble avoir l’impact le plus élevé sur la métrique la plus importante.</w:t>
      </w:r>
    </w:p>
    <w:p>
      <w:pPr>
        <w:numPr>
          <w:ilvl w:val="1"/>
          <w:numId w:val="1004"/>
        </w:numPr>
      </w:pPr>
      <w:r>
        <w:t xml:space="preserve">Quelle approche pensez-vous utiliser pour prendre cette décision ?</w:t>
      </w:r>
    </w:p>
    <w:p>
      <w:pPr>
        <w:numPr>
          <w:ilvl w:val="1"/>
          <w:numId w:val="1004"/>
        </w:numPr>
      </w:pPr>
      <w:r>
        <w:t xml:space="preserve">Quelles données semblent nécessaires pour prendre cette décision, y compris le calcul de toute métrique de performance sur laquelle la décision aurait un impact élevé ou moyen.</w:t>
      </w:r>
    </w:p>
    <w:p>
      <w:pPr>
        <w:numPr>
          <w:ilvl w:val="0"/>
          <w:numId w:val="1002"/>
        </w:numPr>
      </w:pPr>
      <w:r>
        <w:t xml:space="preserve">En utilisant la même décision que vous avez identifiée en (7), identifiez les personnes, départements, groupes ou organisations avec lesquels vous devriez travailler pour mettre en œuvre la décision.</w:t>
      </w:r>
    </w:p>
    <w:bookmarkEnd w:id="29"/>
    <w:bookmarkStart w:id="30" w:name="sources-et-notes"/>
    <w:p>
      <w:pPr>
        <w:pStyle w:val="Heading1"/>
      </w:pPr>
      <w:r>
        <w:t xml:space="preserve">Sources et notes</w:t>
      </w:r>
    </w:p>
    <w:p>
      <w:pPr>
        <w:pStyle w:val="FirstParagraph"/>
      </w:pPr>
      <w:r>
        <w:t xml:space="preserve">1. CDC, « Measles Cases and Outbreaks », mis à jour le 24 juillet 2026. Au 23 juillet 2026, les États-Unis avaient signalé 2 318 cas confirmés ; 93 % étaient associés à des épidémies. La page indique également 2 289 cas en 2025 et 285 en 2024, et note que l’immunité communautaire nécessite généralement une couverture supérieure à 95 %.</w:t>
      </w:r>
    </w:p>
    <w:p>
      <w:pPr>
        <w:pStyle w:val="BodyText"/>
      </w:pPr>
      <w:r>
        <w:t xml:space="preserve">2. CDC, « Measles Symptoms and Complications », 29 avril 2026. Les symptômes commencent généralement 7 à 14 jours après l’infection ; environ un patient américain non vacciné sur cinq est hospitalisé, jusqu’à un enfant sur vingt développe une pneumonie, et environ un cas sur mille développe une encéphalite.</w:t>
      </w:r>
    </w:p>
    <w:p>
      <w:pPr>
        <w:pStyle w:val="BodyText"/>
      </w:pPr>
      <w:r>
        <w:t xml:space="preserve">3. CDC, « Measles Vaccination », 29 avril 2026. Le CDC recommande deux doses de vaccin ROR pour les enfants, habituellement entre 12 et 15 mois et 4 et 6 ans ; le vaccin ROR dans les 72 heures suivant l’exposition et l’immunoglobuline dans les six jours peuvent fournir une protection post-exposition dans des circonstances appropriées.</w:t>
      </w:r>
    </w:p>
    <w:p>
      <w:pPr>
        <w:pStyle w:val="BodyText"/>
      </w:pPr>
      <w:r>
        <w:t xml:space="preserve">4. CDC SchoolVaxView, « Vaccination Coverage and Exemptions among Kindergartners », 31 juillet 2025. La couverture ROR nationale était de 92,5 % en 2024–2025 ; environ 286 000 élèves de maternelle manquaient de documentation attestant l’achèvement complet de la série ROR ; les exemptions d’un ou plusieurs vaccins ont atteint 3,6 %, dix-sept États étant au-dessus de 5 %.</w:t>
      </w:r>
    </w:p>
    <w:bookmarkEnd w:id="30"/>
    <w:bookmarkStart w:id="33" w:name="notes-chatgpt"/>
    <w:p>
      <w:pPr>
        <w:pStyle w:val="Heading1"/>
      </w:pPr>
      <w:r>
        <w:t xml:space="preserve">Notes ChatGPT :</w:t>
      </w:r>
    </w:p>
    <w:bookmarkStart w:id="31" w:name="invite"/>
    <w:p>
      <w:pPr>
        <w:pStyle w:val="Heading2"/>
      </w:pPr>
      <w:r>
        <w:t xml:space="preserve">Invite</w:t>
      </w:r>
    </w:p>
    <w:p>
      <w:pPr>
        <w:pStyle w:val="FirstParagraph"/>
      </w:pPr>
      <w:r>
        <w:t xml:space="preserve">En utilisant le style d’une étude de cas commerciale, créez une étude de cas sur un problème de santé publique, appuyée par des statistiques. Elle devrait comporter 3 à 5 pages dans un document Word, bien organisée, mais sans idée claire de la façon de résoudre le problème.</w:t>
      </w:r>
    </w:p>
    <w:bookmarkEnd w:id="31"/>
    <w:bookmarkStart w:id="32" w:name="résumé"/>
    <w:p>
      <w:pPr>
        <w:pStyle w:val="Heading2"/>
      </w:pPr>
      <w:r>
        <w:t xml:space="preserve">Résumé</w:t>
      </w:r>
    </w:p>
    <w:p>
      <w:pPr>
        <w:pStyle w:val="FirstParagraph"/>
      </w:pPr>
      <w:r>
        <w:t xml:space="preserve">Ce cas examine un comté confronté à une exposition confirmée à la rougeole dans un contexte de baisse de la couverture vaccinale infantile. Il suit le même format que le cas précédent, incluant des points de vue contradictoires des parties prenantes, des données incomplètes, des contraintes budgétaires, des options d’intervention, des exhibits quantitatifs, des statistiques actuelles du CDC, et des questions de discussion—sans identifier de solution privilégiée.</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5" Target="https://warrenpowell.org/decision-framing-tool/#decision-prioritization-tool" TargetMode="External" /><Relationship Type="http://schemas.openxmlformats.org/officeDocument/2006/relationships/hyperlink" Id="rId24" Target="https://warrenpowell.org/decision-framing-tool/#metrics-pyramid-tool" TargetMode="External" /><Relationship Type="http://schemas.openxmlformats.org/officeDocument/2006/relationships/hyperlink" Id="rId27" Target="https://warrenpowell.org/decision-framing-tool/#uncertainty-prioritization-tool" TargetMode="External" /><Relationship Type="http://schemas.openxmlformats.org/officeDocument/2006/relationships/hyperlink" Id="rId26" Target="https://warrenpowell.org/decisionsdecisions/#types-of-decision-settings" TargetMode="External" /><Relationship Type="http://schemas.openxmlformats.org/officeDocument/2006/relationships/hyperlink" Id="rId28" Target="https://warrenpowell.org/modeling-uncertainty/#categories" TargetMode="External" /></Relationships>
</file>

<file path=word/_rels/footnotes.xml.rels><?xml version="1.0" encoding="UTF-8"?><Relationships xmlns="http://schemas.openxmlformats.org/package/2006/relationships"><Relationship Type="http://schemas.openxmlformats.org/officeDocument/2006/relationships/hyperlink" Id="rId25" Target="https://warrenpowell.org/decision-framing-tool/#decision-prioritization-tool" TargetMode="External" /><Relationship Type="http://schemas.openxmlformats.org/officeDocument/2006/relationships/hyperlink" Id="rId24" Target="https://warrenpowell.org/decision-framing-tool/#metrics-pyramid-tool" TargetMode="External" /><Relationship Type="http://schemas.openxmlformats.org/officeDocument/2006/relationships/hyperlink" Id="rId27" Target="https://warrenpowell.org/decision-framing-tool/#uncertainty-prioritization-tool" TargetMode="External" /><Relationship Type="http://schemas.openxmlformats.org/officeDocument/2006/relationships/hyperlink" Id="rId26" Target="https://warrenpowell.org/decisionsdecisions/#types-of-decision-settings" TargetMode="External" /><Relationship Type="http://schemas.openxmlformats.org/officeDocument/2006/relationships/hyperlink" Id="rId28" Target="https://warrenpowell.org/modeling-uncertainty/#categor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2026-09-11T15:42:48Z</dcterms:created>
  <dcterms:modified xsi:type="dcterms:W3CDTF">2026-09-11T15:42:48Z</dcterms:modified>
</cp:coreProperties>
</file>

<file path=docProps/custom.xml><?xml version="1.0" encoding="utf-8"?>
<Properties xmlns="http://schemas.openxmlformats.org/officeDocument/2006/custom-properties" xmlns:vt="http://schemas.openxmlformats.org/officeDocument/2006/docPropsVTypes"/>
</file>