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Hôtel Harborview</w:t>
      </w:r>
    </w:p>
    <w:p>
      <w:pPr>
        <w:pStyle w:val="BodyText"/>
      </w:pPr>
      <w:r>
        <w:t xml:space="preserve">La Décision de Tarification sur Huit Semaines</w:t>
      </w:r>
    </w:p>
    <w:p>
      <w:pPr>
        <w:pStyle w:val="BodyText"/>
      </w:pPr>
      <w:r>
        <w:t xml:space="preserve">Ce cas est fictif et destiné à la discussion pédagogique. Les noms, événements, fonds et chiffres internes sont inventés, bien que le contexte sectoriel s’inspire de données publiques.</w:t>
      </w:r>
    </w:p>
    <w:p>
      <w:pPr>
        <w:pStyle w:val="BodyText"/>
      </w:pPr>
      <w:r>
        <w:t xml:space="preserve">À 8 h 10, le lundi 8 septembre, Elena Marquez, directrice générale de l’Hôtel Harborview, regardait deux écrans qui semblaient raconter des histoires opposées. Le premier montrait que 71 % des chambres de l’hôtel étaient déjà réservées pour la conférence technologique de la ville, sept semaines plus tard. Le second montrait que les réservations pour les week-ends environnants étaient nettement inférieures aux prévisions. Un système de gestion des revenus recommandait d’augmenter immédiatement les tarifs des nuitées de conférence, de fermer plusieurs offres à prix réduit, et d’augmenter les enchères pour les publicités en ligne destinées aux voyageurs d’affaires réservant tardivement. Le directeur des ventes voulait l’inverse : maintenir des tarifs plus bas visibles suffisamment longtemps pour gagner davantage de groupes de conférence, et utiliser des forfaits pour remplir les nuitées faibles en marge de l’événement.</w:t>
      </w:r>
    </w:p>
    <w:p>
      <w:pPr>
        <w:pStyle w:val="BodyText"/>
      </w:pPr>
      <w:r>
        <w:t xml:space="preserve">Ce désaccord importait car l’Harborview, avec ses 264 chambres, n’avait qu’une seule occasion de vendre chaque chambre pour chaque nuit. Une chambre laissée vide le 24 octobre ne pourrait jamais être stockée pour être vendue plus tard. Pourtant, une chambre vendue trop tôt à 189 $ pourrait empêcher l’hôtel d’accepter un voyageur d’affaires prêt à payer 349 $. Marquez avait jusqu’à midi pour approuver le plan de tarification, de publicité et de forfaits de l’hôtel pour les huit prochaines semaines.</w:t>
      </w:r>
    </w:p>
    <w:bookmarkStart w:id="9" w:name="lharborview-et-son-marché"/>
    <w:p>
      <w:pPr>
        <w:pStyle w:val="Heading1"/>
      </w:pPr>
      <w:r>
        <w:t xml:space="preserve">L’Harborview et Son Marché</w:t>
      </w:r>
    </w:p>
    <w:p>
      <w:pPr>
        <w:pStyle w:val="FirstParagraph"/>
      </w:pPr>
      <w:r>
        <w:t xml:space="preserve">L’Harborview était un hôtel indépendant, haut de gamme supérieur, situé dans la ville fictive de Port Mason, un centre d’affaires régional doté d’un palais des congrès, d’un complexe médical universitaire, d’un quartier de divertissement en bord de mer et d’un secteur technologique en expansion. L’hôtel comptait 240 chambres standard et 24 suites. Ses installations comprenaient un restaurant, un petit salon club, un centre de remise en forme, des salles de réunion, et une navette desservant l’aéroport et les bureaux du centre-ville.</w:t>
      </w:r>
    </w:p>
    <w:p>
      <w:pPr>
        <w:pStyle w:val="BodyText"/>
      </w:pPr>
      <w:r>
        <w:t xml:space="preserve">Le marché hôtelier de Port Mason était devenu plus difficile à lire. À l’échelle nationale, le taux d’occupation des hôtels américains a diminué à environ 62,3 % en 2025, tandis que le tarif journalier moyen n’a augmenté que modestement à environ 160,54 $, et le revenu par chambre disponible a glissé à environ 100,02 $. Ces moyennes dissimulaient des écarts marqués selon le marché, le segment de clientèle, la saison et le calendrier des événements. En juillet 2025, par exemple, le taux d’occupation national a atteint 68,2 %, mais les principaux marchés individuels variaient de la mi-cinquantaine à plus de 85 %. Les propriétaires d’Harborview mettaient donc en garde les gestionnaires contre le fait de se fier aux moyennes nationales pour fixer les tarifs locaux.</w:t>
      </w:r>
    </w:p>
    <w:p>
      <w:pPr>
        <w:pStyle w:val="BodyText"/>
      </w:pPr>
      <w:r>
        <w:t xml:space="preserve">Le marché de Port Mason comprenait quatre grands hôtels de marque situés près du centre de congrès, plusieurs établissements à service limité, et une offre croissante de locations de courte durée. Les sites de comparaison de prix rendaient les tarifs concurrents immédiatement visibles. Les agences de voyages en ligne pouvaient générer des réservations rapidement, mais leurs commissions réduisaient le revenu net de l’hôtel. Les réservations directes produisaient une meilleure économie et davantage d’informations sur les clients, mais exigeaient que l’hôtel dépense en publicités de recherche, réseaux sociaux, campagnes par courriel et améliorations du site web.</w:t>
      </w:r>
    </w:p>
    <w:bookmarkEnd w:id="9"/>
    <w:bookmarkStart w:id="11" w:name="un-calendrier-à-la-demande-inégale"/>
    <w:p>
      <w:pPr>
        <w:pStyle w:val="Heading1"/>
      </w:pPr>
      <w:r>
        <w:t xml:space="preserve">Un Calendrier à la Demande Inégale</w:t>
      </w:r>
    </w:p>
    <w:p>
      <w:pPr>
        <w:pStyle w:val="FirstParagraph"/>
      </w:pPr>
      <w:r>
        <w:t xml:space="preserve">La période de planification de huit semaines comprenait un week-end de retrouvailles universitaires, la conférence technologique de trois nuits, un marathon en bord de mer, deux samedis chargés en mariages, et plusieurs périodes calmes du dimanche au jeudi. La conférence technologique devait attirer 18 000 participants à Port Mason, mais ses organisateurs n’avaient pas publié de décompte final des inscriptions. Plusieurs clients corporatifs avaient réservé des blocs qui pouvaient être réduits sans pénalité jusqu’à 21 jours avant l’arrivée. Un hôtel concurrent était rumeur être en cours de rénovation de 90 chambres, bien que son site web affichait toujours une disponibilité normale.</w:t>
      </w:r>
    </w:p>
    <w:p>
      <w:pPr>
        <w:pStyle w:val="BodyText"/>
      </w:pPr>
      <w:r>
        <w:t xml:space="preserve">L’Harborview acceptait les réservations jusqu’à un an avant l’arrivée. Les clients de loisirs réservaient souvent tôt lorsqu’on leur proposait des tarifs remboursables, tandis que les voyageurs d’affaires réservaient fréquemment dans les deux semaines précédant l’arrivée. Certains participants à la conférence réservaient des chambres dans plusieurs hôtels et annulaient toutes sauf une peu avant l’événement. Les données sectorielles par canal suggéraient que les annulations pouvaient différer substantiellement selon la source ; une analyse sectorielle récente rapportait des taux d’annulation d’environ 21,8 % pour les réservations via agences de voyages en ligne contre 10,6 % pour les réservations directes en 2025. L’expérience propre de l’Harborview variait largement selon l’événement et les restrictions tarifaires.</w:t>
      </w:r>
    </w:p>
    <w:bookmarkStart w:id="10" w:name="X2120da5ff484945a32cb3ba55d4d01f1e3a52fa"/>
    <w:p>
      <w:pPr>
        <w:pStyle w:val="Heading2"/>
      </w:pPr>
      <w:r>
        <w:t xml:space="preserve">Exhibit 1. Résultats d’Exploitation de l’Harborview</w:t>
      </w:r>
    </w:p>
    <w:tbl>
      <w:tblPr>
        <w:tblStyle w:val="Table"/>
        <w:tblW w:type="pct" w:w="4932"/>
        <w:tblLayout w:type="fixed"/>
        <w:tblLook w:firstRow="1" w:lastRow="0" w:firstColumn="0" w:lastColumn="0" w:noHBand="0" w:noVBand="0" w:val="0020"/>
      </w:tblPr>
      <w:tblGrid>
        <w:gridCol w:w="2033"/>
        <w:gridCol w:w="856"/>
        <w:gridCol w:w="1337"/>
        <w:gridCol w:w="1016"/>
        <w:gridCol w:w="1444"/>
        <w:gridCol w:w="1123"/>
      </w:tblGrid>
      <w:tr>
        <w:trPr>
          <w:tblHeader w:val="on"/>
        </w:trPr>
        <w:tc>
          <w:tcPr/>
          <w:p>
            <w:pPr>
              <w:pStyle w:val="Compact"/>
              <w:jc w:val="left"/>
            </w:pPr>
            <w:r>
              <w:rPr>
                <w:b/>
                <w:bCs/>
              </w:rPr>
              <w:t xml:space="preserve">Exercice fiscal</w:t>
            </w:r>
          </w:p>
        </w:tc>
        <w:tc>
          <w:tcPr/>
          <w:p>
            <w:pPr>
              <w:pStyle w:val="Compact"/>
              <w:jc w:val="right"/>
            </w:pPr>
            <w:r>
              <w:t xml:space="preserve">**Taux d’occup</w:t>
            </w:r>
          </w:p>
        </w:tc>
        <w:tc>
          <w:tcPr/>
          <w:p>
            <w:pPr>
              <w:pStyle w:val="Compact"/>
            </w:pPr>
            <w:r>
              <w:t xml:space="preserve">ation** **Tarif journal</w:t>
            </w:r>
          </w:p>
        </w:tc>
        <w:tc>
          <w:tcPr/>
          <w:p>
            <w:pPr>
              <w:pStyle w:val="Compact"/>
            </w:pPr>
            <w:r>
              <w:t xml:space="preserve">ier moyen** **Rev</w:t>
            </w:r>
          </w:p>
        </w:tc>
        <w:tc>
          <w:tcPr/>
          <w:p>
            <w:pPr>
              <w:pStyle w:val="Compact"/>
            </w:pPr>
            <w:r>
              <w:t xml:space="preserve">enu des chambres** **Part</w:t>
            </w:r>
          </w:p>
        </w:tc>
        <w:tc>
          <w:tcPr/>
          <w:p>
            <w:pPr>
              <w:pStyle w:val="Compact"/>
              <w:jc w:val="right"/>
            </w:pPr>
            <w:r>
              <w:t xml:space="preserve">de réservation directe**</w:t>
            </w:r>
            <w:r>
              <w:t xml:space="preserve"> </w:t>
            </w:r>
            <w:r>
              <w:rPr>
                <w:b/>
                <w:bCs/>
              </w:rPr>
              <w:t xml:space="preserve">Chambres refusées</w:t>
            </w:r>
          </w:p>
        </w:tc>
      </w:tr>
      <w:tr>
        <w:tc>
          <w:tcPr/>
          <w:p>
            <w:pPr>
              <w:pStyle w:val="Compact"/>
              <w:jc w:val="left"/>
            </w:pPr>
            <w:r>
              <w:t xml:space="preserve">2023</w:t>
            </w:r>
          </w:p>
        </w:tc>
        <w:tc>
          <w:tcPr/>
          <w:p>
            <w:pPr>
              <w:pStyle w:val="Compact"/>
              <w:jc w:val="right"/>
            </w:pPr>
            <w:r>
              <w:t xml:space="preserve">68,4 %</w:t>
            </w:r>
          </w:p>
        </w:tc>
        <w:tc>
          <w:tcPr/>
          <w:p>
            <w:pPr>
              <w:pStyle w:val="Compact"/>
            </w:pPr>
            <w:r>
              <w:t xml:space="preserve">181 $</w:t>
            </w:r>
          </w:p>
        </w:tc>
        <w:tc>
          <w:tcPr/>
          <w:p>
            <w:pPr>
              <w:pStyle w:val="Compact"/>
            </w:pPr>
            <w:r>
              <w:t xml:space="preserve">11,92 millions $</w:t>
            </w:r>
          </w:p>
        </w:tc>
        <w:tc>
          <w:tcPr/>
          <w:p>
            <w:pPr>
              <w:pStyle w:val="Compact"/>
            </w:pPr>
            <w:r>
              <w:t xml:space="preserve">43 %</w:t>
            </w:r>
          </w:p>
        </w:tc>
        <w:tc>
          <w:tcPr/>
          <w:p>
            <w:pPr>
              <w:pStyle w:val="Compact"/>
              <w:jc w:val="right"/>
            </w:pPr>
            <w:r>
              <w:t xml:space="preserve">3 740</w:t>
            </w:r>
          </w:p>
        </w:tc>
      </w:tr>
      <w:tr>
        <w:tc>
          <w:tcPr/>
          <w:p>
            <w:pPr>
              <w:pStyle w:val="Compact"/>
              <w:jc w:val="left"/>
            </w:pPr>
            <w:r>
              <w:t xml:space="preserve">2024</w:t>
            </w:r>
          </w:p>
        </w:tc>
        <w:tc>
          <w:tcPr/>
          <w:p>
            <w:pPr>
              <w:pStyle w:val="Compact"/>
              <w:jc w:val="right"/>
            </w:pPr>
            <w:r>
              <w:t xml:space="preserve">70,1 %</w:t>
            </w:r>
          </w:p>
        </w:tc>
        <w:tc>
          <w:tcPr/>
          <w:p>
            <w:pPr>
              <w:pStyle w:val="Compact"/>
            </w:pPr>
            <w:r>
              <w:t xml:space="preserve">188 $</w:t>
            </w:r>
          </w:p>
        </w:tc>
        <w:tc>
          <w:tcPr/>
          <w:p>
            <w:pPr>
              <w:pStyle w:val="Compact"/>
            </w:pPr>
            <w:r>
              <w:t xml:space="preserve">12,72 millions $</w:t>
            </w:r>
          </w:p>
        </w:tc>
        <w:tc>
          <w:tcPr/>
          <w:p>
            <w:pPr>
              <w:pStyle w:val="Compact"/>
            </w:pPr>
            <w:r>
              <w:t xml:space="preserve">46 %</w:t>
            </w:r>
          </w:p>
        </w:tc>
        <w:tc>
          <w:tcPr/>
          <w:p>
            <w:pPr>
              <w:pStyle w:val="Compact"/>
              <w:jc w:val="right"/>
            </w:pPr>
            <w:r>
              <w:t xml:space="preserve">4 180</w:t>
            </w:r>
          </w:p>
        </w:tc>
      </w:tr>
      <w:tr>
        <w:tc>
          <w:tcPr/>
          <w:p>
            <w:pPr>
              <w:pStyle w:val="Compact"/>
              <w:jc w:val="left"/>
            </w:pPr>
            <w:r>
              <w:t xml:space="preserve">2025</w:t>
            </w:r>
          </w:p>
        </w:tc>
        <w:tc>
          <w:tcPr/>
          <w:p>
            <w:pPr>
              <w:pStyle w:val="Compact"/>
              <w:jc w:val="right"/>
            </w:pPr>
            <w:r>
              <w:t xml:space="preserve">67,6 %</w:t>
            </w:r>
          </w:p>
        </w:tc>
        <w:tc>
          <w:tcPr/>
          <w:p>
            <w:pPr>
              <w:pStyle w:val="Compact"/>
            </w:pPr>
            <w:r>
              <w:t xml:space="preserve">193 $</w:t>
            </w:r>
          </w:p>
        </w:tc>
        <w:tc>
          <w:tcPr/>
          <w:p>
            <w:pPr>
              <w:pStyle w:val="Compact"/>
            </w:pPr>
            <w:r>
              <w:t xml:space="preserve">12,58 millions $</w:t>
            </w:r>
          </w:p>
        </w:tc>
        <w:tc>
          <w:tcPr/>
          <w:p>
            <w:pPr>
              <w:pStyle w:val="Compact"/>
            </w:pPr>
            <w:r>
              <w:t xml:space="preserve">49 %</w:t>
            </w:r>
          </w:p>
        </w:tc>
        <w:tc>
          <w:tcPr/>
          <w:p>
            <w:pPr>
              <w:pStyle w:val="Compact"/>
              <w:jc w:val="right"/>
            </w:pPr>
            <w:r>
              <w:t xml:space="preserve">3 960</w:t>
            </w:r>
          </w:p>
        </w:tc>
      </w:tr>
      <w:tr>
        <w:tc>
          <w:tcPr/>
          <w:p>
            <w:pPr>
              <w:pStyle w:val="Compact"/>
              <w:jc w:val="left"/>
            </w:pPr>
            <w:r>
              <w:t xml:space="preserve">Prévision 2026 avant la revue actuelle</w:t>
            </w:r>
          </w:p>
        </w:tc>
        <w:tc>
          <w:tcPr/>
          <w:p>
            <w:pPr>
              <w:pStyle w:val="Compact"/>
              <w:jc w:val="right"/>
            </w:pPr>
            <w:r>
              <w:t xml:space="preserve">69,0 %</w:t>
            </w:r>
          </w:p>
        </w:tc>
        <w:tc>
          <w:tcPr/>
          <w:p>
            <w:pPr>
              <w:pStyle w:val="Compact"/>
            </w:pPr>
            <w:r>
              <w:t xml:space="preserve">198 $</w:t>
            </w:r>
          </w:p>
        </w:tc>
        <w:tc>
          <w:tcPr/>
          <w:p>
            <w:pPr>
              <w:pStyle w:val="Compact"/>
            </w:pPr>
            <w:r>
              <w:t xml:space="preserve">13,18 millions</w:t>
            </w:r>
          </w:p>
        </w:tc>
        <w:tc>
          <w:tcPr/>
          <w:p>
            <w:pPr>
              <w:pStyle w:val="Compact"/>
            </w:pPr>
            <w:r>
              <w:t xml:space="preserve">$ 52 %</w:t>
            </w:r>
          </w:p>
        </w:tc>
        <w:tc>
          <w:tcPr/>
          <w:p>
            <w:pPr>
              <w:pStyle w:val="Compact"/>
              <w:jc w:val="right"/>
            </w:pPr>
            <w:r>
              <w:t xml:space="preserve">4 300</w:t>
            </w:r>
          </w:p>
        </w:tc>
      </w:tr>
    </w:tbl>
    <w:bookmarkEnd w:id="10"/>
    <w:bookmarkEnd w:id="11"/>
    <w:bookmarkStart w:id="13" w:name="la-courbe-de-réservation"/>
    <w:p>
      <w:pPr>
        <w:pStyle w:val="Heading1"/>
      </w:pPr>
      <w:r>
        <w:t xml:space="preserve">La Courbe de Réservation</w:t>
      </w:r>
    </w:p>
    <w:p>
      <w:pPr>
        <w:pStyle w:val="FirstParagraph"/>
      </w:pPr>
      <w:r>
        <w:t xml:space="preserve">Le directeur des revenus Marcus Lee organisait la demande par date de séjour. Chaque matin, il examinait combien de chambres avaient été vendues pour chaque nuit future, les tarifs associés à ces réservations, les annulations, les prix des concurrents, les résultats publicitaires, et le nombre de visiteurs du site web ayant commencé sans terminer une réservation. Pour la période de conférence, les réservations étaient en avance sur le schéma observé l’année précédente. Pour les jours de semaine ordinaires, elles étaient en retard.</w:t>
      </w:r>
    </w:p>
    <w:p>
      <w:pPr>
        <w:pStyle w:val="BodyText"/>
      </w:pPr>
      <w:r>
        <w:t xml:space="preserve">Le système de Lee estimait que les nuits du mardi et du mercredi de la conférence finiraient par se vendre complètement. Il recommandait de protéger des chambres pour les clients susceptibles d’arriver plus tard et de payer des prix plus élevés. Le système était moins confiant concernant le lundi et le jeudi, lorsque de nombreux voyageurs de conférence pourraient arriver tard ou partir tôt. Une décision d’augmenter les tarifs pour les quatre nuits pourrait accroître les revenus lors des nuits de pointe tout en laissant les nuits d’appoint sous-remplies.</w:t>
      </w:r>
    </w:p>
    <w:bookmarkStart w:id="12" w:name="Xbd55435924a8deca0c35e638d0b5bb71a7a4c2d"/>
    <w:p>
      <w:pPr>
        <w:pStyle w:val="Heading2"/>
      </w:pPr>
      <w:r>
        <w:t xml:space="preserve">Exhibit 2. Réservations Enregistrées, 47 Jours Avant l’Arrivée</w:t>
      </w:r>
    </w:p>
    <w:tbl>
      <w:tblPr>
        <w:tblStyle w:val="Table"/>
        <w:tblW w:type="pct" w:w="4945"/>
        <w:tblLayout w:type="fixed"/>
        <w:tblLook w:firstRow="1" w:lastRow="0" w:firstColumn="0" w:lastColumn="0" w:noHBand="0" w:noVBand="0" w:val="0020"/>
      </w:tblPr>
      <w:tblGrid>
        <w:gridCol w:w="1750"/>
        <w:gridCol w:w="918"/>
        <w:gridCol w:w="1137"/>
        <w:gridCol w:w="1750"/>
        <w:gridCol w:w="1268"/>
        <w:gridCol w:w="1006"/>
      </w:tblGrid>
      <w:tr>
        <w:trPr>
          <w:tblHeader w:val="on"/>
        </w:trPr>
        <w:tc>
          <w:tcPr/>
          <w:p>
            <w:pPr>
              <w:pStyle w:val="Compact"/>
              <w:jc w:val="left"/>
            </w:pPr>
            <w:r>
              <w:rPr>
                <w:b/>
                <w:bCs/>
              </w:rPr>
              <w:t xml:space="preserve">Date de séjour / événement</w:t>
            </w:r>
          </w:p>
        </w:tc>
        <w:tc>
          <w:tcPr/>
          <w:p>
            <w:pPr>
              <w:pStyle w:val="Compact"/>
              <w:jc w:val="right"/>
            </w:pPr>
            <w:r>
              <w:t xml:space="preserve">**Chambres réservée</w:t>
            </w:r>
          </w:p>
        </w:tc>
        <w:tc>
          <w:tcPr/>
          <w:p>
            <w:pPr>
              <w:pStyle w:val="Compact"/>
            </w:pPr>
            <w:r>
              <w:t xml:space="preserve">s** **Tarif public actue</w:t>
            </w:r>
          </w:p>
        </w:tc>
        <w:tc>
          <w:tcPr/>
          <w:p>
            <w:pPr>
              <w:pStyle w:val="Compact"/>
            </w:pPr>
            <w:r>
              <w:t xml:space="preserve">l** **Chambres vendues en 2025 au même</w:t>
            </w:r>
          </w:p>
        </w:tc>
        <w:tc>
          <w:tcPr/>
          <w:p>
            <w:pPr>
              <w:pStyle w:val="Compact"/>
              <w:jc w:val="right"/>
            </w:pPr>
            <w:r>
              <w:t xml:space="preserve">délai** **Annulations prév</w:t>
            </w:r>
          </w:p>
        </w:tc>
        <w:tc>
          <w:tcPr/>
          <w:p>
            <w:pPr>
              <w:pStyle w:val="Compact"/>
            </w:pPr>
            <w:r>
              <w:t xml:space="preserve">ues**</w:t>
            </w:r>
            <w:r>
              <w:t xml:space="preserve"> </w:t>
            </w:r>
            <w:r>
              <w:rPr>
                <w:b/>
                <w:bCs/>
              </w:rPr>
              <w:t xml:space="preserve">Fourchette concurrente</w:t>
            </w:r>
          </w:p>
        </w:tc>
      </w:tr>
      <w:tr>
        <w:tc>
          <w:tcPr/>
          <w:p>
            <w:pPr>
              <w:pStyle w:val="Compact"/>
              <w:jc w:val="left"/>
            </w:pPr>
            <w:r>
              <w:t xml:space="preserve">Ven. 17 oct. – Retrouvailles universita</w:t>
            </w:r>
          </w:p>
        </w:tc>
        <w:tc>
          <w:tcPr/>
          <w:p>
            <w:pPr>
              <w:pStyle w:val="Compact"/>
              <w:jc w:val="right"/>
            </w:pPr>
            <w:r>
              <w:t xml:space="preserve">ires 176</w:t>
            </w:r>
          </w:p>
        </w:tc>
        <w:tc>
          <w:tcPr/>
          <w:p>
            <w:pPr>
              <w:pStyle w:val="Compact"/>
            </w:pPr>
            <w:r>
              <w:t xml:space="preserve">239 $</w:t>
            </w:r>
          </w:p>
        </w:tc>
        <w:tc>
          <w:tcPr/>
          <w:p>
            <w:pPr>
              <w:pStyle w:val="Compact"/>
            </w:pPr>
            <w:r>
              <w:t xml:space="preserve">163</w:t>
            </w:r>
          </w:p>
        </w:tc>
        <w:tc>
          <w:tcPr/>
          <w:p>
            <w:pPr>
              <w:pStyle w:val="Compact"/>
              <w:jc w:val="right"/>
            </w:pPr>
            <w:r>
              <w:t xml:space="preserve">14–25</w:t>
            </w:r>
          </w:p>
        </w:tc>
        <w:tc>
          <w:tcPr/>
          <w:p>
            <w:pPr>
              <w:pStyle w:val="Compact"/>
            </w:pPr>
            <w:r>
              <w:t xml:space="preserve">219–279 $</w:t>
            </w:r>
          </w:p>
        </w:tc>
      </w:tr>
      <w:tr>
        <w:tc>
          <w:tcPr/>
          <w:p>
            <w:pPr>
              <w:pStyle w:val="Compact"/>
              <w:jc w:val="left"/>
            </w:pPr>
            <w:r>
              <w:t xml:space="preserve">Dim. 19 oct. – Nuit calme</w:t>
            </w:r>
          </w:p>
        </w:tc>
        <w:tc>
          <w:tcPr/>
          <w:p>
            <w:pPr>
              <w:pStyle w:val="Compact"/>
              <w:jc w:val="right"/>
            </w:pPr>
            <w:r>
              <w:t xml:space="preserve">91</w:t>
            </w:r>
          </w:p>
        </w:tc>
        <w:tc>
          <w:tcPr/>
          <w:p>
            <w:pPr>
              <w:pStyle w:val="Compact"/>
            </w:pPr>
            <w:r>
              <w:t xml:space="preserve">169 $</w:t>
            </w:r>
          </w:p>
        </w:tc>
        <w:tc>
          <w:tcPr/>
          <w:p>
            <w:pPr>
              <w:pStyle w:val="Compact"/>
            </w:pPr>
            <w:r>
              <w:t xml:space="preserve">108</w:t>
            </w:r>
          </w:p>
        </w:tc>
        <w:tc>
          <w:tcPr/>
          <w:p>
            <w:pPr>
              <w:pStyle w:val="Compact"/>
              <w:jc w:val="right"/>
            </w:pPr>
            <w:r>
              <w:t xml:space="preserve">7–12</w:t>
            </w:r>
          </w:p>
        </w:tc>
        <w:tc>
          <w:tcPr/>
          <w:p>
            <w:pPr>
              <w:pStyle w:val="Compact"/>
            </w:pPr>
            <w:r>
              <w:t xml:space="preserve">149–189 $</w:t>
            </w:r>
          </w:p>
        </w:tc>
      </w:tr>
      <w:tr>
        <w:tc>
          <w:tcPr/>
          <w:p>
            <w:pPr>
              <w:pStyle w:val="Compact"/>
              <w:jc w:val="left"/>
            </w:pPr>
            <w:r>
              <w:t xml:space="preserve">Lun. 20 oct. – Arrivée conférence 1</w:t>
            </w:r>
          </w:p>
        </w:tc>
        <w:tc>
          <w:tcPr/>
          <w:p>
            <w:pPr>
              <w:pStyle w:val="Compact"/>
              <w:jc w:val="right"/>
            </w:pPr>
            <w:r>
              <w:t xml:space="preserve">54 2</w:t>
            </w:r>
          </w:p>
        </w:tc>
        <w:tc>
          <w:tcPr/>
          <w:p>
            <w:pPr>
              <w:pStyle w:val="Compact"/>
            </w:pPr>
            <w:r>
              <w:t xml:space="preserve">29 $</w:t>
            </w:r>
          </w:p>
        </w:tc>
        <w:tc>
          <w:tcPr/>
          <w:p>
            <w:pPr>
              <w:pStyle w:val="Compact"/>
            </w:pPr>
            <w:r>
              <w:t xml:space="preserve">127</w:t>
            </w:r>
          </w:p>
        </w:tc>
        <w:tc>
          <w:tcPr/>
          <w:p>
            <w:pPr>
              <w:pStyle w:val="Compact"/>
              <w:jc w:val="right"/>
            </w:pPr>
            <w:r>
              <w:t xml:space="preserve">18–31</w:t>
            </w:r>
          </w:p>
        </w:tc>
        <w:tc>
          <w:tcPr/>
          <w:p>
            <w:pPr>
              <w:pStyle w:val="Compact"/>
            </w:pPr>
            <w:r>
              <w:t xml:space="preserve">209–259 $</w:t>
            </w:r>
          </w:p>
        </w:tc>
      </w:tr>
      <w:tr>
        <w:tc>
          <w:tcPr/>
          <w:p>
            <w:pPr>
              <w:pStyle w:val="Compact"/>
              <w:jc w:val="left"/>
            </w:pPr>
            <w:r>
              <w:t xml:space="preserve">Mar. 21 oct. – Conférence</w:t>
            </w:r>
          </w:p>
        </w:tc>
        <w:tc>
          <w:tcPr/>
          <w:p>
            <w:pPr>
              <w:pStyle w:val="Compact"/>
              <w:jc w:val="right"/>
            </w:pPr>
            <w:r>
              <w:t xml:space="preserve">188</w:t>
            </w:r>
          </w:p>
        </w:tc>
        <w:tc>
          <w:tcPr/>
          <w:p>
            <w:pPr>
              <w:pStyle w:val="Compact"/>
            </w:pPr>
            <w:r>
              <w:t xml:space="preserve">279 $</w:t>
            </w:r>
          </w:p>
        </w:tc>
        <w:tc>
          <w:tcPr/>
          <w:p>
            <w:pPr>
              <w:pStyle w:val="Compact"/>
            </w:pPr>
            <w:r>
              <w:t xml:space="preserve">146</w:t>
            </w:r>
          </w:p>
        </w:tc>
        <w:tc>
          <w:tcPr/>
          <w:p>
            <w:pPr>
              <w:pStyle w:val="Compact"/>
              <w:jc w:val="right"/>
            </w:pPr>
            <w:r>
              <w:t xml:space="preserve">24–43</w:t>
            </w:r>
          </w:p>
        </w:tc>
        <w:tc>
          <w:tcPr/>
          <w:p>
            <w:pPr>
              <w:pStyle w:val="Compact"/>
            </w:pPr>
            <w:r>
              <w:t xml:space="preserve">259–329 $</w:t>
            </w:r>
          </w:p>
        </w:tc>
      </w:tr>
      <w:tr>
        <w:tc>
          <w:tcPr/>
          <w:p>
            <w:pPr>
              <w:pStyle w:val="Compact"/>
              <w:jc w:val="left"/>
            </w:pPr>
            <w:r>
              <w:t xml:space="preserve">Mer. 22 oct. – Conférence</w:t>
            </w:r>
          </w:p>
        </w:tc>
        <w:tc>
          <w:tcPr/>
          <w:p>
            <w:pPr>
              <w:pStyle w:val="Compact"/>
              <w:jc w:val="right"/>
            </w:pPr>
            <w:r>
              <w:t xml:space="preserve">192</w:t>
            </w:r>
          </w:p>
        </w:tc>
        <w:tc>
          <w:tcPr/>
          <w:p>
            <w:pPr>
              <w:pStyle w:val="Compact"/>
            </w:pPr>
            <w:r>
              <w:t xml:space="preserve">289 $</w:t>
            </w:r>
          </w:p>
        </w:tc>
        <w:tc>
          <w:tcPr/>
          <w:p>
            <w:pPr>
              <w:pStyle w:val="Compact"/>
            </w:pPr>
            <w:r>
              <w:t xml:space="preserve">151</w:t>
            </w:r>
          </w:p>
        </w:tc>
        <w:tc>
          <w:tcPr/>
          <w:p>
            <w:pPr>
              <w:pStyle w:val="Compact"/>
              <w:jc w:val="right"/>
            </w:pPr>
            <w:r>
              <w:t xml:space="preserve">25–45</w:t>
            </w:r>
          </w:p>
        </w:tc>
        <w:tc>
          <w:tcPr/>
          <w:p>
            <w:pPr>
              <w:pStyle w:val="Compact"/>
            </w:pPr>
            <w:r>
              <w:t xml:space="preserve">269–339 $</w:t>
            </w:r>
          </w:p>
        </w:tc>
      </w:tr>
      <w:tr>
        <w:tc>
          <w:tcPr/>
          <w:p>
            <w:pPr>
              <w:pStyle w:val="Compact"/>
              <w:jc w:val="left"/>
            </w:pPr>
            <w:r>
              <w:t xml:space="preserve">Jeu. 23 oct. – Départ conférence 139</w:t>
            </w:r>
          </w:p>
        </w:tc>
        <w:tc>
          <w:tcPr/>
          <w:p>
            <w:pPr>
              <w:pStyle w:val="Compact"/>
              <w:jc w:val="right"/>
            </w:pPr>
            <w:r>
              <w:t xml:space="preserve">219</w:t>
            </w:r>
          </w:p>
        </w:tc>
        <w:tc>
          <w:tcPr/>
          <w:p>
            <w:pPr>
              <w:pStyle w:val="Compact"/>
            </w:pPr>
            <w:r>
              <w:t xml:space="preserve">$ 118</w:t>
            </w:r>
          </w:p>
        </w:tc>
        <w:tc>
          <w:tcPr/>
          <w:p>
            <w:pPr>
              <w:pStyle w:val="Compact"/>
            </w:pPr>
            <w:r>
              <w:t xml:space="preserve">16-</w:t>
            </w:r>
          </w:p>
        </w:tc>
        <w:tc>
          <w:tcPr/>
          <w:p>
            <w:pPr>
              <w:pStyle w:val="Compact"/>
              <w:jc w:val="right"/>
            </w:pPr>
            <w:r>
              <w:t xml:space="preserve">-28 199</w:t>
            </w:r>
          </w:p>
        </w:tc>
        <w:tc>
          <w:tcPr/>
          <w:p>
            <w:pPr>
              <w:pStyle w:val="Compact"/>
            </w:pPr>
            <w:r>
              <w:t xml:space="preserve">–249 $</w:t>
            </w:r>
          </w:p>
        </w:tc>
      </w:tr>
      <w:tr>
        <w:tc>
          <w:tcPr/>
          <w:p>
            <w:pPr>
              <w:pStyle w:val="Compact"/>
              <w:jc w:val="left"/>
            </w:pPr>
            <w:r>
              <w:t xml:space="preserve">Dim. 26 oct. – Nuit calme</w:t>
            </w:r>
          </w:p>
        </w:tc>
        <w:tc>
          <w:tcPr/>
          <w:p>
            <w:pPr>
              <w:pStyle w:val="Compact"/>
              <w:jc w:val="right"/>
            </w:pPr>
            <w:r>
              <w:t xml:space="preserve">72</w:t>
            </w:r>
          </w:p>
        </w:tc>
        <w:tc>
          <w:tcPr/>
          <w:p>
            <w:pPr>
              <w:pStyle w:val="Compact"/>
            </w:pPr>
            <w:r>
              <w:t xml:space="preserve">159 $</w:t>
            </w:r>
          </w:p>
        </w:tc>
        <w:tc>
          <w:tcPr/>
          <w:p>
            <w:pPr>
              <w:pStyle w:val="Compact"/>
            </w:pPr>
            <w:r>
              <w:t xml:space="preserve">99</w:t>
            </w:r>
          </w:p>
        </w:tc>
        <w:tc>
          <w:tcPr/>
          <w:p>
            <w:pPr>
              <w:pStyle w:val="Compact"/>
              <w:jc w:val="right"/>
            </w:pPr>
            <w:r>
              <w:t xml:space="preserve">5–10</w:t>
            </w:r>
          </w:p>
        </w:tc>
        <w:tc>
          <w:tcPr/>
          <w:p>
            <w:pPr>
              <w:pStyle w:val="Compact"/>
            </w:pPr>
            <w:r>
              <w:t xml:space="preserve">139–179 $</w:t>
            </w:r>
          </w:p>
        </w:tc>
      </w:tr>
    </w:tbl>
    <w:bookmarkEnd w:id="12"/>
    <w:bookmarkEnd w:id="13"/>
    <w:bookmarkStart w:id="14" w:name="tarifs-restrictions-et-services"/>
    <w:p>
      <w:pPr>
        <w:pStyle w:val="Heading1"/>
      </w:pPr>
      <w:r>
        <w:t xml:space="preserve">Tarifs, Restrictions et Services</w:t>
      </w:r>
    </w:p>
    <w:p>
      <w:pPr>
        <w:pStyle w:val="FirstParagraph"/>
      </w:pPr>
      <w:r>
        <w:t xml:space="preserve">L’Harborview ne vendait pas un produit homogène. Un client pouvait choisir une chambre flexible, un tarif non remboursable plus bas, un forfait petit-déjeuner, un forfait stationnement, un forfait conférence, une suite, ou une chambre à l’étage club. Certains comptes corporatifs avaient négocié des plafonds. Les membres fidélité recevaient des avantages de réservation directe. L’hôtel pouvait également exiger un séjour de deux nuits pendant les périodes de pointe, fermer les catégories à bas tarif, ou limiter le nombre de chambres distribuées via certains canaux.</w:t>
      </w:r>
    </w:p>
    <w:p>
      <w:pPr>
        <w:pStyle w:val="BodyText"/>
      </w:pPr>
      <w:r>
        <w:t xml:space="preserve">Chaque service avait un coût et pouvait influencer la conversion. Le petit-déjeuner coûtait à l’hôtel environ 14 $ par chambre occupée, mais était valorisé par de nombreux clients entre 25 $ et 35 $. Le stationnement générait des marges attrayantes lorsque la capacité était disponible, mais le garage se remplissait souvent lors des conventions. L’annulation flexible encourageait les réservations anticipées mais augmentait le risque que la demande apparente disparaisse. Les tarifs non remboursables réduisaient le risque d’annulation mais poussaient parfois les clients vers les concurrents.</w:t>
      </w:r>
    </w:p>
    <w:p>
      <w:pPr>
        <w:pStyle w:val="BodyText"/>
      </w:pPr>
      <w:r>
        <w:t xml:space="preserve">La directrice des ventes Priya Shah soutenait que l’objectif de l’hôtel ne devait pas être réduit au tarif de chambre le plus élevé. Les groupes apportaient des revenus de restauration, remplissaient les salles de réunion, et pouvaient revenir les années suivantes. Les forfaits loisirs généraient des dépenses en restaurant et stationnement. Un client d’une nuit à tarif élevé pouvait contribuer moins au profit total qu’un client à tarif plus bas restant trois nuits. Elle s’inquiétait aussi de refuser des clients qui se souviendraient que l’Harborview était apparu inabordable.</w:t>
      </w:r>
    </w:p>
    <w:bookmarkEnd w:id="14"/>
    <w:bookmarkStart w:id="16" w:name="X8fa9842e0cc216b932aaeaa8a6718c109b09115"/>
    <w:p>
      <w:pPr>
        <w:pStyle w:val="Heading1"/>
      </w:pPr>
      <w:r>
        <w:t xml:space="preserve">Publicité pour des Réservations qui Pourraient Arriver</w:t>
      </w:r>
    </w:p>
    <w:p>
      <w:pPr>
        <w:pStyle w:val="FirstParagraph"/>
      </w:pPr>
      <w:r>
        <w:t xml:space="preserve">L’hôtel dépensait environ 1,15 million $ par an en marketing numérique et traditionnel. La recherche payante était la plus grande catégorie flexible. Lorsqu’un voyageur potentiel recherchait des phrases telles que « hôtel de conférence Port Mason », l’Harborview et ses concurrents enchérissaient pour un placement sponsorisé. Une enchère plus élevée augmentait la probabilité que le lien de l’hôtel apparaisse, mais ne garantissait ni clic ni réservation. L’hôtel payait pour de nombreux clics provenant de clients qui comparaient les prix et réservaient ailleurs.</w:t>
      </w:r>
    </w:p>
    <w:p>
      <w:pPr>
        <w:pStyle w:val="BodyText"/>
      </w:pPr>
      <w:r>
        <w:t xml:space="preserve">Lee proposait d’augmenter les enchères de recherche payante pour les dates de conférence tout en réduisant les dépenses générales de réseaux sociaux. La directrice marketing Simone Carter n’était pas d’accord. Les publicités de recherche captaient des clients déjà à la recherche de chambres ; les réseaux sociaux et le courriel pouvaient créer une demande de week-end et vendre des forfaits. Carter voulait aussi tester une page de réservation repensée mettant en avant le petit-déjeuner gratuit et l’annulation flexible. Le précédent test de site web avait augmenté les réservations complétées sur appareils mobiles, mais le test s’était déroulé pendant une période de vacances et l’équipe n’était pas sûre que l’amélioration persisterait.</w:t>
      </w:r>
    </w:p>
    <w:bookmarkStart w:id="15" w:name="Xc440c8cd750329fc87ac01c65b323f04e02f08c"/>
    <w:p>
      <w:pPr>
        <w:pStyle w:val="Heading2"/>
      </w:pPr>
      <w:r>
        <w:t xml:space="preserve">Exhibit 3. Performance Récente d’Acquisition de Clients</w:t>
      </w:r>
    </w:p>
    <w:tbl>
      <w:tblPr>
        <w:tblStyle w:val="Table"/>
        <w:tblW w:type="pct" w:w="4946"/>
        <w:tblLayout w:type="fixed"/>
        <w:tblLook w:firstRow="1" w:lastRow="0" w:firstColumn="0" w:lastColumn="0" w:noHBand="0" w:noVBand="0" w:val="0020"/>
      </w:tblPr>
      <w:tblGrid>
        <w:gridCol w:w="1119"/>
        <w:gridCol w:w="990"/>
        <w:gridCol w:w="1291"/>
        <w:gridCol w:w="1463"/>
        <w:gridCol w:w="1936"/>
        <w:gridCol w:w="1033"/>
      </w:tblGrid>
      <w:tr>
        <w:trPr>
          <w:tblHeader w:val="on"/>
        </w:trPr>
        <w:tc>
          <w:tcPr/>
          <w:p>
            <w:pPr>
              <w:pStyle w:val="Compact"/>
            </w:pPr>
            <w:r>
              <w:rPr>
                <w:b/>
                <w:bCs/>
              </w:rPr>
              <w:t xml:space="preserve">Canal</w:t>
            </w:r>
            <w:r>
              <w:t xml:space="preserve"> </w:t>
            </w:r>
            <w:r>
              <w:t xml:space="preserve">**</w:t>
            </w:r>
          </w:p>
        </w:tc>
        <w:tc>
          <w:tcPr/>
          <w:p>
            <w:pPr>
              <w:pStyle w:val="Compact"/>
              <w:jc w:val="left"/>
            </w:pPr>
            <w:r>
              <w:t xml:space="preserve">Dépenses mensuelles**</w:t>
            </w:r>
          </w:p>
        </w:tc>
        <w:tc>
          <w:tcPr/>
          <w:p>
            <w:pPr>
              <w:pStyle w:val="Compact"/>
              <w:jc w:val="center"/>
            </w:pPr>
            <w:r>
              <w:rPr>
                <w:b/>
                <w:bCs/>
              </w:rPr>
              <w:t xml:space="preserve">Réservations attribuées</w:t>
            </w:r>
          </w:p>
        </w:tc>
        <w:tc>
          <w:tcPr/>
          <w:p>
            <w:pPr>
              <w:pStyle w:val="Compact"/>
              <w:jc w:val="right"/>
            </w:pPr>
            <w:r>
              <w:t xml:space="preserve">**Revenu moyen de chambre réservé</w:t>
            </w:r>
          </w:p>
        </w:tc>
        <w:tc>
          <w:tcPr/>
          <w:p>
            <w:pPr>
              <w:pStyle w:val="Compact"/>
            </w:pPr>
            <w:r>
              <w:t xml:space="preserve">e** **Coût estimé du canal par réservation*</w:t>
            </w:r>
          </w:p>
        </w:tc>
        <w:tc>
          <w:tcPr/>
          <w:p>
            <w:pPr>
              <w:pStyle w:val="Compact"/>
            </w:pPr>
            <w:r>
              <w:t xml:space="preserve">*</w:t>
            </w:r>
            <w:r>
              <w:t xml:space="preserve"> </w:t>
            </w:r>
            <w:r>
              <w:rPr>
                <w:b/>
                <w:bCs/>
              </w:rPr>
              <w:t xml:space="preserve">Taux d’annulation</w:t>
            </w:r>
          </w:p>
        </w:tc>
      </w:tr>
      <w:tr>
        <w:tc>
          <w:tcPr/>
          <w:p>
            <w:pPr>
              <w:pStyle w:val="Compact"/>
            </w:pPr>
            <w:r>
              <w:t xml:space="preserve">Site web de l’hôtel / non</w:t>
            </w:r>
          </w:p>
        </w:tc>
        <w:tc>
          <w:tcPr/>
          <w:p>
            <w:pPr>
              <w:pStyle w:val="Compact"/>
              <w:jc w:val="left"/>
            </w:pPr>
            <w:r>
              <w:t xml:space="preserve">payant 38 000 $</w:t>
            </w:r>
          </w:p>
        </w:tc>
        <w:tc>
          <w:tcPr/>
          <w:p>
            <w:pPr>
              <w:pStyle w:val="Compact"/>
              <w:jc w:val="center"/>
            </w:pPr>
            <w:r>
              <w:t xml:space="preserve">1 040</w:t>
            </w:r>
          </w:p>
        </w:tc>
        <w:tc>
          <w:tcPr/>
          <w:p>
            <w:pPr>
              <w:pStyle w:val="Compact"/>
              <w:jc w:val="right"/>
            </w:pPr>
            <w:r>
              <w:t xml:space="preserve">462 $</w:t>
            </w:r>
          </w:p>
        </w:tc>
        <w:tc>
          <w:tcPr/>
          <w:p>
            <w:pPr>
              <w:pStyle w:val="Compact"/>
            </w:pPr>
            <w:r>
              <w:t xml:space="preserve">37 $</w:t>
            </w:r>
          </w:p>
        </w:tc>
        <w:tc>
          <w:tcPr/>
          <w:p>
            <w:pPr>
              <w:pStyle w:val="Compact"/>
            </w:pPr>
            <w:r>
              <w:t xml:space="preserve">9 %</w:t>
            </w:r>
          </w:p>
        </w:tc>
      </w:tr>
      <w:tr>
        <w:tc>
          <w:tcPr/>
          <w:p>
            <w:pPr>
              <w:pStyle w:val="Compact"/>
            </w:pPr>
            <w:r>
              <w:t xml:space="preserve">Recherche payante</w:t>
            </w:r>
          </w:p>
        </w:tc>
        <w:tc>
          <w:tcPr/>
          <w:p>
            <w:pPr>
              <w:pStyle w:val="Compact"/>
              <w:jc w:val="left"/>
            </w:pPr>
            <w:r>
              <w:t xml:space="preserve">112 000 $</w:t>
            </w:r>
          </w:p>
        </w:tc>
        <w:tc>
          <w:tcPr/>
          <w:p>
            <w:pPr>
              <w:pStyle w:val="Compact"/>
              <w:jc w:val="center"/>
            </w:pPr>
            <w:r>
              <w:t xml:space="preserve">1 380</w:t>
            </w:r>
          </w:p>
        </w:tc>
        <w:tc>
          <w:tcPr/>
          <w:p>
            <w:pPr>
              <w:pStyle w:val="Compact"/>
              <w:jc w:val="right"/>
            </w:pPr>
            <w:r>
              <w:t xml:space="preserve">438 $</w:t>
            </w:r>
          </w:p>
        </w:tc>
        <w:tc>
          <w:tcPr/>
          <w:p>
            <w:pPr>
              <w:pStyle w:val="Compact"/>
            </w:pPr>
            <w:r>
              <w:t xml:space="preserve">81 $</w:t>
            </w:r>
          </w:p>
        </w:tc>
        <w:tc>
          <w:tcPr/>
          <w:p>
            <w:pPr>
              <w:pStyle w:val="Compact"/>
            </w:pPr>
            <w:r>
              <w:t xml:space="preserve">13 %</w:t>
            </w:r>
          </w:p>
        </w:tc>
      </w:tr>
      <w:tr>
        <w:tc>
          <w:tcPr/>
          <w:p>
            <w:pPr>
              <w:pStyle w:val="Compact"/>
            </w:pPr>
            <w:r>
              <w:t xml:space="preserve">Réseaux sociaux</w:t>
            </w:r>
          </w:p>
        </w:tc>
        <w:tc>
          <w:tcPr/>
          <w:p>
            <w:pPr>
              <w:pStyle w:val="Compact"/>
              <w:jc w:val="left"/>
            </w:pPr>
            <w:r>
              <w:t xml:space="preserve">54 000 $</w:t>
            </w:r>
          </w:p>
        </w:tc>
        <w:tc>
          <w:tcPr/>
          <w:p>
            <w:pPr>
              <w:pStyle w:val="Compact"/>
              <w:jc w:val="center"/>
            </w:pPr>
            <w:r>
              <w:t xml:space="preserve">410</w:t>
            </w:r>
          </w:p>
        </w:tc>
        <w:tc>
          <w:tcPr/>
          <w:p>
            <w:pPr>
              <w:pStyle w:val="Compact"/>
              <w:jc w:val="right"/>
            </w:pPr>
            <w:r>
              <w:t xml:space="preserve">496 $</w:t>
            </w:r>
          </w:p>
        </w:tc>
        <w:tc>
          <w:tcPr/>
          <w:p>
            <w:pPr>
              <w:pStyle w:val="Compact"/>
            </w:pPr>
            <w:r>
              <w:t xml:space="preserve">132 $</w:t>
            </w:r>
          </w:p>
        </w:tc>
        <w:tc>
          <w:tcPr/>
          <w:p>
            <w:pPr>
              <w:pStyle w:val="Compact"/>
            </w:pPr>
            <w:r>
              <w:t xml:space="preserve">15 %</w:t>
            </w:r>
          </w:p>
        </w:tc>
      </w:tr>
      <w:tr>
        <w:tc>
          <w:tcPr/>
          <w:p>
            <w:pPr>
              <w:pStyle w:val="Compact"/>
            </w:pPr>
            <w:r>
              <w:t xml:space="preserve">Agences de voyages en lign</w:t>
            </w:r>
          </w:p>
        </w:tc>
        <w:tc>
          <w:tcPr/>
          <w:p>
            <w:pPr>
              <w:pStyle w:val="Compact"/>
              <w:jc w:val="left"/>
            </w:pPr>
            <w:r>
              <w:t xml:space="preserve">e Basé sur commissio</w:t>
            </w:r>
          </w:p>
        </w:tc>
        <w:tc>
          <w:tcPr/>
          <w:p>
            <w:pPr>
              <w:pStyle w:val="Compact"/>
              <w:jc w:val="center"/>
            </w:pPr>
            <w:r>
              <w:t xml:space="preserve">n 1 720</w:t>
            </w:r>
          </w:p>
        </w:tc>
        <w:tc>
          <w:tcPr/>
          <w:p>
            <w:pPr>
              <w:pStyle w:val="Compact"/>
              <w:jc w:val="right"/>
            </w:pPr>
            <w:r>
              <w:t xml:space="preserve">331 $</w:t>
            </w:r>
          </w:p>
        </w:tc>
        <w:tc>
          <w:tcPr/>
          <w:p>
            <w:pPr>
              <w:pStyle w:val="Compact"/>
            </w:pPr>
            <w:r>
              <w:t xml:space="preserve">Équivalent commission de 5</w:t>
            </w:r>
          </w:p>
        </w:tc>
        <w:tc>
          <w:tcPr/>
          <w:p>
            <w:pPr>
              <w:pStyle w:val="Compact"/>
            </w:pPr>
            <w:r>
              <w:t xml:space="preserve">8 $ 22 %</w:t>
            </w:r>
          </w:p>
        </w:tc>
      </w:tr>
      <w:tr>
        <w:tc>
          <w:tcPr/>
          <w:p>
            <w:pPr>
              <w:pStyle w:val="Compact"/>
            </w:pPr>
            <w:r>
              <w:t xml:space="preserve">Ventes corporatives / grou</w:t>
            </w:r>
          </w:p>
        </w:tc>
        <w:tc>
          <w:tcPr/>
          <w:p>
            <w:pPr>
              <w:pStyle w:val="Compact"/>
              <w:jc w:val="left"/>
            </w:pPr>
            <w:r>
              <w:t xml:space="preserve">pes 96 000 $</w:t>
            </w:r>
          </w:p>
        </w:tc>
        <w:tc>
          <w:tcPr/>
          <w:p>
            <w:pPr>
              <w:pStyle w:val="Compact"/>
              <w:jc w:val="center"/>
            </w:pPr>
            <w:r>
              <w:t xml:space="preserve">1 260</w:t>
            </w:r>
          </w:p>
        </w:tc>
        <w:tc>
          <w:tcPr/>
          <w:p>
            <w:pPr>
              <w:pStyle w:val="Compact"/>
              <w:jc w:val="right"/>
            </w:pPr>
            <w:r>
              <w:t xml:space="preserve">574 $</w:t>
            </w:r>
          </w:p>
        </w:tc>
        <w:tc>
          <w:tcPr/>
          <w:p>
            <w:pPr>
              <w:pStyle w:val="Compact"/>
            </w:pPr>
            <w:r>
              <w:t xml:space="preserve">76 $</w:t>
            </w:r>
          </w:p>
        </w:tc>
        <w:tc>
          <w:tcPr/>
          <w:p>
            <w:pPr>
              <w:pStyle w:val="Compact"/>
            </w:pPr>
            <w:r>
              <w:t xml:space="preserve">12 %</w:t>
            </w:r>
          </w:p>
        </w:tc>
      </w:tr>
      <w:tr>
        <w:tc>
          <w:tcPr/>
          <w:p>
            <w:pPr>
              <w:pStyle w:val="Compact"/>
            </w:pPr>
            <w:r>
              <w:t xml:space="preserve">Courriel / fidélité</w:t>
            </w:r>
          </w:p>
        </w:tc>
        <w:tc>
          <w:tcPr/>
          <w:p>
            <w:pPr>
              <w:pStyle w:val="Compact"/>
              <w:jc w:val="left"/>
            </w:pPr>
            <w:r>
              <w:t xml:space="preserve">21 000 $</w:t>
            </w:r>
          </w:p>
        </w:tc>
        <w:tc>
          <w:tcPr/>
          <w:p>
            <w:pPr>
              <w:pStyle w:val="Compact"/>
              <w:jc w:val="center"/>
            </w:pPr>
            <w:r>
              <w:t xml:space="preserve">590</w:t>
            </w:r>
          </w:p>
        </w:tc>
        <w:tc>
          <w:tcPr/>
          <w:p>
            <w:pPr>
              <w:pStyle w:val="Compact"/>
              <w:jc w:val="right"/>
            </w:pPr>
            <w:r>
              <w:t xml:space="preserve">521 $</w:t>
            </w:r>
          </w:p>
        </w:tc>
        <w:tc>
          <w:tcPr/>
          <w:p>
            <w:pPr>
              <w:pStyle w:val="Compact"/>
            </w:pPr>
            <w:r>
              <w:t xml:space="preserve">36 $</w:t>
            </w:r>
          </w:p>
        </w:tc>
        <w:tc>
          <w:tcPr/>
          <w:p>
            <w:pPr>
              <w:pStyle w:val="Compact"/>
            </w:pPr>
            <w:r>
              <w:t xml:space="preserve">8 %</w:t>
            </w:r>
          </w:p>
        </w:tc>
      </w:tr>
    </w:tbl>
    <w:bookmarkEnd w:id="15"/>
    <w:bookmarkEnd w:id="16"/>
    <w:bookmarkStart w:id="18" w:name="X6391a0c9f8dc51a5060cdd77859dc91662390b4"/>
    <w:p>
      <w:pPr>
        <w:pStyle w:val="Heading1"/>
      </w:pPr>
      <w:r>
        <w:t xml:space="preserve">Une Proposition à Plusieurs Éléments Mobiles</w:t>
      </w:r>
    </w:p>
    <w:p>
      <w:pPr>
        <w:pStyle w:val="FirstParagraph"/>
      </w:pPr>
      <w:r>
        <w:t xml:space="preserve">Le plan recommandé par Lee combinait plusieurs actions. Pour les deux nuits de pointe de la conférence, il augmenterait le tarif flexible de chambre standard de 279–289 $ à 329 $, fermerait les réductions les plus profondes, et réserverait au moins 38 chambres pour les réservations attendues dans les 14 jours précédant l’arrivée. Pour le lundi et le jeudi, il proposerait un forfait de trois nuits à un tarif effectif de 239 $ par nuit, petit-déjeuner inclus. Il augmenterait les enchères de recherche pour les termes de conférence à forte intention de 35 %, réduirait la disponibilité via les agences de voyages en ligne à mesure que l’hôtel se remplirait, et maintiendrait le site web existant.</w:t>
      </w:r>
    </w:p>
    <w:p>
      <w:pPr>
        <w:pStyle w:val="BodyText"/>
      </w:pPr>
      <w:r>
        <w:t xml:space="preserve">Shah proposait un forfait différent. Elle plafonnerait le tarif de pointe à 299 $ pendant deux semaines supplémentaires, accepterait un bloc corporatif additionnel de 60 chambres à 224 $, et inclurait l’espace de réception du mercredi soir. Elle croyait que le bloc stabiliserait l’occupation sur les quatre nuits et produirait des revenus de restauration. L’entreprise exigeait une clause d’attrition flexible et ne fournirait les noms des clients que 14 jours avant l’arrivée.</w:t>
      </w:r>
    </w:p>
    <w:p>
      <w:pPr>
        <w:pStyle w:val="BodyText"/>
      </w:pPr>
      <w:r>
        <w:t xml:space="preserve">Carter soutenait de maintenir temporairement le bloc corporatif mais voulait un test plus large. Elle proposait deux designs de page web, différentes offres de petit-déjeuner, et trois niveaux publicitaires dans des marchés géographiques sélectionnés. Elle soutenait que l’hôtel en savait trop peu sur la manière dont les voyageurs réagissaient au prix, aux services et à la présentation de la page web. Lee répondait que l’expérimentation consommait du trafic et pouvait sacrifier des revenus pendant les semaines les plus précieuses de l’année.</w:t>
      </w:r>
    </w:p>
    <w:bookmarkStart w:id="17" w:name="exhibit-4.-alternatives-en-discussion"/>
    <w:p>
      <w:pPr>
        <w:pStyle w:val="Heading2"/>
      </w:pPr>
      <w:r>
        <w:t xml:space="preserve">Exhibit 4. Alternatives en Discussion</w:t>
      </w:r>
    </w:p>
    <w:tbl>
      <w:tblPr>
        <w:tblStyle w:val="Table"/>
        <w:tblW w:type="pct" w:w="4951"/>
        <w:tblLayout w:type="fixed"/>
        <w:tblLook w:firstRow="1" w:lastRow="0" w:firstColumn="0" w:lastColumn="0" w:noHBand="0" w:noVBand="0" w:val="0020"/>
      </w:tblPr>
      <w:tblGrid>
        <w:gridCol w:w="975"/>
        <w:gridCol w:w="1677"/>
        <w:gridCol w:w="1443"/>
        <w:gridCol w:w="1677"/>
        <w:gridCol w:w="2067"/>
      </w:tblGrid>
      <w:tr>
        <w:trPr>
          <w:tblHeader w:val="on"/>
        </w:trPr>
        <w:tc>
          <w:tcPr/>
          <w:p>
            <w:pPr>
              <w:pStyle w:val="Compact"/>
              <w:jc w:val="left"/>
            </w:pPr>
            <w:r>
              <w:rPr>
                <w:b/>
                <w:bCs/>
              </w:rPr>
              <w:t xml:space="preserve">Alternative</w:t>
            </w:r>
          </w:p>
        </w:tc>
        <w:tc>
          <w:tcPr/>
          <w:p>
            <w:pPr>
              <w:pStyle w:val="Compact"/>
              <w:jc w:val="left"/>
            </w:pPr>
            <w:r>
              <w:rPr>
                <w:b/>
                <w:bCs/>
              </w:rPr>
              <w:t xml:space="preserve">Approche des nuits de pointe</w:t>
            </w:r>
          </w:p>
        </w:tc>
        <w:tc>
          <w:tcPr/>
          <w:p>
            <w:pPr>
              <w:pStyle w:val="Compact"/>
              <w:jc w:val="right"/>
            </w:pPr>
            <w:r>
              <w:t xml:space="preserve">**Approche des nuits d’appoi</w:t>
            </w:r>
          </w:p>
        </w:tc>
        <w:tc>
          <w:tcPr/>
          <w:p>
            <w:pPr>
              <w:pStyle w:val="Compact"/>
            </w:pPr>
            <w:r>
              <w:t xml:space="preserve">nt** **Approche publicité / canal*</w:t>
            </w:r>
          </w:p>
        </w:tc>
        <w:tc>
          <w:tcPr/>
          <w:p>
            <w:pPr>
              <w:pStyle w:val="Compact"/>
              <w:jc w:val="left"/>
            </w:pPr>
            <w:r>
              <w:t xml:space="preserve">*</w:t>
            </w:r>
            <w:r>
              <w:t xml:space="preserve"> </w:t>
            </w:r>
            <w:r>
              <w:rPr>
                <w:b/>
                <w:bCs/>
              </w:rPr>
              <w:t xml:space="preserve">Préoccupation principale</w:t>
            </w:r>
          </w:p>
        </w:tc>
      </w:tr>
      <w:tr>
        <w:tc>
          <w:tcPr/>
          <w:p>
            <w:pPr>
              <w:pStyle w:val="Compact"/>
              <w:jc w:val="left"/>
            </w:pPr>
            <w:r>
              <w:t xml:space="preserve">A. Protéger la demande ta</w:t>
            </w:r>
          </w:p>
        </w:tc>
        <w:tc>
          <w:tcPr/>
          <w:p>
            <w:pPr>
              <w:pStyle w:val="Compact"/>
              <w:jc w:val="left"/>
            </w:pPr>
            <w:r>
              <w:t xml:space="preserve">rdive Augmenter à 329 $ ; maintenir 38 c</w:t>
            </w:r>
          </w:p>
        </w:tc>
        <w:tc>
          <w:tcPr/>
          <w:p>
            <w:pPr>
              <w:pStyle w:val="Compact"/>
              <w:jc w:val="right"/>
            </w:pPr>
            <w:r>
              <w:t xml:space="preserve">hambres Forfait trois nu</w:t>
            </w:r>
          </w:p>
        </w:tc>
        <w:tc>
          <w:tcPr/>
          <w:p>
            <w:pPr>
              <w:pStyle w:val="Compact"/>
            </w:pPr>
            <w:r>
              <w:t xml:space="preserve">its avec petit-déjeuner Enchères</w:t>
            </w:r>
          </w:p>
        </w:tc>
        <w:tc>
          <w:tcPr/>
          <w:p>
            <w:pPr>
              <w:pStyle w:val="Compact"/>
              <w:jc w:val="left"/>
            </w:pPr>
            <w:r>
              <w:t xml:space="preserve">de recherche plus élevées ; réduire l’inventaire OTA La demande tardive à tarif élevé pourrait ne pas arriver</w:t>
            </w:r>
          </w:p>
        </w:tc>
      </w:tr>
      <w:tr>
        <w:tc>
          <w:tcPr/>
          <w:p>
            <w:pPr>
              <w:pStyle w:val="Compact"/>
              <w:jc w:val="left"/>
            </w:pPr>
            <w:r>
              <w:t xml:space="preserve">B. Sécuriser le groupe</w:t>
            </w:r>
          </w:p>
        </w:tc>
        <w:tc>
          <w:tcPr/>
          <w:p>
            <w:pPr>
              <w:pStyle w:val="Compact"/>
              <w:jc w:val="left"/>
            </w:pPr>
            <w:r>
              <w:t xml:space="preserve">Plafonner à 299 $ ; ajouter un bloc de</w:t>
            </w:r>
          </w:p>
        </w:tc>
        <w:tc>
          <w:tcPr/>
          <w:p>
            <w:pPr>
              <w:pStyle w:val="Compact"/>
              <w:jc w:val="right"/>
            </w:pPr>
            <w:r>
              <w:t xml:space="preserve">60 chambres à 224 $ Le groupe couv</w:t>
            </w:r>
          </w:p>
        </w:tc>
        <w:tc>
          <w:tcPr/>
          <w:p>
            <w:pPr>
              <w:pStyle w:val="Compact"/>
            </w:pPr>
            <w:r>
              <w:t xml:space="preserve">re les quatre nuits Ventes corpora</w:t>
            </w:r>
          </w:p>
        </w:tc>
        <w:tc>
          <w:tcPr/>
          <w:p>
            <w:pPr>
              <w:pStyle w:val="Compact"/>
              <w:jc w:val="left"/>
            </w:pPr>
            <w:r>
              <w:t xml:space="preserve">tives ; publicité normale Le bloc pourrait rétrécir ou déplacer des clients à tarif plus élevé</w:t>
            </w:r>
          </w:p>
        </w:tc>
      </w:tr>
      <w:tr>
        <w:tc>
          <w:tcPr/>
          <w:p>
            <w:pPr>
              <w:pStyle w:val="Compact"/>
              <w:jc w:val="left"/>
            </w:pPr>
            <w:r>
              <w:t xml:space="preserve">C. Tester et adapter</w:t>
            </w:r>
          </w:p>
        </w:tc>
        <w:tc>
          <w:tcPr/>
          <w:p>
            <w:pPr>
              <w:pStyle w:val="Compact"/>
              <w:jc w:val="left"/>
            </w:pPr>
            <w:r>
              <w:t xml:space="preserve">Utiliser une fourchette de 299–319 $ se</w:t>
            </w:r>
          </w:p>
        </w:tc>
        <w:tc>
          <w:tcPr/>
          <w:p>
            <w:pPr>
              <w:pStyle w:val="Compact"/>
              <w:jc w:val="right"/>
            </w:pPr>
            <w:r>
              <w:t xml:space="preserve">lon le marché Tester</w:t>
            </w:r>
          </w:p>
        </w:tc>
        <w:tc>
          <w:tcPr/>
          <w:p>
            <w:pPr>
              <w:pStyle w:val="Compact"/>
            </w:pPr>
            <w:r>
              <w:t xml:space="preserve">des forfaits et variantes de page web Men</w:t>
            </w:r>
          </w:p>
        </w:tc>
        <w:tc>
          <w:tcPr/>
          <w:p>
            <w:pPr>
              <w:pStyle w:val="Compact"/>
              <w:jc w:val="left"/>
            </w:pPr>
            <w:r>
              <w:t xml:space="preserve">er des expériences contrôlées par canal L’apprentissage peut être coûteux et les résultats peuvent arriver tard</w:t>
            </w:r>
          </w:p>
        </w:tc>
      </w:tr>
      <w:tr>
        <w:tc>
          <w:tcPr/>
          <w:p>
            <w:pPr>
              <w:pStyle w:val="Compact"/>
              <w:jc w:val="left"/>
            </w:pPr>
            <w:r>
              <w:t xml:space="preserve">D. Remplir tôt</w:t>
            </w:r>
          </w:p>
        </w:tc>
        <w:tc>
          <w:tcPr/>
          <w:p>
            <w:pPr>
              <w:pStyle w:val="Compact"/>
              <w:jc w:val="left"/>
            </w:pPr>
            <w:r>
              <w:t xml:space="preserve">Maintenir 279–289 $ ; élargir les rédu</w:t>
            </w:r>
          </w:p>
        </w:tc>
        <w:tc>
          <w:tcPr/>
          <w:p>
            <w:pPr>
              <w:pStyle w:val="Compact"/>
              <w:jc w:val="right"/>
            </w:pPr>
            <w:r>
              <w:t xml:space="preserve">ctions Offres agressives diman</w:t>
            </w:r>
          </w:p>
        </w:tc>
        <w:tc>
          <w:tcPr/>
          <w:p>
            <w:pPr>
              <w:pStyle w:val="Compact"/>
            </w:pPr>
            <w:r>
              <w:t xml:space="preserve">che/jeudi Distribution large OTA et rése</w:t>
            </w:r>
          </w:p>
        </w:tc>
        <w:tc>
          <w:tcPr/>
          <w:p>
            <w:pPr>
              <w:pStyle w:val="Compact"/>
              <w:jc w:val="left"/>
            </w:pPr>
            <w:r>
              <w:t xml:space="preserve">aux sociaux L’hôtel pourrait vendre des chambres rares trop bon marché</w:t>
            </w:r>
          </w:p>
        </w:tc>
      </w:tr>
    </w:tbl>
    <w:bookmarkEnd w:id="17"/>
    <w:bookmarkEnd w:id="18"/>
    <w:bookmarkStart w:id="20" w:name="les-limites-de-la-prévision"/>
    <w:p>
      <w:pPr>
        <w:pStyle w:val="Heading1"/>
      </w:pPr>
      <w:r>
        <w:t xml:space="preserve">Les Limites de la Prévision</w:t>
      </w:r>
    </w:p>
    <w:p>
      <w:pPr>
        <w:pStyle w:val="FirstParagraph"/>
      </w:pPr>
      <w:r>
        <w:t xml:space="preserve">L’équipe de prévision a généré trois scénarios. Dans le scénario de forte demande, les inscriptions à la conférence dépassaient les attentes, la rénovation de l’hôtel concurrent retirait des chambres du marché, et la demande corporative tardive était robuste. Dans le scénario de faible demande, la conférence déplaçait certaines sessions en ligne, le concurrent rouvrait son inventaire complet, et les voyageurs raccourcissaient leurs séjours. Le scénario médian supposait que les réservations suivaient les schémas récents, mais les annulations restaient l’élément le plus difficile à estimer.</w:t>
      </w:r>
    </w:p>
    <w:bookmarkStart w:id="19" w:name="X8407b389d487981cedc4092e2e8142d19995cd7"/>
    <w:p>
      <w:pPr>
        <w:pStyle w:val="Heading2"/>
      </w:pPr>
      <w:r>
        <w:t xml:space="preserve">Exhibit 5. Estimations de Scénarios pour la Période de Conférence</w:t>
      </w:r>
    </w:p>
    <w:tbl>
      <w:tblPr>
        <w:tblStyle w:val="Table"/>
        <w:tblW w:type="pct" w:w="4947"/>
        <w:tblLayout w:type="fixed"/>
        <w:tblLook w:firstRow="1" w:lastRow="0" w:firstColumn="0" w:lastColumn="0" w:noHBand="0" w:noVBand="0" w:val="0020"/>
      </w:tblPr>
      <w:tblGrid>
        <w:gridCol w:w="625"/>
        <w:gridCol w:w="1417"/>
        <w:gridCol w:w="1458"/>
        <w:gridCol w:w="1250"/>
        <w:gridCol w:w="1250"/>
        <w:gridCol w:w="1834"/>
      </w:tblGrid>
      <w:tr>
        <w:trPr>
          <w:tblHeader w:val="on"/>
        </w:trPr>
        <w:tc>
          <w:tcPr/>
          <w:p>
            <w:pPr>
              <w:pStyle w:val="Compact"/>
              <w:jc w:val="left"/>
            </w:pPr>
            <w:r>
              <w:rPr>
                <w:b/>
                <w:bCs/>
              </w:rPr>
              <w:t xml:space="preserve">Scénario</w:t>
            </w:r>
          </w:p>
        </w:tc>
        <w:tc>
          <w:tcPr/>
          <w:p>
            <w:pPr>
              <w:pStyle w:val="Compact"/>
            </w:pPr>
            <w:r>
              <w:t xml:space="preserve">**Probabilité utilisée en interne*</w:t>
            </w:r>
          </w:p>
        </w:tc>
        <w:tc>
          <w:tcPr/>
          <w:p>
            <w:pPr>
              <w:pStyle w:val="Compact"/>
            </w:pPr>
            <w:r>
              <w:t xml:space="preserve">* **Demandes potentielles de cham</w:t>
            </w:r>
          </w:p>
        </w:tc>
        <w:tc>
          <w:tcPr/>
          <w:p>
            <w:pPr>
              <w:pStyle w:val="Compact"/>
            </w:pPr>
            <w:r>
              <w:t xml:space="preserve">bres** **Annulations estimée</w:t>
            </w:r>
          </w:p>
        </w:tc>
        <w:tc>
          <w:tcPr/>
          <w:p>
            <w:pPr>
              <w:pStyle w:val="Compact"/>
            </w:pPr>
            <w:r>
              <w:t xml:space="preserve">s** **Tarif de pointe probab</w:t>
            </w:r>
          </w:p>
        </w:tc>
        <w:tc>
          <w:tcPr/>
          <w:p>
            <w:pPr>
              <w:pStyle w:val="Compact"/>
              <w:jc w:val="left"/>
            </w:pPr>
            <w:r>
              <w:t xml:space="preserve">le du marché**</w:t>
            </w:r>
            <w:r>
              <w:t xml:space="preserve"> </w:t>
            </w:r>
            <w:r>
              <w:rPr>
                <w:b/>
                <w:bCs/>
              </w:rPr>
              <w:t xml:space="preserve">Interprétation</w:t>
            </w:r>
          </w:p>
        </w:tc>
      </w:tr>
      <w:tr>
        <w:tc>
          <w:tcPr/>
          <w:p>
            <w:pPr>
              <w:pStyle w:val="Compact"/>
              <w:jc w:val="left"/>
            </w:pPr>
            <w:r>
              <w:t xml:space="preserve">Faible</w:t>
            </w:r>
          </w:p>
        </w:tc>
        <w:tc>
          <w:tcPr/>
          <w:p>
            <w:pPr>
              <w:pStyle w:val="Compact"/>
            </w:pPr>
            <w:r>
              <w:t xml:space="preserve">25 %</w:t>
            </w:r>
          </w:p>
        </w:tc>
        <w:tc>
          <w:tcPr/>
          <w:p>
            <w:pPr>
              <w:pStyle w:val="Compact"/>
            </w:pPr>
            <w:r>
              <w:t xml:space="preserve">760</w:t>
            </w:r>
          </w:p>
        </w:tc>
        <w:tc>
          <w:tcPr/>
          <w:p>
            <w:pPr>
              <w:pStyle w:val="Compact"/>
            </w:pPr>
            <w:r>
              <w:t xml:space="preserve">115–145</w:t>
            </w:r>
          </w:p>
        </w:tc>
        <w:tc>
          <w:tcPr/>
          <w:p>
            <w:pPr>
              <w:pStyle w:val="Compact"/>
            </w:pPr>
            <w:r>
              <w:t xml:space="preserve">245–285 $</w:t>
            </w:r>
          </w:p>
        </w:tc>
        <w:tc>
          <w:tcPr/>
          <w:p>
            <w:pPr>
              <w:pStyle w:val="Compact"/>
              <w:jc w:val="left"/>
            </w:pPr>
            <w:r>
              <w:t xml:space="preserve">Risque substantiel de nuits d’appoint vides</w:t>
            </w:r>
          </w:p>
        </w:tc>
      </w:tr>
      <w:tr>
        <w:tc>
          <w:tcPr/>
          <w:p>
            <w:pPr>
              <w:pStyle w:val="Compact"/>
              <w:jc w:val="left"/>
            </w:pPr>
            <w:r>
              <w:t xml:space="preserve">Attendu 5</w:t>
            </w:r>
          </w:p>
        </w:tc>
        <w:tc>
          <w:tcPr/>
          <w:p>
            <w:pPr>
              <w:pStyle w:val="Compact"/>
            </w:pPr>
            <w:r>
              <w:t xml:space="preserve">0 %</w:t>
            </w:r>
          </w:p>
        </w:tc>
        <w:tc>
          <w:tcPr/>
          <w:p>
            <w:pPr>
              <w:pStyle w:val="Compact"/>
            </w:pPr>
            <w:r>
              <w:t xml:space="preserve">915</w:t>
            </w:r>
          </w:p>
        </w:tc>
        <w:tc>
          <w:tcPr/>
          <w:p>
            <w:pPr>
              <w:pStyle w:val="Compact"/>
            </w:pPr>
            <w:r>
              <w:t xml:space="preserve">130–170</w:t>
            </w:r>
          </w:p>
        </w:tc>
        <w:tc>
          <w:tcPr/>
          <w:p>
            <w:pPr>
              <w:pStyle w:val="Compact"/>
            </w:pPr>
            <w:r>
              <w:t xml:space="preserve">285–325 $ P</w:t>
            </w:r>
          </w:p>
        </w:tc>
        <w:tc>
          <w:tcPr/>
          <w:p>
            <w:pPr>
              <w:pStyle w:val="Compact"/>
              <w:jc w:val="left"/>
            </w:pPr>
            <w:r>
              <w:t xml:space="preserve">resque complet le mardi et le mercredi</w:t>
            </w:r>
          </w:p>
        </w:tc>
      </w:tr>
      <w:tr>
        <w:tc>
          <w:tcPr/>
          <w:p>
            <w:pPr>
              <w:pStyle w:val="Compact"/>
              <w:jc w:val="left"/>
            </w:pPr>
            <w:r>
              <w:t xml:space="preserve">Forte</w:t>
            </w:r>
          </w:p>
        </w:tc>
        <w:tc>
          <w:tcPr/>
          <w:p>
            <w:pPr>
              <w:pStyle w:val="Compact"/>
            </w:pPr>
            <w:r>
              <w:t xml:space="preserve">25 %</w:t>
            </w:r>
          </w:p>
        </w:tc>
        <w:tc>
          <w:tcPr/>
          <w:p>
            <w:pPr>
              <w:pStyle w:val="Compact"/>
            </w:pPr>
            <w:r>
              <w:t xml:space="preserve">1 080</w:t>
            </w:r>
          </w:p>
        </w:tc>
        <w:tc>
          <w:tcPr/>
          <w:p>
            <w:pPr>
              <w:pStyle w:val="Compact"/>
            </w:pPr>
            <w:r>
              <w:t xml:space="preserve">145–195</w:t>
            </w:r>
          </w:p>
        </w:tc>
        <w:tc>
          <w:tcPr/>
          <w:p>
            <w:pPr>
              <w:pStyle w:val="Compact"/>
            </w:pPr>
            <w:r>
              <w:t xml:space="preserve">335–425 $</w:t>
            </w:r>
          </w:p>
        </w:tc>
        <w:tc>
          <w:tcPr/>
          <w:p>
            <w:pPr>
              <w:pStyle w:val="Compact"/>
              <w:jc w:val="left"/>
            </w:pPr>
            <w:r>
              <w:t xml:space="preserve">La demande tardive pourrait dépasser les chambres restantes</w:t>
            </w:r>
          </w:p>
        </w:tc>
      </w:tr>
    </w:tbl>
    <w:p>
      <w:pPr>
        <w:pStyle w:val="BodyText"/>
      </w:pPr>
      <w:r>
        <w:t xml:space="preserve">Personne ne croyait que les probabilités des scénarios étaient précises. Les tarifs des concurrents pouvaient changer en quelques heures. Les inscriptions à la conférence pouvaient s’accélérer après l’annonce d’un conférencier vedette. Une tempête pouvait perturber les vols. Un client corporatif important pourrait annuler, tandis qu’une perturbation aérienne pourrait créer une demande inattendue. Les propres actions de l’hôtel modifieraient également la réponse du marché : des prix plus élevés pourraient réduire les réservations, la publicité pourrait attirer des clients supplémentaires, et un forfait pourrait déplacer la demande d’une date à une autre.</w:t>
      </w:r>
    </w:p>
    <w:p>
      <w:pPr>
        <w:pStyle w:val="BodyText"/>
      </w:pPr>
      <w:r>
        <w:t xml:space="preserve">Marquez devait également tenir compte de l’exécution. Les employés de la réception avaient eu du mal à expliquer des règles tarifaires de plus en plus complexes. Le restaurant ne pouvait servir confortablement que 180 petits-déjeuners entre 7 h et 9 h. Le garage disposait de 196 places. Le service d’entretien ménager s’appuyait sur du personnel contractuel pendant les périodes de complet remplissage, et un schéma comprimé de séjours d’une nuit augmentait les coûts de nettoyage. Vendre la dernière chambre n’était pas nécessairement attrayant si la qualité du service se dégradait et que les avis en ligne en souffraient.</w:t>
      </w:r>
    </w:p>
    <w:bookmarkEnd w:id="19"/>
    <w:bookmarkEnd w:id="20"/>
    <w:bookmarkStart w:id="21" w:name="la-réunion-de-midi"/>
    <w:p>
      <w:pPr>
        <w:pStyle w:val="Heading1"/>
      </w:pPr>
      <w:r>
        <w:t xml:space="preserve">La Réunion de Midi</w:t>
      </w:r>
    </w:p>
    <w:p>
      <w:pPr>
        <w:pStyle w:val="FirstParagraph"/>
      </w:pPr>
      <w:r>
        <w:t xml:space="preserve">À 11 h 40, Marquez résumait le choix pour la représentante de la propriété. L’hôtel pouvait engager des chambres maintenant, préserver des chambres pour des clients susceptibles d’arriver plus tard, ajuster les prix de façon répétée à mesure que de nouvelles réservations apparaissaient, dépenser davantage pour influencer quels clients voyaient l’hôtel, ou utiliser les semaines à venir pour en apprendre davantage sur le comportement des clients. Chaque action affectait non seulement le revenu des chambres mais aussi les commissions, les coûts de service, les dépenses accessoires, les annulations, la satisfaction des clients, et la capacité à accepter des réservations futures.</w:t>
      </w:r>
    </w:p>
    <w:p>
      <w:pPr>
        <w:pStyle w:val="BodyText"/>
      </w:pPr>
      <w:r>
        <w:t xml:space="preserve">La représentante de la propriété posa une question trompeusement simple : « Quelles chambres devrions-nous vendre aujourd’hui, à quel prix, par quel canal, et avec quelle promesse associée ? » Marquez regarda à nouveau le rapport de réservation. Il lui restait vingt minutes avant que la mise à jour des tarifs ne soit programmée pour être mise en ligne.</w:t>
      </w:r>
    </w:p>
    <w:bookmarkEnd w:id="21"/>
    <w:bookmarkStart w:id="22" w:name="questions-de-discussion"/>
    <w:p>
      <w:pPr>
        <w:pStyle w:val="Heading1"/>
      </w:pPr>
      <w:r>
        <w:t xml:space="preserve">Questions de Discussion</w:t>
      </w:r>
    </w:p>
    <w:p>
      <w:pPr>
        <w:numPr>
          <w:ilvl w:val="0"/>
          <w:numId w:val="1001"/>
        </w:numPr>
      </w:pPr>
      <w:r>
        <w:t xml:space="preserve">Comment l’Harborview devrait-il définir un résultat réussi pour la période de huit semaines ?</w:t>
      </w:r>
    </w:p>
    <w:p>
      <w:pPr>
        <w:numPr>
          <w:ilvl w:val="0"/>
          <w:numId w:val="1001"/>
        </w:numPr>
      </w:pPr>
      <w:r>
        <w:t xml:space="preserve">Quelles dates de séjour nécessitent le plus d’attention de gestion, et pourquoi ?</w:t>
      </w:r>
    </w:p>
    <w:p>
      <w:pPr>
        <w:numPr>
          <w:ilvl w:val="0"/>
          <w:numId w:val="1001"/>
        </w:numPr>
      </w:pPr>
      <w:r>
        <w:t xml:space="preserve">Quels sont les avantages et les inconvénients d’accepter le bloc corporatif proposé ?</w:t>
      </w:r>
    </w:p>
    <w:p>
      <w:pPr>
        <w:numPr>
          <w:ilvl w:val="0"/>
          <w:numId w:val="1001"/>
        </w:numPr>
      </w:pPr>
      <w:r>
        <w:t xml:space="preserve">Comment l’hôtel devrait-il valoriser une chambre réservée pour un client futur potentiel ?</w:t>
      </w:r>
    </w:p>
    <w:p>
      <w:pPr>
        <w:numPr>
          <w:ilvl w:val="0"/>
          <w:numId w:val="1001"/>
        </w:numPr>
      </w:pPr>
      <w:r>
        <w:t xml:space="preserve">Comment le comportement d’annulation devrait-il influencer les tarifs, les restrictions et la disponibilité des canaux ?</w:t>
      </w:r>
    </w:p>
    <w:p>
      <w:pPr>
        <w:numPr>
          <w:ilvl w:val="0"/>
          <w:numId w:val="1001"/>
        </w:numPr>
      </w:pPr>
      <w:r>
        <w:t xml:space="preserve">Quels services devraient être regroupés avec les chambres, et quand un forfait pourrait-il détruire plutôt que créer de la valeur ?</w:t>
      </w:r>
    </w:p>
    <w:p>
      <w:pPr>
        <w:numPr>
          <w:ilvl w:val="0"/>
          <w:numId w:val="1001"/>
        </w:numPr>
      </w:pPr>
      <w:r>
        <w:t xml:space="preserve">Comment l’Harborview devrait-il répartir son budget publicitaire entre la recherche payante, les réseaux sociaux, les canaux directs, les agences de voyages en ligne et les ventes corporatives ?</w:t>
      </w:r>
    </w:p>
    <w:p>
      <w:pPr>
        <w:numPr>
          <w:ilvl w:val="0"/>
          <w:numId w:val="1001"/>
        </w:numPr>
      </w:pPr>
      <w:r>
        <w:t xml:space="preserve">Quelles informations seraient les plus précieuses avant midi, et quelles informations pourraient raisonnablement être apprises au cours des prochaines semaines ?</w:t>
      </w:r>
    </w:p>
    <w:p>
      <w:pPr>
        <w:numPr>
          <w:ilvl w:val="0"/>
          <w:numId w:val="1001"/>
        </w:numPr>
      </w:pPr>
      <w:r>
        <w:t xml:space="preserve">Mèneriez-vous les expériences de page web et de forfaits pendant la période de réservation de la conférence ? Expliquez la conception et les risques de l’expérience.</w:t>
      </w:r>
    </w:p>
    <w:p>
      <w:pPr>
        <w:numPr>
          <w:ilvl w:val="0"/>
          <w:numId w:val="1001"/>
        </w:numPr>
      </w:pPr>
      <w:r>
        <w:t xml:space="preserve">Quel plan Marquez devrait-elle approuver, et quelles observations futures devraient déclencher un changement de ce plan ?</w:t>
      </w:r>
    </w:p>
    <w:bookmarkEnd w:id="22"/>
    <w:bookmarkStart w:id="28" w:name="questions-de-cadrage-de-la-décision"/>
    <w:p>
      <w:pPr>
        <w:pStyle w:val="Heading1"/>
      </w:pPr>
      <w:r>
        <w:t xml:space="preserve">Questions de Cadrage de la Décision</w:t>
      </w:r>
    </w:p>
    <w:p>
      <w:pPr>
        <w:numPr>
          <w:ilvl w:val="0"/>
          <w:numId w:val="1002"/>
        </w:numPr>
      </w:pPr>
      <w:r>
        <w:t xml:space="preserve">Identifiez et décrivez les responsabilités du décideur. Cela devrait définir la portée du problème.</w:t>
      </w:r>
    </w:p>
    <w:p>
      <w:pPr>
        <w:numPr>
          <w:ilvl w:val="0"/>
          <w:numId w:val="1002"/>
        </w:numPr>
      </w:pPr>
      <w:r>
        <w:t xml:space="preserve">Utilisez l’</w:t>
      </w:r>
      <w:hyperlink r:id="rId23">
        <w:r>
          <w:rPr>
            <w:rStyle w:val="Hyperlink"/>
          </w:rPr>
          <w:t xml:space="preserve">outil de pyramide des métriques</w:t>
        </w:r>
      </w:hyperlink>
      <w:r>
        <w:t xml:space="preserve"> </w:t>
      </w:r>
      <w:r>
        <w:t xml:space="preserve">pour identifier et prioriser les différentes métriques de performance. Cliquez sur l’ovale contenant la métrique pour indiquer s’il s’agit d’une métrique à maximiser (vert), à minimiser (rouge), d’une cible qui est un plancher (vert clair) ou un plafond (rouge clair), ou enfin d’une cible (violet).</w:t>
      </w:r>
    </w:p>
    <w:p>
      <w:pPr>
        <w:numPr>
          <w:ilvl w:val="0"/>
          <w:numId w:val="1002"/>
        </w:numPr>
      </w:pPr>
      <w:r>
        <w:t xml:space="preserve">Utilisez l’</w:t>
      </w:r>
      <w:hyperlink r:id="rId24">
        <w:r>
          <w:rPr>
            <w:rStyle w:val="Hyperlink"/>
          </w:rPr>
          <w:t xml:space="preserve">outil de priorisation des décisions</w:t>
        </w:r>
      </w:hyperlink>
      <w:r>
        <w:t xml:space="preserve"> </w:t>
      </w:r>
      <w:r>
        <w:t xml:space="preserve">pour d’abord lister les différents types de décisions (utilisez les</w:t>
      </w:r>
      <w:r>
        <w:t xml:space="preserve"> </w:t>
      </w:r>
      <w:hyperlink r:id="rId25">
        <w:r>
          <w:rPr>
            <w:rStyle w:val="Hyperlink"/>
          </w:rPr>
          <w:t xml:space="preserve">types de décisions</w:t>
        </w:r>
      </w:hyperlink>
      <w:r>
        <w:t xml:space="preserve"> </w:t>
      </w:r>
      <w:r>
        <w:t xml:space="preserve">comme guide). Celles-ci alimenteront ensuite les lignes de la matrice à droite, où les colonnes sont les métriques de performance triées de gauche à droite selon la priorité dans la pyramide ci-dessus. Cliquez sur chaque cellule pour indiquer si l’impact de la décision sur chaque métrique est élevé (rouge), moyen (orange), faible (jaune) ou nul (blanc).</w:t>
      </w:r>
    </w:p>
    <w:p>
      <w:pPr>
        <w:numPr>
          <w:ilvl w:val="0"/>
          <w:numId w:val="1002"/>
        </w:numPr>
      </w:pPr>
      <w:r>
        <w:t xml:space="preserve">Vous pouvez saisir la poignée (trois barres) la plus à gauche de chaque ligne pour la déplacer vers le haut ou le bas. Triez les lignes de sorte que les décisions ayant le plus grand impact sur les métriques les plus importantes soient vers le haut. Les cellules du coin supérieur gauche devraient avoir la plus grande concentration de cellules rouges et orange. À ce stade, identifiez les décisions qui devraient recevoir le plus d’attention dans votre étude. Si vous n’avez aucune décision ayant un impact moyen ou élevé sur les métriques les plus importantes, révisez votre liste de décisions.</w:t>
      </w:r>
    </w:p>
    <w:p>
      <w:pPr>
        <w:numPr>
          <w:ilvl w:val="0"/>
          <w:numId w:val="1002"/>
        </w:numPr>
      </w:pPr>
      <w:r>
        <w:t xml:space="preserve">Répétez le processus pour lister et prioriser les incertitudes en utilisant l’</w:t>
      </w:r>
      <w:hyperlink r:id="rId26">
        <w:r>
          <w:rPr>
            <w:rStyle w:val="Hyperlink"/>
          </w:rPr>
          <w:t xml:space="preserve">outil de priorisation des incertitudes</w:t>
        </w:r>
      </w:hyperlink>
      <w:r>
        <w:t xml:space="preserve">. Utilisez les</w:t>
      </w:r>
      <w:r>
        <w:t xml:space="preserve"> </w:t>
      </w:r>
      <w:hyperlink r:id="rId27">
        <w:r>
          <w:rPr>
            <w:rStyle w:val="Hyperlink"/>
          </w:rPr>
          <w:t xml:space="preserve">catégories d’incertitude</w:t>
        </w:r>
      </w:hyperlink>
      <w:r>
        <w:t xml:space="preserve"> </w:t>
      </w:r>
      <w:r>
        <w:t xml:space="preserve">pour vous aider à les identifier.</w:t>
      </w:r>
    </w:p>
    <w:p>
      <w:pPr>
        <w:numPr>
          <w:ilvl w:val="0"/>
          <w:numId w:val="1002"/>
        </w:numPr>
      </w:pPr>
      <w:r>
        <w:t xml:space="preserve">Il est important de différencier les incertitudes qui peuvent être évaluées en moyenne, ou comme des événements de risque :</w:t>
      </w:r>
    </w:p>
    <w:p>
      <w:pPr>
        <w:numPr>
          <w:ilvl w:val="1"/>
          <w:numId w:val="1003"/>
        </w:numPr>
      </w:pPr>
      <w:r>
        <w:t xml:space="preserve">Quelles sources d’incertitude seraient captées en utilisant la performance moyenne dans le temps ?</w:t>
      </w:r>
    </w:p>
    <w:p>
      <w:pPr>
        <w:numPr>
          <w:ilvl w:val="1"/>
          <w:numId w:val="1003"/>
        </w:numPr>
      </w:pPr>
      <w:r>
        <w:t xml:space="preserve">Quelles sources d’incertitude représentent des formes de risque qui ne sont pas correctement captées en utilisant des moyennes ?</w:t>
      </w:r>
    </w:p>
    <w:p>
      <w:pPr>
        <w:numPr>
          <w:ilvl w:val="0"/>
          <w:numId w:val="1002"/>
        </w:numPr>
      </w:pPr>
      <w:r>
        <w:t xml:space="preserve">Choisissez la décision unique qui semble avoir l’impact le plus élevé sur la métrique la plus importante.</w:t>
      </w:r>
    </w:p>
    <w:p>
      <w:pPr>
        <w:numPr>
          <w:ilvl w:val="1"/>
          <w:numId w:val="1004"/>
        </w:numPr>
      </w:pPr>
      <w:r>
        <w:t xml:space="preserve">Quelle approche pensez-vous utiliser pour prendre cette décision ?</w:t>
      </w:r>
    </w:p>
    <w:p>
      <w:pPr>
        <w:numPr>
          <w:ilvl w:val="1"/>
          <w:numId w:val="1004"/>
        </w:numPr>
      </w:pPr>
      <w:r>
        <w:t xml:space="preserve">Quelles données semblent nécessaires pour prendre cette décision, y compris le calcul de toute métrique de performance pour laquelle la décision aurait un impact élevé ou moyen.</w:t>
      </w:r>
    </w:p>
    <w:p>
      <w:pPr>
        <w:numPr>
          <w:ilvl w:val="0"/>
          <w:numId w:val="1002"/>
        </w:numPr>
      </w:pPr>
      <w:r>
        <w:t xml:space="preserve">En utilisant la même décision que celle identifiée en (7), identifiez les personnes, départements, groupes ou organisations avec lesquels vous devriez travailler pour mettre en œuvre la décision.</w:t>
      </w:r>
    </w:p>
    <w:bookmarkEnd w:id="28"/>
    <w:bookmarkStart w:id="29" w:name="note-sur-les-données-et-les-sources"/>
    <w:p>
      <w:pPr>
        <w:pStyle w:val="Heading1"/>
      </w:pPr>
      <w:r>
        <w:t xml:space="preserve">Note sur les Données et les Sources</w:t>
      </w:r>
    </w:p>
    <w:p>
      <w:pPr>
        <w:pStyle w:val="FirstParagraph"/>
      </w:pPr>
      <w:r>
        <w:t xml:space="preserve">Toutes les entreprises, personnes, événements, dossiers de réservation, chiffres financiers et alternatives opérationnelles de ce cas sont fictifs. Le contexte sectoriel a été informé par Warren B. Powell,</w:t>
      </w:r>
      <w:r>
        <w:t xml:space="preserve"> </w:t>
      </w:r>
      <w:r>
        <w:rPr>
          <w:i/>
          <w:iCs/>
        </w:rPr>
        <w:t xml:space="preserve">Bridging Decision Problems, Volume I</w:t>
      </w:r>
      <w:r>
        <w:t xml:space="preserve">, Chapitre 2, « Hotel Revenue Management » ; les rapports CoStar/STR sur le taux d’occupation, le tarif journalier moyen et le revenu par chambre disponible des hôtels américains en 2025 ; le rapport 2025 State of the Industry de l’American Hotel &amp; Lodging Association ; et des estimations publiées en 2025 sur les annulations par canal. Le cas est conçu pour la discussion et ne présente pas de solution privilégiée.</w:t>
      </w:r>
    </w:p>
    <w:bookmarkEnd w:id="29"/>
    <w:bookmarkStart w:id="32" w:name="notes-chatgpt"/>
    <w:p>
      <w:pPr>
        <w:pStyle w:val="Heading1"/>
      </w:pPr>
      <w:r>
        <w:t xml:space="preserve">Notes ChatGPT</w:t>
      </w:r>
    </w:p>
    <w:bookmarkStart w:id="30" w:name="invite"/>
    <w:p>
      <w:pPr>
        <w:pStyle w:val="Heading2"/>
      </w:pPr>
      <w:r>
        <w:t xml:space="preserve">Invite</w:t>
      </w:r>
    </w:p>
    <w:p>
      <w:pPr>
        <w:pStyle w:val="FirstParagraph"/>
      </w:pPr>
      <w:r>
        <w:t xml:space="preserve">Rédigez une étude de cas de 4 à 6 pages basée sur le matériel de la section à l’adresse https://warrenpowell.org/bridging-vol1/chapter-2/#hotel-revenue-management. Créez un contexte basé sur les métriques, décisions et incertitudes de la section, mais sans y attirer explicitement l’attention. Motivez votre problème de cas avec des données.</w:t>
      </w:r>
    </w:p>
    <w:bookmarkEnd w:id="30"/>
    <w:bookmarkStart w:id="31" w:name="résumé"/>
    <w:p>
      <w:pPr>
        <w:pStyle w:val="Heading2"/>
      </w:pPr>
      <w:r>
        <w:t xml:space="preserve">Résumé</w:t>
      </w:r>
    </w:p>
    <w:p>
      <w:pPr>
        <w:pStyle w:val="FirstParagraph"/>
      </w:pPr>
      <w:r>
        <w:t xml:space="preserve">Réservations anticipées sur un horizon de planification de huit semaines</w:t>
      </w:r>
    </w:p>
    <w:p>
      <w:pPr>
        <w:pStyle w:val="BodyText"/>
      </w:pPr>
      <w:r>
        <w:t xml:space="preserve">Tarification dynamique des chambres et restrictions de tarifs réduits</w:t>
      </w:r>
    </w:p>
    <w:p>
      <w:pPr>
        <w:pStyle w:val="BodyText"/>
      </w:pPr>
      <w:r>
        <w:t xml:space="preserve">Clients d’affaires, de loisirs, de conférence et de groupes</w:t>
      </w:r>
    </w:p>
    <w:p>
      <w:pPr>
        <w:pStyle w:val="BodyText"/>
      </w:pPr>
      <w:r>
        <w:t xml:space="preserve">Réservations directes, agences de voyages en ligne, ventes corporatives, recherche payante, réseaux sociaux et marketing de fidélité</w:t>
      </w:r>
    </w:p>
    <w:p>
      <w:pPr>
        <w:pStyle w:val="BodyText"/>
      </w:pPr>
      <w:r>
        <w:t xml:space="preserve">Forfaits de service incluant petit-déjeuner, stationnement, annulation flexible et espace de réunion</w:t>
      </w:r>
    </w:p>
    <w:p>
      <w:pPr>
        <w:pStyle w:val="BodyText"/>
      </w:pPr>
      <w:r>
        <w:t xml:space="preserve">Annulations de réservation, comportement des concurrents, fréquentation incertaine des événements et demande arrivant tardivement</w:t>
      </w:r>
    </w:p>
    <w:p>
      <w:pPr>
        <w:pStyle w:val="BodyText"/>
      </w:pPr>
      <w:r>
        <w:t xml:space="preserve">Cinq exhibits quantitatifs et dix questions de discussion</w:t>
      </w:r>
    </w:p>
    <w:p>
      <w:pPr>
        <w:pStyle w:val="BodyText"/>
      </w:pPr>
      <w:r>
        <w:t xml:space="preserve">Une décision de gestion non résolue sans solution privilégiée</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24" Target="https://warrenpowell.org/decision-framing-tool/#decision-prioritization-tool" TargetMode="External" /><Relationship Type="http://schemas.openxmlformats.org/officeDocument/2006/relationships/hyperlink" Id="rId23" Target="https://warrenpowell.org/decision-framing-tool/#metrics-pyramid-tool" TargetMode="External" /><Relationship Type="http://schemas.openxmlformats.org/officeDocument/2006/relationships/hyperlink" Id="rId26" Target="https://warrenpowell.org/decision-framing-tool/#uncertainty-prioritization-tool" TargetMode="External" /><Relationship Type="http://schemas.openxmlformats.org/officeDocument/2006/relationships/hyperlink" Id="rId25" Target="https://warrenpowell.org/decisionsdecisions/#types-of-decision-settings" TargetMode="External" /><Relationship Type="http://schemas.openxmlformats.org/officeDocument/2006/relationships/hyperlink" Id="rId27"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2026-09-11T15:44:15Z</dcterms:created>
  <dcterms:modified xsi:type="dcterms:W3CDTF">2026-09-11T15:44:15Z</dcterms:modified>
</cp:coreProperties>
</file>

<file path=docProps/custom.xml><?xml version="1.0" encoding="utf-8"?>
<Properties xmlns="http://schemas.openxmlformats.org/officeDocument/2006/custom-properties" xmlns:vt="http://schemas.openxmlformats.org/officeDocument/2006/docPropsVTypes"/>
</file>