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Hearthline Home</w:t>
      </w:r>
    </w:p>
    <w:p>
      <w:pPr>
        <w:pStyle w:val="BodyText"/>
      </w:pPr>
      <w:r>
        <w:t xml:space="preserve">Le problème d’équilibrage de la demande</w:t>
      </w:r>
    </w:p>
    <w:p>
      <w:pPr>
        <w:pStyle w:val="BodyText"/>
      </w:pPr>
      <w:r>
        <w:t xml:space="preserve">Une étude de cas sur l’assortiment, la tarification, la promotion, le marketing digital et la réponse client</w:t>
      </w:r>
    </w:p>
    <w:tbl>
      <w:tblPr>
        <w:tblStyle w:val="Table"/>
        <w:tblW w:type="auto" w:w="0"/>
        <w:tblLook w:firstRow="0" w:lastRow="0" w:firstColumn="0" w:lastColumn="0" w:noHBand="0" w:noVBand="0" w:val="0000"/>
      </w:tblPr>
      <w:tblGrid>
        <w:gridCol w:w="7920"/>
      </w:tblGrid>
      <w:tr>
        <w:tc>
          <w:tcPr/>
          <w:p>
            <w:pPr>
              <w:pStyle w:val="Compact"/>
            </w:pPr>
            <w:r>
              <w:t xml:space="preserve">En septembre 2026, un détaillant régional de meubles doit décider avec quelle intensité stimuler la demande avant la saison des fêtes—sans créer de ruptures de stock sur les styles populaires ni de démarques importantes sur des produits que les clients ne veulent plus.</w:t>
            </w:r>
          </w:p>
        </w:tc>
      </w:tr>
    </w:tbl>
    <w:p>
      <w:r>
        <w:pict>
          <v:rect style="width:0;height:1.5pt" o:hralign="center" o:hrstd="t" o:hr="t"/>
        </w:pict>
      </w:r>
    </w:p>
    <w:p>
      <w:pPr>
        <w:pStyle w:val="FirstParagraph"/>
      </w:pPr>
      <w:r>
        <w:t xml:space="preserve">Cette étude de cas est fictive et destinée à un usage pédagogique. Les noms, événements, fonds et chiffres internes sont inventés, bien que le contexte sectoriel s’inspire de données publiques.</w:t>
      </w:r>
    </w:p>
    <w:bookmarkStart w:id="9" w:name="la-réunion-du-lundi"/>
    <w:p>
      <w:pPr>
        <w:pStyle w:val="Heading1"/>
      </w:pPr>
      <w:r>
        <w:t xml:space="preserve">La réunion du lundi</w:t>
      </w:r>
    </w:p>
    <w:p>
      <w:pPr>
        <w:pStyle w:val="FirstParagraph"/>
      </w:pPr>
      <w:r>
        <w:t xml:space="preserve">À 8h10 le lundi matin, Elena Marquez, directrice commerciale de Hearthline Home, regardait le tableau de bord des ventes du week-end de l’entreprise s’actualiser pour la troisième fois. Le trafic sur le site web avait augmenté de 24 pour cent après une campagne payante sur les réseaux sociaux, mais les achats finalisés n’avaient augmenté que de 5 pour cent. En magasin, le nouveau canapé sectionnel modulable Solace se vendait plus vite que prévu dans deux marchés métropolitains, mais bougeait à peine ailleurs. Pendant ce temps, l’entreprise détenait près de quatre mois de stock d’une collection de salle à manger traditionnelle qui avait été prévue comme un succès saisonnier.</w:t>
      </w:r>
    </w:p>
    <w:p>
      <w:pPr>
        <w:pStyle w:val="BodyText"/>
      </w:pPr>
      <w:r>
        <w:t xml:space="preserve">Hearthline exploitait 31 magasins et un site de commerce électronique dans huit États du Midwest et du Mid-Atlantique. Elle vendait des canapés, des ensembles de chambre à coucher, des meubles de salle à manger, des pièces pour bureau à domicile et des accessoires. La plupart des produits rembourrés étaient assemblés localement à partir de structures et de tissus importés ; les meubles de type</w:t>
      </w:r>
      <w:r>
        <w:t xml:space="preserve"> </w:t>
      </w:r>
      <w:r>
        <w:t xml:space="preserve">“case goods”</w:t>
      </w:r>
      <w:r>
        <w:t xml:space="preserve"> </w:t>
      </w:r>
      <w:r>
        <w:t xml:space="preserve">provenaient principalement d’Asie et d’Europe. Le réapprovisionnement standard prenait de 10 à 18 semaines, et les commandes spéciales pouvaient prendre plus longtemps.</w:t>
      </w:r>
    </w:p>
    <w:p>
      <w:pPr>
        <w:pStyle w:val="BodyText"/>
      </w:pPr>
      <w:r>
        <w:t xml:space="preserve">Le comité exécutif avait approuvé un budget marketing et promotionnel de 6,8 millions de dollars pour les quatre derniers mois de l’année. Cet argent pouvait financer la télévision, la recherche payante, les réseaux sociaux, le publipostage, des événements locaux, des partenariats avec des influenceurs, des expériences de refonte du site web, ou des réductions de prix. Chaque choix pouvait modifier non seulement les ventes, mais aussi la composition des clients et des produits vendus. Marquez avait six jours pour recommander un plan.</w:t>
      </w:r>
    </w:p>
    <w:bookmarkEnd w:id="9"/>
    <w:bookmarkStart w:id="11" w:name="Xb8b80f49b794b7be884f047e4b753acf1d254b1"/>
    <w:p>
      <w:pPr>
        <w:pStyle w:val="Heading1"/>
      </w:pPr>
      <w:r>
        <w:t xml:space="preserve">Un marché qui refusait de se comporter normalement</w:t>
      </w:r>
    </w:p>
    <w:p>
      <w:pPr>
        <w:pStyle w:val="FirstParagraph"/>
      </w:pPr>
      <w:r>
        <w:t xml:space="preserve">La demande de meubles avait toujours été difficile à prévoir car les achats étaient importants, peu fréquents, et souvent liés à des événements de vie. Les achats immobiliers et les déménagements créaient des besoins d’ameublement, mais les clients reportaient également leurs achats lorsque les taux d’intérêt, l’inflation ou les perspectives d’emploi les rendaient prudents. Les préférences de style pouvaient évoluer rapidement après qu’un produit soit apparu dans une vidéo en ligne ou qu’un concurrent ait introduit un design similaire à un prix inférieur.</w:t>
      </w:r>
    </w:p>
    <w:p>
      <w:pPr>
        <w:pStyle w:val="BodyText"/>
      </w:pPr>
      <w:r>
        <w:t xml:space="preserve">Le tableau national n’apportait guère de réconfort à Hearthline. Les données du U.S. Census indiquaient que les ventes des magasins de meubles et d’articles d’ameublement en décembre 2025 étaient inférieures de 5,5 pour cent à celles de décembre 2024. Les ventes de maisons individuelles neuves ont totalisé environ 679 000 unités en 2025, légèrement en dessous de 2024. Dans le même temps, le commerce électronique continuait de représenter une part substantielle et croissante de l’activité de détail, les ventes de commerce électronique aux États-Unis au premier trimestre 2026 étant estimées à 326,7 milliards de dollars. Ces statistiques suggéraient un marché vaste, mais pas prévisible.</w:t>
      </w:r>
    </w:p>
    <w:bookmarkStart w:id="10" w:name="X197700efac7d6d1393034a4a60018c047152578"/>
    <w:p>
      <w:pPr>
        <w:pStyle w:val="Heading2"/>
      </w:pPr>
      <w:r>
        <w:t xml:space="preserve">Tableau 1. Performance de Hearthline, janvier–août 2026</w:t>
      </w:r>
    </w:p>
    <w:tbl>
      <w:tblPr>
        <w:tblStyle w:val="Table"/>
        <w:tblW w:type="pct" w:w="4870"/>
        <w:tblLayout w:type="fixed"/>
        <w:tblLook w:firstRow="1" w:lastRow="0" w:firstColumn="0" w:lastColumn="0" w:noHBand="0" w:noVBand="0" w:val="0020"/>
      </w:tblPr>
      <w:tblGrid>
        <w:gridCol w:w="2674"/>
        <w:gridCol w:w="1851"/>
        <w:gridCol w:w="1851"/>
        <w:gridCol w:w="1337"/>
      </w:tblGrid>
      <w:tr>
        <w:trPr>
          <w:tblHeader w:val="on"/>
        </w:trPr>
        <w:tc>
          <w:tcPr/>
          <w:p>
            <w:pPr>
              <w:pStyle w:val="Compact"/>
              <w:jc w:val="left"/>
            </w:pPr>
            <w:r>
              <w:t xml:space="preserve">Mesure</w:t>
            </w:r>
          </w:p>
        </w:tc>
        <w:tc>
          <w:tcPr/>
          <w:p>
            <w:pPr>
              <w:pStyle w:val="Compact"/>
              <w:jc w:val="center"/>
            </w:pPr>
            <w:r>
              <w:t xml:space="preserve">Comparable 2025</w:t>
            </w:r>
          </w:p>
        </w:tc>
        <w:tc>
          <w:tcPr/>
          <w:p>
            <w:pPr>
              <w:pStyle w:val="Compact"/>
              <w:jc w:val="center"/>
            </w:pPr>
            <w:r>
              <w:t xml:space="preserve">Réel 2026</w:t>
            </w:r>
          </w:p>
        </w:tc>
        <w:tc>
          <w:tcPr/>
          <w:p>
            <w:pPr>
              <w:pStyle w:val="Compact"/>
              <w:jc w:val="center"/>
            </w:pPr>
            <w:r>
              <w:t xml:space="preserve">Variation</w:t>
            </w:r>
          </w:p>
        </w:tc>
      </w:tr>
      <w:tr>
        <w:tc>
          <w:tcPr/>
          <w:p>
            <w:pPr>
              <w:pStyle w:val="Compact"/>
              <w:jc w:val="left"/>
            </w:pPr>
            <w:r>
              <w:t xml:space="preserve">Ventes nettes</w:t>
            </w:r>
          </w:p>
        </w:tc>
        <w:tc>
          <w:tcPr/>
          <w:p>
            <w:pPr>
              <w:pStyle w:val="Compact"/>
              <w:jc w:val="center"/>
            </w:pPr>
            <w:r>
              <w:t xml:space="preserve">286,4 M$</w:t>
            </w:r>
          </w:p>
        </w:tc>
        <w:tc>
          <w:tcPr/>
          <w:p>
            <w:pPr>
              <w:pStyle w:val="Compact"/>
              <w:jc w:val="center"/>
            </w:pPr>
            <w:r>
              <w:t xml:space="preserve">279,1 M$</w:t>
            </w:r>
          </w:p>
        </w:tc>
        <w:tc>
          <w:tcPr/>
          <w:p>
            <w:pPr>
              <w:pStyle w:val="Compact"/>
              <w:jc w:val="center"/>
            </w:pPr>
            <w:r>
              <w:t xml:space="preserve">–2,5%</w:t>
            </w:r>
          </w:p>
        </w:tc>
      </w:tr>
      <w:tr>
        <w:tc>
          <w:tcPr/>
          <w:p>
            <w:pPr>
              <w:pStyle w:val="Compact"/>
              <w:jc w:val="left"/>
            </w:pPr>
            <w:r>
              <w:t xml:space="preserve">Marge brute</w:t>
            </w:r>
          </w:p>
        </w:tc>
        <w:tc>
          <w:tcPr/>
          <w:p>
            <w:pPr>
              <w:pStyle w:val="Compact"/>
              <w:jc w:val="center"/>
            </w:pPr>
            <w:r>
              <w:t xml:space="preserve">46,1%</w:t>
            </w:r>
          </w:p>
        </w:tc>
        <w:tc>
          <w:tcPr/>
          <w:p>
            <w:pPr>
              <w:pStyle w:val="Compact"/>
              <w:jc w:val="center"/>
            </w:pPr>
            <w:r>
              <w:t xml:space="preserve">43,8%</w:t>
            </w:r>
          </w:p>
        </w:tc>
        <w:tc>
          <w:tcPr/>
          <w:p>
            <w:pPr>
              <w:pStyle w:val="Compact"/>
              <w:jc w:val="center"/>
            </w:pPr>
            <w:r>
              <w:t xml:space="preserve">–2,3 pts</w:t>
            </w:r>
          </w:p>
        </w:tc>
      </w:tr>
      <w:tr>
        <w:tc>
          <w:tcPr/>
          <w:p>
            <w:pPr>
              <w:pStyle w:val="Compact"/>
              <w:jc w:val="left"/>
            </w:pPr>
            <w:r>
              <w:t xml:space="preserve">Valeur moyenne de commande</w:t>
            </w:r>
          </w:p>
        </w:tc>
        <w:tc>
          <w:tcPr/>
          <w:p>
            <w:pPr>
              <w:pStyle w:val="Compact"/>
              <w:jc w:val="center"/>
            </w:pPr>
            <w:r>
              <w:t xml:space="preserve">1 486 $</w:t>
            </w:r>
          </w:p>
        </w:tc>
        <w:tc>
          <w:tcPr/>
          <w:p>
            <w:pPr>
              <w:pStyle w:val="Compact"/>
              <w:jc w:val="center"/>
            </w:pPr>
            <w:r>
              <w:t xml:space="preserve">1 552 $</w:t>
            </w:r>
          </w:p>
        </w:tc>
        <w:tc>
          <w:tcPr/>
          <w:p>
            <w:pPr>
              <w:pStyle w:val="Compact"/>
              <w:jc w:val="center"/>
            </w:pPr>
            <w:r>
              <w:t xml:space="preserve">+4,4%</w:t>
            </w:r>
          </w:p>
        </w:tc>
      </w:tr>
      <w:tr>
        <w:tc>
          <w:tcPr/>
          <w:p>
            <w:pPr>
              <w:pStyle w:val="Compact"/>
              <w:jc w:val="left"/>
            </w:pPr>
            <w:r>
              <w:t xml:space="preserve">Taux de conversion en maga</w:t>
            </w:r>
          </w:p>
        </w:tc>
        <w:tc>
          <w:tcPr/>
          <w:p>
            <w:pPr>
              <w:pStyle w:val="Compact"/>
              <w:jc w:val="center"/>
            </w:pPr>
            <w:r>
              <w:t xml:space="preserve">sin 22,8%</w:t>
            </w:r>
          </w:p>
        </w:tc>
        <w:tc>
          <w:tcPr/>
          <w:p>
            <w:pPr>
              <w:pStyle w:val="Compact"/>
              <w:jc w:val="center"/>
            </w:pPr>
            <w:r>
              <w:t xml:space="preserve">20,6%</w:t>
            </w:r>
          </w:p>
        </w:tc>
        <w:tc>
          <w:tcPr/>
          <w:p>
            <w:pPr>
              <w:pStyle w:val="Compact"/>
              <w:jc w:val="center"/>
            </w:pPr>
            <w:r>
              <w:t xml:space="preserve">–2,2 pts</w:t>
            </w:r>
          </w:p>
        </w:tc>
      </w:tr>
      <w:tr>
        <w:tc>
          <w:tcPr/>
          <w:p>
            <w:pPr>
              <w:pStyle w:val="Compact"/>
              <w:jc w:val="left"/>
            </w:pPr>
            <w:r>
              <w:t xml:space="preserve">Taux de conversion du site</w:t>
            </w:r>
          </w:p>
        </w:tc>
        <w:tc>
          <w:tcPr/>
          <w:p>
            <w:pPr>
              <w:pStyle w:val="Compact"/>
              <w:jc w:val="center"/>
            </w:pPr>
            <w:r>
              <w:t xml:space="preserve">web 1,82%</w:t>
            </w:r>
          </w:p>
        </w:tc>
        <w:tc>
          <w:tcPr/>
          <w:p>
            <w:pPr>
              <w:pStyle w:val="Compact"/>
              <w:jc w:val="center"/>
            </w:pPr>
            <w:r>
              <w:t xml:space="preserve">1,54%</w:t>
            </w:r>
          </w:p>
        </w:tc>
        <w:tc>
          <w:tcPr/>
          <w:p>
            <w:pPr>
              <w:pStyle w:val="Compact"/>
              <w:jc w:val="center"/>
            </w:pPr>
            <w:r>
              <w:t xml:space="preserve">–0,28 pts</w:t>
            </w:r>
          </w:p>
        </w:tc>
      </w:tr>
      <w:tr>
        <w:tc>
          <w:tcPr/>
          <w:p>
            <w:pPr>
              <w:pStyle w:val="Compact"/>
              <w:jc w:val="left"/>
            </w:pPr>
            <w:r>
              <w:t xml:space="preserve">Commandes livrées en retar</w:t>
            </w:r>
          </w:p>
        </w:tc>
        <w:tc>
          <w:tcPr/>
          <w:p>
            <w:pPr>
              <w:pStyle w:val="Compact"/>
              <w:jc w:val="center"/>
            </w:pPr>
            <w:r>
              <w:t xml:space="preserve">d 8,7%</w:t>
            </w:r>
          </w:p>
        </w:tc>
        <w:tc>
          <w:tcPr/>
          <w:p>
            <w:pPr>
              <w:pStyle w:val="Compact"/>
              <w:jc w:val="center"/>
            </w:pPr>
            <w:r>
              <w:t xml:space="preserve">13,9%</w:t>
            </w:r>
          </w:p>
        </w:tc>
        <w:tc>
          <w:tcPr/>
          <w:p>
            <w:pPr>
              <w:pStyle w:val="Compact"/>
              <w:jc w:val="center"/>
            </w:pPr>
            <w:r>
              <w:t xml:space="preserve">+5,2 pts</w:t>
            </w:r>
          </w:p>
        </w:tc>
      </w:tr>
      <w:tr>
        <w:tc>
          <w:tcPr/>
          <w:p>
            <w:pPr>
              <w:pStyle w:val="Compact"/>
              <w:jc w:val="left"/>
            </w:pPr>
            <w:r>
              <w:t xml:space="preserve">Stock au coût</w:t>
            </w:r>
          </w:p>
        </w:tc>
        <w:tc>
          <w:tcPr/>
          <w:p>
            <w:pPr>
              <w:pStyle w:val="Compact"/>
              <w:jc w:val="center"/>
            </w:pPr>
            <w:r>
              <w:t xml:space="preserve">82,6 M$</w:t>
            </w:r>
          </w:p>
        </w:tc>
        <w:tc>
          <w:tcPr/>
          <w:p>
            <w:pPr>
              <w:pStyle w:val="Compact"/>
              <w:jc w:val="center"/>
            </w:pPr>
            <w:r>
              <w:t xml:space="preserve">103,4 M$</w:t>
            </w:r>
          </w:p>
        </w:tc>
        <w:tc>
          <w:tcPr/>
          <w:p>
            <w:pPr>
              <w:pStyle w:val="Compact"/>
              <w:jc w:val="center"/>
            </w:pPr>
            <w:r>
              <w:t xml:space="preserve">+25,2%</w:t>
            </w:r>
          </w:p>
        </w:tc>
      </w:tr>
      <w:tr>
        <w:tc>
          <w:tcPr/>
          <w:p>
            <w:pPr>
              <w:pStyle w:val="Compact"/>
              <w:jc w:val="left"/>
            </w:pPr>
            <w:r>
              <w:t xml:space="preserve">Dépenses publicitaires</w:t>
            </w:r>
          </w:p>
        </w:tc>
        <w:tc>
          <w:tcPr/>
          <w:p>
            <w:pPr>
              <w:pStyle w:val="Compact"/>
              <w:jc w:val="center"/>
            </w:pPr>
            <w:r>
              <w:t xml:space="preserve">12,1 M$</w:t>
            </w:r>
          </w:p>
        </w:tc>
        <w:tc>
          <w:tcPr/>
          <w:p>
            <w:pPr>
              <w:pStyle w:val="Compact"/>
              <w:jc w:val="center"/>
            </w:pPr>
            <w:r>
              <w:t xml:space="preserve">14,8 M$</w:t>
            </w:r>
          </w:p>
        </w:tc>
        <w:tc>
          <w:tcPr/>
          <w:p>
            <w:pPr>
              <w:pStyle w:val="Compact"/>
              <w:jc w:val="center"/>
            </w:pPr>
            <w:r>
              <w:t xml:space="preserve">+22,3%</w:t>
            </w:r>
          </w:p>
        </w:tc>
      </w:tr>
    </w:tbl>
    <w:p>
      <w:pPr>
        <w:pStyle w:val="BodyText"/>
      </w:pPr>
      <w:r>
        <w:t xml:space="preserve">L’équipe financière soutenait que Hearthline achetait du trafic plutôt qu’une demande rentable. Les dépenses publicitaires numériques avaient augmenté, pourtant la conversion avait diminué. L’équipe de merchandising rétorquait que le problème n’était pas le trafic mais la disponibilité : les clients qui cliquaient sur des configurations populaires rencontraient souvent des délais de livraison estimés de 10 à 14 semaines. Les directeurs de magasin offraient une autre explication—les clients voulaient voir et toucher les achats importants, mais les réductions d’effectifs avaient laissé trop peu de conseillers de vente expérimentés le week-end.</w:t>
      </w:r>
    </w:p>
    <w:bookmarkEnd w:id="10"/>
    <w:bookmarkEnd w:id="11"/>
    <w:bookmarkStart w:id="13" w:name="le-problème-de-lassortiment"/>
    <w:p>
      <w:pPr>
        <w:pStyle w:val="Heading1"/>
      </w:pPr>
      <w:r>
        <w:t xml:space="preserve">Le problème de l’assortiment</w:t>
      </w:r>
    </w:p>
    <w:p>
      <w:pPr>
        <w:pStyle w:val="FirstParagraph"/>
      </w:pPr>
      <w:r>
        <w:t xml:space="preserve">Hearthline proposait environ 4 800 unités de gestion des stocks actives, bien que 420 produits génèrent 61 pour cent des ventes. La direction avait élargi l’assortiment pour améliorer la visibilité sur les moteurs de recherche et offrir plus de choix aux clients. Le résultat était une longue traîne d’articles à rotation lente, des présentations compliquées et un stock fragmenté. Un canapé pouvait être proposé en six tissus et trois configurations, mais les combinaisons préférées des clients différaient fortement selon les régions.</w:t>
      </w:r>
    </w:p>
    <w:bookmarkStart w:id="12" w:name="X79c86e25f71e0d961b4360779475c3273d39138"/>
    <w:p>
      <w:pPr>
        <w:pStyle w:val="Heading2"/>
      </w:pPr>
      <w:r>
        <w:t xml:space="preserve">Tableau 2. Familles de produits sélectionnées</w:t>
      </w:r>
    </w:p>
    <w:tbl>
      <w:tblPr>
        <w:tblStyle w:val="Table"/>
        <w:tblW w:type="pct" w:w="4924"/>
        <w:tblLayout w:type="fixed"/>
        <w:tblLook w:firstRow="1" w:lastRow="0" w:firstColumn="0" w:lastColumn="0" w:noHBand="0" w:noVBand="0" w:val="0020"/>
      </w:tblPr>
      <w:tblGrid>
        <w:gridCol w:w="1632"/>
        <w:gridCol w:w="906"/>
        <w:gridCol w:w="1088"/>
        <w:gridCol w:w="846"/>
        <w:gridCol w:w="3325"/>
      </w:tblGrid>
      <w:tr>
        <w:trPr>
          <w:tblHeader w:val="on"/>
        </w:trPr>
        <w:tc>
          <w:tcPr/>
          <w:p>
            <w:pPr>
              <w:pStyle w:val="Compact"/>
              <w:jc w:val="left"/>
            </w:pPr>
            <w:r>
              <w:t xml:space="preserve">Famille de produits</w:t>
            </w:r>
          </w:p>
        </w:tc>
        <w:tc>
          <w:tcPr/>
          <w:p>
            <w:pPr>
              <w:pStyle w:val="Compact"/>
              <w:jc w:val="center"/>
            </w:pPr>
            <w:r>
              <w:t xml:space="preserve">Marge brute</w:t>
            </w:r>
          </w:p>
        </w:tc>
        <w:tc>
          <w:tcPr/>
          <w:p>
            <w:pPr>
              <w:pStyle w:val="Compact"/>
              <w:jc w:val="right"/>
            </w:pPr>
            <w:r>
              <w:t xml:space="preserve">Semaines de stoc</w:t>
            </w:r>
          </w:p>
        </w:tc>
        <w:tc>
          <w:tcPr/>
          <w:p>
            <w:pPr>
              <w:pStyle w:val="Compact"/>
            </w:pPr>
            <w:r>
              <w:t xml:space="preserve">k Commandes e</w:t>
            </w:r>
          </w:p>
        </w:tc>
        <w:tc>
          <w:tcPr/>
          <w:p>
            <w:pPr>
              <w:pStyle w:val="Compact"/>
              <w:jc w:val="left"/>
            </w:pPr>
            <w:r>
              <w:t xml:space="preserve">n retard Signal de demande récent</w:t>
            </w:r>
          </w:p>
        </w:tc>
      </w:tr>
      <w:tr>
        <w:tc>
          <w:tcPr/>
          <w:p>
            <w:pPr>
              <w:pStyle w:val="Compact"/>
              <w:jc w:val="left"/>
            </w:pPr>
            <w:r>
              <w:t xml:space="preserve">Sièges modulables Solace</w:t>
            </w:r>
          </w:p>
        </w:tc>
        <w:tc>
          <w:tcPr/>
          <w:p>
            <w:pPr>
              <w:pStyle w:val="Compact"/>
              <w:jc w:val="center"/>
            </w:pPr>
            <w:r>
              <w:t xml:space="preserve">49%</w:t>
            </w:r>
          </w:p>
        </w:tc>
        <w:tc>
          <w:tcPr/>
          <w:p>
            <w:pPr>
              <w:pStyle w:val="Compact"/>
              <w:jc w:val="right"/>
            </w:pPr>
            <w:r>
              <w:t xml:space="preserve">5,2</w:t>
            </w:r>
          </w:p>
        </w:tc>
        <w:tc>
          <w:tcPr/>
          <w:p>
            <w:pPr>
              <w:pStyle w:val="Compact"/>
            </w:pPr>
            <w:r>
              <w:t xml:space="preserve">28%</w:t>
            </w:r>
          </w:p>
        </w:tc>
        <w:tc>
          <w:tcPr/>
          <w:p>
            <w:pPr>
              <w:pStyle w:val="Compact"/>
              <w:jc w:val="left"/>
            </w:pPr>
            <w:r>
              <w:t xml:space="preserve">Fort intérêt sur les réseaux sociaux ; concentration régionale</w:t>
            </w:r>
          </w:p>
        </w:tc>
      </w:tr>
      <w:tr>
        <w:tc>
          <w:tcPr/>
          <w:p>
            <w:pPr>
              <w:pStyle w:val="Compact"/>
              <w:jc w:val="left"/>
            </w:pPr>
            <w:r>
              <w:t xml:space="preserve">Canapés performance Harbor</w:t>
            </w:r>
          </w:p>
        </w:tc>
        <w:tc>
          <w:tcPr/>
          <w:p>
            <w:pPr>
              <w:pStyle w:val="Compact"/>
              <w:jc w:val="center"/>
            </w:pPr>
            <w:r>
              <w:t xml:space="preserve">44%</w:t>
            </w:r>
          </w:p>
        </w:tc>
        <w:tc>
          <w:tcPr/>
          <w:p>
            <w:pPr>
              <w:pStyle w:val="Compact"/>
              <w:jc w:val="right"/>
            </w:pPr>
            <w:r>
              <w:t xml:space="preserve">9,1</w:t>
            </w:r>
          </w:p>
        </w:tc>
        <w:tc>
          <w:tcPr/>
          <w:p>
            <w:pPr>
              <w:pStyle w:val="Compact"/>
            </w:pPr>
            <w:r>
              <w:t xml:space="preserve">14%</w:t>
            </w:r>
          </w:p>
        </w:tc>
        <w:tc>
          <w:tcPr/>
          <w:p>
            <w:pPr>
              <w:pStyle w:val="Compact"/>
              <w:jc w:val="left"/>
            </w:pPr>
            <w:r>
              <w:t xml:space="preserve">Demande répétée stable ; comparaisons de prix en hausse</w:t>
            </w:r>
          </w:p>
        </w:tc>
      </w:tr>
      <w:tr>
        <w:tc>
          <w:tcPr/>
          <w:p>
            <w:pPr>
              <w:pStyle w:val="Compact"/>
              <w:jc w:val="left"/>
            </w:pPr>
            <w:r>
              <w:t xml:space="preserve">Collection salle à manger A</w:t>
            </w:r>
          </w:p>
        </w:tc>
        <w:tc>
          <w:tcPr/>
          <w:p>
            <w:pPr>
              <w:pStyle w:val="Compact"/>
              <w:jc w:val="center"/>
            </w:pPr>
            <w:r>
              <w:t xml:space="preserve">lden 51%</w:t>
            </w:r>
          </w:p>
        </w:tc>
        <w:tc>
          <w:tcPr/>
          <w:p>
            <w:pPr>
              <w:pStyle w:val="Compact"/>
              <w:jc w:val="right"/>
            </w:pPr>
            <w:r>
              <w:t xml:space="preserve">17,8</w:t>
            </w:r>
          </w:p>
        </w:tc>
        <w:tc>
          <w:tcPr/>
          <w:p>
            <w:pPr>
              <w:pStyle w:val="Compact"/>
            </w:pPr>
            <w:r>
              <w:t xml:space="preserve">3%</w:t>
            </w:r>
          </w:p>
        </w:tc>
        <w:tc>
          <w:tcPr/>
          <w:p>
            <w:pPr>
              <w:pStyle w:val="Compact"/>
              <w:jc w:val="left"/>
            </w:pPr>
            <w:r>
              <w:t xml:space="preserve">Conversion faible malgré un fort trafic sur le site web</w:t>
            </w:r>
          </w:p>
        </w:tc>
      </w:tr>
      <w:tr>
        <w:tc>
          <w:tcPr/>
          <w:p>
            <w:pPr>
              <w:pStyle w:val="Compact"/>
              <w:jc w:val="left"/>
            </w:pPr>
            <w:r>
              <w:t xml:space="preserve">Collection chambre Luma</w:t>
            </w:r>
          </w:p>
        </w:tc>
        <w:tc>
          <w:tcPr/>
          <w:p>
            <w:pPr>
              <w:pStyle w:val="Compact"/>
              <w:jc w:val="center"/>
            </w:pPr>
            <w:r>
              <w:t xml:space="preserve">47%</w:t>
            </w:r>
          </w:p>
        </w:tc>
        <w:tc>
          <w:tcPr/>
          <w:p>
            <w:pPr>
              <w:pStyle w:val="Compact"/>
              <w:jc w:val="right"/>
            </w:pPr>
            <w:r>
              <w:t xml:space="preserve">11,6</w:t>
            </w:r>
          </w:p>
        </w:tc>
        <w:tc>
          <w:tcPr/>
          <w:p>
            <w:pPr>
              <w:pStyle w:val="Compact"/>
            </w:pPr>
            <w:r>
              <w:t xml:space="preserve">9%</w:t>
            </w:r>
          </w:p>
        </w:tc>
        <w:tc>
          <w:tcPr/>
          <w:p>
            <w:pPr>
              <w:pStyle w:val="Compact"/>
              <w:jc w:val="left"/>
            </w:pPr>
            <w:r>
              <w:t xml:space="preserve">Demande en hausse chez les primo-accédants</w:t>
            </w:r>
          </w:p>
        </w:tc>
      </w:tr>
      <w:tr>
        <w:tc>
          <w:tcPr/>
          <w:p>
            <w:pPr>
              <w:pStyle w:val="Compact"/>
              <w:jc w:val="left"/>
            </w:pPr>
            <w:r>
              <w:t xml:space="preserve">Bureau à domicile Studio</w:t>
            </w:r>
          </w:p>
        </w:tc>
        <w:tc>
          <w:tcPr/>
          <w:p>
            <w:pPr>
              <w:pStyle w:val="Compact"/>
              <w:jc w:val="center"/>
            </w:pPr>
            <w:r>
              <w:t xml:space="preserve">42%</w:t>
            </w:r>
          </w:p>
        </w:tc>
        <w:tc>
          <w:tcPr/>
          <w:p>
            <w:pPr>
              <w:pStyle w:val="Compact"/>
              <w:jc w:val="right"/>
            </w:pPr>
            <w:r>
              <w:t xml:space="preserve">15,4</w:t>
            </w:r>
          </w:p>
        </w:tc>
        <w:tc>
          <w:tcPr/>
          <w:p>
            <w:pPr>
              <w:pStyle w:val="Compact"/>
            </w:pPr>
            <w:r>
              <w:t xml:space="preserve">5%</w:t>
            </w:r>
          </w:p>
        </w:tc>
        <w:tc>
          <w:tcPr/>
          <w:p>
            <w:pPr>
              <w:pStyle w:val="Compact"/>
              <w:jc w:val="left"/>
            </w:pPr>
            <w:r>
              <w:t xml:space="preserve">Ventes en baisse après deux années fortes</w:t>
            </w:r>
          </w:p>
        </w:tc>
      </w:tr>
      <w:tr>
        <w:tc>
          <w:tcPr/>
          <w:p>
            <w:pPr>
              <w:pStyle w:val="Compact"/>
              <w:jc w:val="left"/>
            </w:pPr>
            <w:r>
              <w:t xml:space="preserve">Accessoires et décoration</w:t>
            </w:r>
          </w:p>
        </w:tc>
        <w:tc>
          <w:tcPr/>
          <w:p>
            <w:pPr>
              <w:pStyle w:val="Compact"/>
              <w:jc w:val="center"/>
            </w:pPr>
            <w:r>
              <w:t xml:space="preserve">58%</w:t>
            </w:r>
          </w:p>
        </w:tc>
        <w:tc>
          <w:tcPr/>
          <w:p>
            <w:pPr>
              <w:pStyle w:val="Compact"/>
              <w:jc w:val="right"/>
            </w:pPr>
            <w:r>
              <w:t xml:space="preserve">7,0</w:t>
            </w:r>
          </w:p>
        </w:tc>
        <w:tc>
          <w:tcPr/>
          <w:p>
            <w:pPr>
              <w:pStyle w:val="Compact"/>
            </w:pPr>
            <w:r>
              <w:t xml:space="preserve">2%</w:t>
            </w:r>
          </w:p>
        </w:tc>
        <w:tc>
          <w:tcPr/>
          <w:p>
            <w:pPr>
              <w:pStyle w:val="Compact"/>
              <w:jc w:val="left"/>
            </w:pPr>
            <w:r>
              <w:t xml:space="preserve">Marge d’attachement élevée ; présentations incohérentes</w:t>
            </w:r>
          </w:p>
        </w:tc>
      </w:tr>
    </w:tbl>
    <w:p>
      <w:pPr>
        <w:pStyle w:val="BodyText"/>
      </w:pPr>
      <w:r>
        <w:t xml:space="preserve">Le groupe de merchandising proposait de retirer 900 produits à faible volume du site web et des magasins, puis de concentrer le marketing sur 12 collections</w:t>
      </w:r>
      <w:r>
        <w:t xml:space="preserve"> </w:t>
      </w:r>
      <w:r>
        <w:t xml:space="preserve">“phares”</w:t>
      </w:r>
      <w:r>
        <w:t xml:space="preserve">. Le groupe de commerce électronique s’opposait à cette idée. Un assortiment large attirait le trafic de recherche et permettait à Hearthline d’en apprendre davantage sur les goûts émergents, même lorsqu’un visiteur n’achetait pas immédiatement. L’organisation des magasins craignait qu’une standardisation des assortiments ne néglige les styles de logement locaux, la démographie et les niveaux de revenu.</w:t>
      </w:r>
    </w:p>
    <w:bookmarkEnd w:id="12"/>
    <w:bookmarkEnd w:id="13"/>
    <w:bookmarkStart w:id="15" w:name="X8a5fa873c882518dd9391de31cd23294c369f1e"/>
    <w:p>
      <w:pPr>
        <w:pStyle w:val="Heading1"/>
      </w:pPr>
      <w:r>
        <w:t xml:space="preserve">Prix, promotion et le risque de conditionner les clients</w:t>
      </w:r>
    </w:p>
    <w:p>
      <w:pPr>
        <w:pStyle w:val="FirstParagraph"/>
      </w:pPr>
      <w:r>
        <w:t xml:space="preserve">Le calendrier promotionnel historique de Hearthline comprenait des remises de fêtes, des offres de financement, des offres groupées de pièces pour chambres, et des événements de liquidation occasionnels. Les concurrents étaient devenus plus agressifs, faisant la publicité de soldes de</w:t>
      </w:r>
      <w:r>
        <w:t xml:space="preserve"> </w:t>
      </w:r>
      <w:r>
        <w:t xml:space="preserve">“40 pour cent de réduction”</w:t>
      </w:r>
      <w:r>
        <w:t xml:space="preserve"> </w:t>
      </w:r>
      <w:r>
        <w:t xml:space="preserve">difficiles à comparer car les prix affichés et les spécifications des produits variaient. Les études clients de Hearthline suggéraient que de nombreux acheteurs retardaient leurs achats jusqu’à l’apparition d’une promotion.</w:t>
      </w:r>
    </w:p>
    <w:p>
      <w:pPr>
        <w:pStyle w:val="BodyText"/>
      </w:pPr>
      <w:r>
        <w:t xml:space="preserve">Marquez envisageait un événement national</w:t>
      </w:r>
      <w:r>
        <w:t xml:space="preserve"> </w:t>
      </w:r>
      <w:r>
        <w:t xml:space="preserve">“Furnish the Room”</w:t>
      </w:r>
      <w:r>
        <w:t xml:space="preserve"> </w:t>
      </w:r>
      <w:r>
        <w:t xml:space="preserve">: les clients achetant un canapé et deux pièces complémentaires recevraient une réduction groupée de 15 pour cent et la livraison gratuite. L’offre pourrait augmenter la valeur moyenne des commandes et aider à vendre des accessoires. Elle pourrait aussi réduire la marge sur des produits qui se seraient vendus sans réduction et créer une congestion des livraisons juste avant les fêtes.</w:t>
      </w:r>
    </w:p>
    <w:bookmarkStart w:id="14" w:name="Xd29f139265bd5290173c7edcccb1dd863d161a6"/>
    <w:p>
      <w:pPr>
        <w:pStyle w:val="Heading2"/>
      </w:pPr>
      <w:r>
        <w:t xml:space="preserve">Tableau 3. Initiatives de stimulation de la demande proposées</w:t>
      </w:r>
    </w:p>
    <w:tbl>
      <w:tblPr>
        <w:tblStyle w:val="Table"/>
        <w:tblW w:type="pct" w:w="4918"/>
        <w:tblLayout w:type="fixed"/>
        <w:tblLook w:firstRow="1" w:lastRow="0" w:firstColumn="0" w:lastColumn="0" w:noHBand="0" w:noVBand="0" w:val="0020"/>
      </w:tblPr>
      <w:tblGrid>
        <w:gridCol w:w="1882"/>
        <w:gridCol w:w="1233"/>
        <w:gridCol w:w="2012"/>
        <w:gridCol w:w="2661"/>
      </w:tblGrid>
      <w:tr>
        <w:trPr>
          <w:tblHeader w:val="on"/>
        </w:trPr>
        <w:tc>
          <w:tcPr/>
          <w:p>
            <w:pPr>
              <w:pStyle w:val="Compact"/>
              <w:jc w:val="left"/>
            </w:pPr>
            <w:r>
              <w:t xml:space="preserve">Initiative</w:t>
            </w:r>
          </w:p>
        </w:tc>
        <w:tc>
          <w:tcPr/>
          <w:p>
            <w:pPr>
              <w:pStyle w:val="Compact"/>
            </w:pPr>
            <w:r>
              <w:t xml:space="preserve">Coût sur quatre moi</w:t>
            </w:r>
          </w:p>
        </w:tc>
        <w:tc>
          <w:tcPr/>
          <w:p>
            <w:pPr>
              <w:pStyle w:val="Compact"/>
              <w:jc w:val="left"/>
            </w:pPr>
            <w:r>
              <w:t xml:space="preserve">s Portée attendue</w:t>
            </w:r>
          </w:p>
        </w:tc>
        <w:tc>
          <w:tcPr/>
          <w:p>
            <w:pPr>
              <w:pStyle w:val="Compact"/>
              <w:jc w:val="center"/>
            </w:pPr>
            <w:r>
              <w:t xml:space="preserve">Préoccupation clé</w:t>
            </w:r>
          </w:p>
        </w:tc>
      </w:tr>
      <w:tr>
        <w:tc>
          <w:tcPr/>
          <w:p>
            <w:pPr>
              <w:pStyle w:val="Compact"/>
              <w:jc w:val="left"/>
            </w:pPr>
            <w:r>
              <w:t xml:space="preserve">Expansion de la recherche pay</w:t>
            </w:r>
          </w:p>
        </w:tc>
        <w:tc>
          <w:tcPr/>
          <w:p>
            <w:pPr>
              <w:pStyle w:val="Compact"/>
            </w:pPr>
            <w:r>
              <w:t xml:space="preserve">ante 1,6 M$</w:t>
            </w:r>
          </w:p>
        </w:tc>
        <w:tc>
          <w:tcPr/>
          <w:p>
            <w:pPr>
              <w:pStyle w:val="Compact"/>
              <w:jc w:val="left"/>
            </w:pPr>
            <w:r>
              <w:t xml:space="preserve">Acheteurs à forte intention</w:t>
            </w:r>
          </w:p>
        </w:tc>
        <w:tc>
          <w:tcPr/>
          <w:p>
            <w:pPr>
              <w:pStyle w:val="Compact"/>
              <w:jc w:val="center"/>
            </w:pPr>
            <w:r>
              <w:t xml:space="preserve">Coûts d’enchères et réponse des concurrents</w:t>
            </w:r>
          </w:p>
        </w:tc>
      </w:tr>
      <w:tr>
        <w:tc>
          <w:tcPr/>
          <w:p>
            <w:pPr>
              <w:pStyle w:val="Compact"/>
              <w:jc w:val="left"/>
            </w:pPr>
            <w:r>
              <w:t xml:space="preserve">Vidéo sociale + influenceurs</w:t>
            </w:r>
          </w:p>
        </w:tc>
        <w:tc>
          <w:tcPr/>
          <w:p>
            <w:pPr>
              <w:pStyle w:val="Compact"/>
            </w:pPr>
            <w:r>
              <w:t xml:space="preserve">1,2 M$</w:t>
            </w:r>
          </w:p>
        </w:tc>
        <w:tc>
          <w:tcPr/>
          <w:p>
            <w:pPr>
              <w:pStyle w:val="Compact"/>
              <w:jc w:val="left"/>
            </w:pPr>
            <w:r>
              <w:t xml:space="preserve">Ménages soucieux du style</w:t>
            </w:r>
          </w:p>
        </w:tc>
        <w:tc>
          <w:tcPr/>
          <w:p>
            <w:pPr>
              <w:pStyle w:val="Compact"/>
              <w:jc w:val="center"/>
            </w:pPr>
            <w:r>
              <w:t xml:space="preserve">Les vues ne se traduisent peut-être pas en achats</w:t>
            </w:r>
          </w:p>
        </w:tc>
      </w:tr>
      <w:tr>
        <w:tc>
          <w:tcPr/>
          <w:p>
            <w:pPr>
              <w:pStyle w:val="Compact"/>
              <w:jc w:val="left"/>
            </w:pPr>
            <w:r>
              <w:t xml:space="preserve">Télévision régionale</w:t>
            </w:r>
          </w:p>
        </w:tc>
        <w:tc>
          <w:tcPr/>
          <w:p>
            <w:pPr>
              <w:pStyle w:val="Compact"/>
            </w:pPr>
            <w:r>
              <w:t xml:space="preserve">1,5 M$</w:t>
            </w:r>
          </w:p>
        </w:tc>
        <w:tc>
          <w:tcPr/>
          <w:p>
            <w:pPr>
              <w:pStyle w:val="Compact"/>
              <w:jc w:val="left"/>
            </w:pPr>
            <w:r>
              <w:t xml:space="preserve">Notoriété locale large</w:t>
            </w:r>
          </w:p>
        </w:tc>
        <w:tc>
          <w:tcPr/>
          <w:p>
            <w:pPr>
              <w:pStyle w:val="Compact"/>
              <w:jc w:val="center"/>
            </w:pPr>
            <w:r>
              <w:t xml:space="preserve">Attribution faible et effets de débordement</w:t>
            </w:r>
          </w:p>
        </w:tc>
      </w:tr>
      <w:tr>
        <w:tc>
          <w:tcPr/>
          <w:p>
            <w:pPr>
              <w:pStyle w:val="Compact"/>
              <w:jc w:val="left"/>
            </w:pPr>
            <w:r>
              <w:t xml:space="preserve">Offres groupées par publipost</w:t>
            </w:r>
          </w:p>
        </w:tc>
        <w:tc>
          <w:tcPr/>
          <w:p>
            <w:pPr>
              <w:pStyle w:val="Compact"/>
            </w:pPr>
            <w:r>
              <w:t xml:space="preserve">age 0,7 M$</w:t>
            </w:r>
          </w:p>
        </w:tc>
        <w:tc>
          <w:tcPr/>
          <w:p>
            <w:pPr>
              <w:pStyle w:val="Compact"/>
              <w:jc w:val="left"/>
            </w:pPr>
            <w:r>
              <w:t xml:space="preserve">Ménages connus près des magasi</w:t>
            </w:r>
          </w:p>
        </w:tc>
        <w:tc>
          <w:tcPr/>
          <w:p>
            <w:pPr>
              <w:pStyle w:val="Compact"/>
              <w:jc w:val="center"/>
            </w:pPr>
            <w:r>
              <w:t xml:space="preserve">ns Peut privilégier les clients existants</w:t>
            </w:r>
          </w:p>
        </w:tc>
      </w:tr>
      <w:tr>
        <w:tc>
          <w:tcPr/>
          <w:p>
            <w:pPr>
              <w:pStyle w:val="Compact"/>
              <w:jc w:val="left"/>
            </w:pPr>
            <w:r>
              <w:t xml:space="preserve">Réduction groupée de 15%</w:t>
            </w:r>
          </w:p>
        </w:tc>
        <w:tc>
          <w:tcPr/>
          <w:p>
            <w:pPr>
              <w:pStyle w:val="Compact"/>
            </w:pPr>
            <w:r>
              <w:t xml:space="preserve">2,0 M</w:t>
            </w:r>
            <m:oMath>
              <m:r>
                <m:rPr>
                  <m:sty m:val="p"/>
                </m:rPr>
                <m:t>−</m:t>
              </m:r>
              <m:r>
                <m:rPr>
                  <m:sty m:val="p"/>
                </m:rPr>
                <m:t>−</m:t>
              </m:r>
              <m:r>
                <m:t>4</m:t>
              </m:r>
              <m:r>
                <m:rPr>
                  <m:sty m:val="p"/>
                </m:rPr>
                <m:t>,</m:t>
              </m:r>
              <m:r>
                <m:t>5</m:t>
              </m:r>
              <m:r>
                <m:t>M</m:t>
              </m:r>
            </m:oMath>
            <w:r>
              <w:t xml:space="preserve">*</w:t>
            </w:r>
          </w:p>
        </w:tc>
        <w:tc>
          <w:tcPr/>
          <w:p>
            <w:pPr>
              <w:pStyle w:val="Compact"/>
              <w:jc w:val="left"/>
            </w:pPr>
            <w:r>
              <w:t xml:space="preserve">Clients proches de l’achat</w:t>
            </w:r>
          </w:p>
        </w:tc>
        <w:tc>
          <w:tcPr/>
          <w:p>
            <w:pPr>
              <w:pStyle w:val="Compact"/>
              <w:jc w:val="center"/>
            </w:pPr>
            <w:r>
              <w:t xml:space="preserve">Perte de marge et pic de demande</w:t>
            </w:r>
          </w:p>
        </w:tc>
      </w:tr>
      <w:tr>
        <w:tc>
          <w:tcPr/>
          <w:p>
            <w:pPr>
              <w:pStyle w:val="Compact"/>
              <w:jc w:val="left"/>
            </w:pPr>
            <w:r>
              <w:t xml:space="preserve">Tests A/B du site web</w:t>
            </w:r>
          </w:p>
        </w:tc>
        <w:tc>
          <w:tcPr/>
          <w:p>
            <w:pPr>
              <w:pStyle w:val="Compact"/>
            </w:pPr>
            <w:r>
              <w:t xml:space="preserve">0,45 M$</w:t>
            </w:r>
          </w:p>
        </w:tc>
        <w:tc>
          <w:tcPr/>
          <w:p>
            <w:pPr>
              <w:pStyle w:val="Compact"/>
              <w:jc w:val="left"/>
            </w:pPr>
            <w:r>
              <w:t xml:space="preserve">Tous les visiteurs numériques</w:t>
            </w:r>
          </w:p>
        </w:tc>
        <w:tc>
          <w:tcPr/>
          <w:p>
            <w:pPr>
              <w:pStyle w:val="Compact"/>
              <w:jc w:val="center"/>
            </w:pPr>
            <w:r>
              <w:t xml:space="preserve">L’apprentissage peut arriver après le pic de saison</w:t>
            </w:r>
          </w:p>
        </w:tc>
      </w:tr>
      <w:tr>
        <w:tc>
          <w:tcPr/>
          <w:p>
            <w:pPr>
              <w:pStyle w:val="Compact"/>
              <w:jc w:val="left"/>
            </w:pPr>
            <w:r>
              <w:t xml:space="preserve">Personnel en magasin le week-</w:t>
            </w:r>
          </w:p>
        </w:tc>
        <w:tc>
          <w:tcPr/>
          <w:p>
            <w:pPr>
              <w:pStyle w:val="Compact"/>
            </w:pPr>
            <w:r>
              <w:t xml:space="preserve">end 0,85 M$</w:t>
            </w:r>
          </w:p>
        </w:tc>
        <w:tc>
          <w:tcPr/>
          <w:p>
            <w:pPr>
              <w:pStyle w:val="Compact"/>
              <w:jc w:val="left"/>
            </w:pPr>
            <w:r>
              <w:t xml:space="preserve">Acheteurs en magasin</w:t>
            </w:r>
          </w:p>
        </w:tc>
        <w:tc>
          <w:tcPr/>
          <w:p>
            <w:pPr>
              <w:pStyle w:val="Compact"/>
              <w:jc w:val="center"/>
            </w:pPr>
            <w:r>
              <w:t xml:space="preserve">Délais d’embauche et de formation</w:t>
            </w:r>
          </w:p>
        </w:tc>
      </w:tr>
    </w:tbl>
    <w:p>
      <w:pPr>
        <w:pStyle w:val="BodyText"/>
      </w:pPr>
      <w:r>
        <w:t xml:space="preserve">*La réduction de revenus estimée dépend de la participation et de la substitution.</w:t>
      </w:r>
    </w:p>
    <w:bookmarkEnd w:id="14"/>
    <w:bookmarkEnd w:id="15"/>
    <w:bookmarkStart w:id="17" w:name="X8711130d635d2d6b832fb8bb62992221ab1d005"/>
    <w:p>
      <w:pPr>
        <w:pStyle w:val="Heading1"/>
      </w:pPr>
      <w:r>
        <w:t xml:space="preserve">Signaux numériques et apprentissage imparfait</w:t>
      </w:r>
    </w:p>
    <w:p>
      <w:pPr>
        <w:pStyle w:val="FirstParagraph"/>
      </w:pPr>
      <w:r>
        <w:t xml:space="preserve">Hearthline collectait des millions d’observations numériques : recherches, clics, consultations de pages produit, pièces enregistrées, ajouts au panier, demandes de financement, sessions de chat et paniers abandonnés. Pourtant, les responsables n’étaient pas d’accord sur la signification de ces données. Une collection avec un nombre élevé de vues de page pouvait indiquer un fort intérêt—ou de la confusion sur les dimensions, les couleurs ou la livraison. Un taux de rebond élevé pouvait refléter une page peu attrayante, un prix inadapté, ou un client ayant trouvé immédiatement l’information recherchée.</w:t>
      </w:r>
    </w:p>
    <w:p>
      <w:pPr>
        <w:pStyle w:val="BodyText"/>
      </w:pPr>
      <w:r>
        <w:t xml:space="preserve">L’équipe d’analytique proposait une série d’expériences contrôlées. Différents visiteurs pourraient voir des mises en page alternatives, des messages de livraison différents, des offres de financement ou des recommandations de produits variées. Des magasins sélectionnés pourraient tester différentes offres groupées de pièces et différents points de prix. Cependant, les tests consommeraient du trafic, risqueraient de créer des expériences client incohérentes, et produiraient des résultats qui pourraient ne pas se transférer d’une région ou d’une saison à l’autre.</w:t>
      </w:r>
    </w:p>
    <w:bookmarkStart w:id="16" w:name="tableau-4.-entonnoir-numérique-daoût"/>
    <w:p>
      <w:pPr>
        <w:pStyle w:val="Heading2"/>
      </w:pPr>
      <w:r>
        <w:t xml:space="preserve">Tableau 4. Entonnoir numérique d’août</w:t>
      </w:r>
    </w:p>
    <w:tbl>
      <w:tblPr>
        <w:tblStyle w:val="Table"/>
        <w:tblW w:type="pct" w:w="4917"/>
        <w:tblLayout w:type="fixed"/>
        <w:tblLook w:firstRow="1" w:lastRow="0" w:firstColumn="0" w:lastColumn="0" w:noHBand="0" w:noVBand="0" w:val="0020"/>
      </w:tblPr>
      <w:tblGrid>
        <w:gridCol w:w="2029"/>
        <w:gridCol w:w="1112"/>
        <w:gridCol w:w="1570"/>
        <w:gridCol w:w="3076"/>
      </w:tblGrid>
      <w:tr>
        <w:trPr>
          <w:tblHeader w:val="on"/>
        </w:trPr>
        <w:tc>
          <w:tcPr/>
          <w:p>
            <w:pPr>
              <w:pStyle w:val="Compact"/>
              <w:jc w:val="left"/>
            </w:pPr>
            <w:r>
              <w:t xml:space="preserve">Étape</w:t>
            </w:r>
          </w:p>
        </w:tc>
        <w:tc>
          <w:tcPr/>
          <w:p>
            <w:pPr>
              <w:pStyle w:val="Compact"/>
              <w:jc w:val="left"/>
            </w:pPr>
            <w:r>
              <w:t xml:space="preserve">Volume mensuel</w:t>
            </w:r>
          </w:p>
        </w:tc>
        <w:tc>
          <w:tcPr/>
          <w:p>
            <w:pPr>
              <w:pStyle w:val="Compact"/>
            </w:pPr>
            <w:r>
              <w:t xml:space="preserve">Taux par rapport à l’éta</w:t>
            </w:r>
          </w:p>
        </w:tc>
        <w:tc>
          <w:tcPr/>
          <w:p>
            <w:pPr>
              <w:pStyle w:val="Compact"/>
              <w:jc w:val="left"/>
            </w:pPr>
            <w:r>
              <w:t xml:space="preserve">pe précédente Variation observée</w:t>
            </w:r>
          </w:p>
        </w:tc>
      </w:tr>
      <w:tr>
        <w:tc>
          <w:tcPr/>
          <w:p>
            <w:pPr>
              <w:pStyle w:val="Compact"/>
              <w:jc w:val="left"/>
            </w:pPr>
            <w:r>
              <w:t xml:space="preserve">Sessions sur le site web</w:t>
            </w:r>
          </w:p>
        </w:tc>
        <w:tc>
          <w:tcPr/>
          <w:p>
            <w:pPr>
              <w:pStyle w:val="Compact"/>
              <w:jc w:val="left"/>
            </w:pPr>
            <w:r>
              <w:t xml:space="preserve">3 840 000</w:t>
            </w:r>
          </w:p>
        </w:tc>
        <w:tc>
          <w:tcPr/>
          <w:p>
            <w:pPr>
              <w:pStyle w:val="Compact"/>
            </w:pPr>
            <w:r>
              <w:t xml:space="preserve">—</w:t>
            </w:r>
          </w:p>
        </w:tc>
        <w:tc>
          <w:tcPr/>
          <w:p>
            <w:pPr>
              <w:pStyle w:val="Compact"/>
              <w:jc w:val="left"/>
            </w:pPr>
            <w:r>
              <w:t xml:space="preserve">±18% selon la semaine</w:t>
            </w:r>
          </w:p>
        </w:tc>
      </w:tr>
      <w:tr>
        <w:tc>
          <w:tcPr/>
          <w:p>
            <w:pPr>
              <w:pStyle w:val="Compact"/>
              <w:jc w:val="left"/>
            </w:pPr>
            <w:r>
              <w:t xml:space="preserve">Vues de fiches produit</w:t>
            </w:r>
          </w:p>
        </w:tc>
        <w:tc>
          <w:tcPr/>
          <w:p>
            <w:pPr>
              <w:pStyle w:val="Compact"/>
              <w:jc w:val="left"/>
            </w:pPr>
            <w:r>
              <w:t xml:space="preserve">2 110 000</w:t>
            </w:r>
          </w:p>
        </w:tc>
        <w:tc>
          <w:tcPr/>
          <w:p>
            <w:pPr>
              <w:pStyle w:val="Compact"/>
            </w:pPr>
            <w:r>
              <w:t xml:space="preserve">55,0%</w:t>
            </w:r>
          </w:p>
        </w:tc>
        <w:tc>
          <w:tcPr/>
          <w:p>
            <w:pPr>
              <w:pStyle w:val="Compact"/>
              <w:jc w:val="left"/>
            </w:pPr>
            <w:r>
              <w:t xml:space="preserve">Selon la catégorie de meubles et la source de trafic</w:t>
            </w:r>
          </w:p>
        </w:tc>
      </w:tr>
      <w:tr>
        <w:tc>
          <w:tcPr/>
          <w:p>
            <w:pPr>
              <w:pStyle w:val="Compact"/>
              <w:jc w:val="left"/>
            </w:pPr>
            <w:r>
              <w:t xml:space="preserve">Planificateur de pièce / articl</w:t>
            </w:r>
          </w:p>
        </w:tc>
        <w:tc>
          <w:tcPr/>
          <w:p>
            <w:pPr>
              <w:pStyle w:val="Compact"/>
              <w:jc w:val="left"/>
            </w:pPr>
            <w:r>
              <w:t xml:space="preserve">e enregistré 286</w:t>
            </w:r>
          </w:p>
        </w:tc>
        <w:tc>
          <w:tcPr/>
          <w:p>
            <w:pPr>
              <w:pStyle w:val="Compact"/>
            </w:pPr>
            <w:r>
              <w:t xml:space="preserve">000 13,6%</w:t>
            </w:r>
          </w:p>
        </w:tc>
        <w:tc>
          <w:tcPr/>
          <w:p>
            <w:pPr>
              <w:pStyle w:val="Compact"/>
              <w:jc w:val="left"/>
            </w:pPr>
            <w:r>
              <w:t xml:space="preserve">Bien plus élevé pour les sièges modulables</w:t>
            </w:r>
          </w:p>
        </w:tc>
      </w:tr>
      <w:tr>
        <w:tc>
          <w:tcPr/>
          <w:p>
            <w:pPr>
              <w:pStyle w:val="Compact"/>
              <w:jc w:val="left"/>
            </w:pPr>
            <w:r>
              <w:t xml:space="preserve">Panier ou devis initié</w:t>
            </w:r>
          </w:p>
        </w:tc>
        <w:tc>
          <w:tcPr/>
          <w:p>
            <w:pPr>
              <w:pStyle w:val="Compact"/>
              <w:jc w:val="left"/>
            </w:pPr>
            <w:r>
              <w:t xml:space="preserve">93 400</w:t>
            </w:r>
          </w:p>
        </w:tc>
        <w:tc>
          <w:tcPr/>
          <w:p>
            <w:pPr>
              <w:pStyle w:val="Compact"/>
            </w:pPr>
            <w:r>
              <w:t xml:space="preserve">32,7%</w:t>
            </w:r>
          </w:p>
        </w:tc>
        <w:tc>
          <w:tcPr/>
          <w:p>
            <w:pPr>
              <w:pStyle w:val="Compact"/>
              <w:jc w:val="left"/>
            </w:pPr>
            <w:r>
              <w:t xml:space="preserve">Chute forte lorsque la livraison dépasse 8 semaines</w:t>
            </w:r>
          </w:p>
        </w:tc>
      </w:tr>
      <w:tr>
        <w:tc>
          <w:tcPr/>
          <w:p>
            <w:pPr>
              <w:pStyle w:val="Compact"/>
              <w:jc w:val="left"/>
            </w:pPr>
            <w:r>
              <w:t xml:space="preserve">Commande finalisée</w:t>
            </w:r>
          </w:p>
        </w:tc>
        <w:tc>
          <w:tcPr/>
          <w:p>
            <w:pPr>
              <w:pStyle w:val="Compact"/>
              <w:jc w:val="left"/>
            </w:pPr>
            <w:r>
              <w:t xml:space="preserve">59 100</w:t>
            </w:r>
          </w:p>
        </w:tc>
        <w:tc>
          <w:tcPr/>
          <w:p>
            <w:pPr>
              <w:pStyle w:val="Compact"/>
            </w:pPr>
            <w:r>
              <w:t xml:space="preserve">63,3%</w:t>
            </w:r>
          </w:p>
        </w:tc>
        <w:tc>
          <w:tcPr/>
          <w:p>
            <w:pPr>
              <w:pStyle w:val="Compact"/>
              <w:jc w:val="left"/>
            </w:pPr>
            <w:r>
              <w:t xml:space="preserve">Sensible à l’approbation du financement</w:t>
            </w:r>
          </w:p>
        </w:tc>
      </w:tr>
      <w:tr>
        <w:tc>
          <w:tcPr/>
          <w:p>
            <w:pPr>
              <w:pStyle w:val="Compact"/>
              <w:jc w:val="left"/>
            </w:pPr>
            <w:r>
              <w:t xml:space="preserve">Commande conservée après 14 jou</w:t>
            </w:r>
          </w:p>
        </w:tc>
        <w:tc>
          <w:tcPr/>
          <w:p>
            <w:pPr>
              <w:pStyle w:val="Compact"/>
              <w:jc w:val="left"/>
            </w:pPr>
            <w:r>
              <w:t xml:space="preserve">rs 54 800</w:t>
            </w:r>
          </w:p>
        </w:tc>
        <w:tc>
          <w:tcPr/>
          <w:p>
            <w:pPr>
              <w:pStyle w:val="Compact"/>
            </w:pPr>
            <w:r>
              <w:t xml:space="preserve">92,7%</w:t>
            </w:r>
          </w:p>
        </w:tc>
        <w:tc>
          <w:tcPr/>
          <w:p>
            <w:pPr>
              <w:pStyle w:val="Compact"/>
              <w:jc w:val="left"/>
            </w:pPr>
            <w:r>
              <w:t xml:space="preserve">Annulations concentrées sur les commandes retardées</w:t>
            </w:r>
          </w:p>
        </w:tc>
      </w:tr>
    </w:tbl>
    <w:p>
      <w:pPr>
        <w:pStyle w:val="BodyText"/>
      </w:pPr>
      <w:r>
        <w:t xml:space="preserve">Le directeur des systèmes d’information mettait en garde contre l’excès de confiance. Les identités des clients étaient fragmentées entre les systèmes de magasin, de site web et de financement. Certains ménages faisaient leurs recherches en ligne mais achetaient en magasin sous le nom d’un conjoint. Les plateformes publicitaires rapportaient les conversions selon des fenêtres d’attribution différentes. Les directeurs de magasin saisissaient parfois les commandes sous des profils clients génériques pour gagner du temps. Une campagne pouvait sembler réussie dans un système et échouée dans un autre.</w:t>
      </w:r>
    </w:p>
    <w:bookmarkEnd w:id="16"/>
    <w:bookmarkEnd w:id="17"/>
    <w:bookmarkStart w:id="18" w:name="magasins-personnes-et-jugement-local"/>
    <w:p>
      <w:pPr>
        <w:pStyle w:val="Heading1"/>
      </w:pPr>
      <w:r>
        <w:t xml:space="preserve">Magasins, personnes et jugement local</w:t>
      </w:r>
    </w:p>
    <w:p>
      <w:pPr>
        <w:pStyle w:val="FirstParagraph"/>
      </w:pPr>
      <w:r>
        <w:t xml:space="preserve">La main-d’œuvre en magasin était à la fois un coût et un levier de demande. Les conseillers expérimentés aidaient les clients à coordonner les styles, expliquaient les choix de tissus, organisaient le financement et fixaient les attentes concernant la livraison. Les nouveaux conseillers avaient besoin de mois pour devenir productifs. Pourtant, doter chaque magasin en personnel pour le trafic de pointe était coûteux, et le trafic piéton variait selon la météo, les événements locaux et les promotions des concurrents.</w:t>
      </w:r>
    </w:p>
    <w:p>
      <w:pPr>
        <w:pStyle w:val="BodyText"/>
      </w:pPr>
      <w:r>
        <w:t xml:space="preserve">Les vice-présidents régionaux souhaitaient disposer d’une marge de manœuvre pour ajuster le personnel, les présentations, les promotions et les médias locaux. Le siège souhaitait des expériences cohérentes et des résultats comparables. Un directeur a noté qu’une promotion testée dans un magasin de banlieue doté de grandes salles d’exposition ne pouvait pas être jugée par rapport à une salle d’exposition urbaine où les clients s’appuyaient davantage sur la livraison et la visualisation numérique.</w:t>
      </w:r>
    </w:p>
    <w:bookmarkEnd w:id="18"/>
    <w:bookmarkStart w:id="19" w:name="X23a9cf36b53c1f95d62d7bd880923ad7aba8aa8"/>
    <w:p>
      <w:pPr>
        <w:pStyle w:val="Heading1"/>
      </w:pPr>
      <w:r>
        <w:t xml:space="preserve">La contrainte d’approvisionnement derrière la décision de demande</w:t>
      </w:r>
    </w:p>
    <w:p>
      <w:pPr>
        <w:pStyle w:val="FirstParagraph"/>
      </w:pPr>
      <w:r>
        <w:t xml:space="preserve">Bien que la mission de Marquez concerne la demande, elle ne pouvait ignorer le flux de produits. Les unités d’angle les plus vendues de la collection Solace étaient retardées chez un fournisseur de rembourrage. Les ensembles de salle à manger Alden remplissaient les emplacements du centre de distribution. Deux conteneurs de chambres importées devaient arriver avec trois semaines de retard après une congestion portuaire. Une campagne réussie pourrait détériorer le service client si elle promouvait des produits que l’entreprise ne pouvait pas livrer.</w:t>
      </w:r>
    </w:p>
    <w:p>
      <w:pPr>
        <w:pStyle w:val="BodyText"/>
      </w:pPr>
      <w:r>
        <w:t xml:space="preserve">L’équipe de la chaîne d’approvisionnement recommandait de ne commercialiser que les articles disposant d’au moins huit semaines de stock disponible. Le merchandising objectait qu’une telle règle favoriserait les produits lents et supprimerait précisément les collections générant l’enthousiasme de la marque. La finance suggérait de démarquer agressivement les produits en surstock. La direction de la marque s’inquiétait que des démarques répétées n’affaiblissent le positionnement moyen-premium de Hearthline.</w:t>
      </w:r>
    </w:p>
    <w:bookmarkEnd w:id="19"/>
    <w:bookmarkStart w:id="21" w:name="la-décision-avant-la-saison-des-fêtes"/>
    <w:p>
      <w:pPr>
        <w:pStyle w:val="Heading1"/>
      </w:pPr>
      <w:r>
        <w:t xml:space="preserve">La décision avant la saison des fêtes</w:t>
      </w:r>
    </w:p>
    <w:p>
      <w:pPr>
        <w:pStyle w:val="FirstParagraph"/>
      </w:pPr>
      <w:r>
        <w:t xml:space="preserve">Marquez a organisé le problème en trois approches générales, dont aucune n’excluait des actions de soutien plus modestes.</w:t>
      </w:r>
    </w:p>
    <w:p>
      <w:pPr>
        <w:pStyle w:val="BodyText"/>
      </w:pPr>
      <w:r>
        <w:t xml:space="preserve">Approche A : Concentrer. Hearthline réduirait l’assortiment visible, concentrerait le marketing sur un petit nombre de collections, augmenterait le personnel le week-end dans ses marchés les plus forts, et utiliserait des campagnes régionales adaptées au stock disponible. Cette approche promettait une exécution plus claire mais risquait de manquer de nouvelles préférences et d’affaiblir le trafic de recherche.</w:t>
      </w:r>
    </w:p>
    <w:p>
      <w:pPr>
        <w:pStyle w:val="BodyText"/>
      </w:pPr>
      <w:r>
        <w:t xml:space="preserve">Approche B : Promouvoir largement. L’entreprise conserverait son assortiment complet, lancerait la réduction groupée par pièce à l’échelle nationale, et étendrait la recherche payante et les réseaux sociaux. Le plan pourrait stimuler rapidement les ventes et fournir des données substantielles sur la réponse client, mais il pourrait sacrifier la marge et submerger les produits contraints et la capacité de livraison.</w:t>
      </w:r>
    </w:p>
    <w:p>
      <w:pPr>
        <w:pStyle w:val="BodyText"/>
      </w:pPr>
      <w:r>
        <w:t xml:space="preserve">Approche C : Expérimenter et apprendre. Hearthline limiterait les remises importantes, allouerait davantage de fonds aux expériences de pages web, aux enquêtes clients et aux tests régionaux contrôlés, et reporterait une campagne nationale jusqu’à l’obtention de résultats. L’approche pourrait améliorer les décisions futures, mais la saison des fêtes pourrait passer avant que l’entreprise n’agisse avec confiance.</w:t>
      </w:r>
    </w:p>
    <w:bookmarkStart w:id="20" w:name="X3155ed3477a9d36e8599e025b3866c2aea7d0c9"/>
    <w:p>
      <w:pPr>
        <w:pStyle w:val="Heading2"/>
      </w:pPr>
      <w:r>
        <w:t xml:space="preserve">Tableau 5. Scénarios de planification de la direction, septembre–décembre</w:t>
      </w:r>
    </w:p>
    <w:tbl>
      <w:tblPr>
        <w:tblStyle w:val="Table"/>
        <w:tblW w:type="pct" w:w="4907"/>
        <w:tblLayout w:type="fixed"/>
        <w:tblLook w:firstRow="1" w:lastRow="0" w:firstColumn="0" w:lastColumn="0" w:noHBand="0" w:noVBand="0" w:val="0020"/>
      </w:tblPr>
      <w:tblGrid>
        <w:gridCol w:w="2420"/>
        <w:gridCol w:w="880"/>
        <w:gridCol w:w="1100"/>
        <w:gridCol w:w="1393"/>
        <w:gridCol w:w="1980"/>
      </w:tblGrid>
      <w:tr>
        <w:trPr>
          <w:tblHeader w:val="on"/>
        </w:trPr>
        <w:tc>
          <w:tcPr/>
          <w:p>
            <w:pPr>
              <w:pStyle w:val="Compact"/>
              <w:jc w:val="left"/>
            </w:pPr>
            <w:r>
              <w:t xml:space="preserve">Scénario</w:t>
            </w:r>
          </w:p>
        </w:tc>
        <w:tc>
          <w:tcPr/>
          <w:p>
            <w:pPr>
              <w:pStyle w:val="Compact"/>
            </w:pPr>
            <w:r>
              <w:t xml:space="preserve">Ventes nette</w:t>
            </w:r>
          </w:p>
        </w:tc>
        <w:tc>
          <w:tcPr/>
          <w:p>
            <w:pPr>
              <w:pStyle w:val="Compact"/>
            </w:pPr>
            <w:r>
              <w:t xml:space="preserve">s Marge brute</w:t>
            </w:r>
          </w:p>
        </w:tc>
        <w:tc>
          <w:tcPr/>
          <w:p>
            <w:pPr>
              <w:pStyle w:val="Compact"/>
              <w:jc w:val="center"/>
            </w:pPr>
            <w:r>
              <w:t xml:space="preserve">Stock final</w:t>
            </w:r>
          </w:p>
        </w:tc>
        <w:tc>
          <w:tcPr/>
          <w:p>
            <w:pPr>
              <w:pStyle w:val="Compact"/>
              <w:jc w:val="right"/>
            </w:pPr>
            <w:r>
              <w:t xml:space="preserve">Taux de commandes en retard</w:t>
            </w:r>
          </w:p>
        </w:tc>
      </w:tr>
      <w:tr>
        <w:tc>
          <w:tcPr/>
          <w:p>
            <w:pPr>
              <w:pStyle w:val="Compact"/>
              <w:jc w:val="left"/>
            </w:pPr>
            <w:r>
              <w:t xml:space="preserve">Marché faible</w:t>
            </w:r>
          </w:p>
        </w:tc>
        <w:tc>
          <w:tcPr/>
          <w:p>
            <w:pPr>
              <w:pStyle w:val="Compact"/>
            </w:pPr>
            <w:r>
              <w:t xml:space="preserve">133 M$</w:t>
            </w:r>
          </w:p>
        </w:tc>
        <w:tc>
          <w:tcPr/>
          <w:p>
            <w:pPr>
              <w:pStyle w:val="Compact"/>
            </w:pPr>
            <w:r>
              <w:t xml:space="preserve">42,0%</w:t>
            </w:r>
          </w:p>
        </w:tc>
        <w:tc>
          <w:tcPr/>
          <w:p>
            <w:pPr>
              <w:pStyle w:val="Compact"/>
              <w:jc w:val="center"/>
            </w:pPr>
            <w:r>
              <w:t xml:space="preserve">112 M$</w:t>
            </w:r>
          </w:p>
        </w:tc>
        <w:tc>
          <w:tcPr/>
          <w:p>
            <w:pPr>
              <w:pStyle w:val="Compact"/>
              <w:jc w:val="right"/>
            </w:pPr>
            <w:r>
              <w:t xml:space="preserve">10%</w:t>
            </w:r>
          </w:p>
        </w:tc>
      </w:tr>
      <w:tr>
        <w:tc>
          <w:tcPr/>
          <w:p>
            <w:pPr>
              <w:pStyle w:val="Compact"/>
              <w:jc w:val="left"/>
            </w:pPr>
            <w:r>
              <w:t xml:space="preserve">Prévision de base</w:t>
            </w:r>
          </w:p>
        </w:tc>
        <w:tc>
          <w:tcPr/>
          <w:p>
            <w:pPr>
              <w:pStyle w:val="Compact"/>
            </w:pPr>
            <w:r>
              <w:t xml:space="preserve">151 M$</w:t>
            </w:r>
          </w:p>
        </w:tc>
        <w:tc>
          <w:tcPr/>
          <w:p>
            <w:pPr>
              <w:pStyle w:val="Compact"/>
            </w:pPr>
            <w:r>
              <w:t xml:space="preserve">43,5%</w:t>
            </w:r>
          </w:p>
        </w:tc>
        <w:tc>
          <w:tcPr/>
          <w:p>
            <w:pPr>
              <w:pStyle w:val="Compact"/>
              <w:jc w:val="center"/>
            </w:pPr>
            <w:r>
              <w:t xml:space="preserve">94 M$</w:t>
            </w:r>
          </w:p>
        </w:tc>
        <w:tc>
          <w:tcPr/>
          <w:p>
            <w:pPr>
              <w:pStyle w:val="Compact"/>
              <w:jc w:val="right"/>
            </w:pPr>
            <w:r>
              <w:t xml:space="preserve">13%</w:t>
            </w:r>
          </w:p>
        </w:tc>
      </w:tr>
      <w:tr>
        <w:tc>
          <w:tcPr/>
          <w:p>
            <w:pPr>
              <w:pStyle w:val="Compact"/>
              <w:jc w:val="left"/>
            </w:pPr>
            <w:r>
              <w:t xml:space="preserve">Réponse promotionnelle</w:t>
            </w:r>
          </w:p>
        </w:tc>
        <w:tc>
          <w:tcPr/>
          <w:p>
            <w:pPr>
              <w:pStyle w:val="Compact"/>
            </w:pPr>
            <w:r>
              <w:t xml:space="preserve">169 M$</w:t>
            </w:r>
          </w:p>
        </w:tc>
        <w:tc>
          <w:tcPr/>
          <w:p>
            <w:pPr>
              <w:pStyle w:val="Compact"/>
            </w:pPr>
            <w:r>
              <w:t xml:space="preserve">40,8%</w:t>
            </w:r>
          </w:p>
        </w:tc>
        <w:tc>
          <w:tcPr/>
          <w:p>
            <w:pPr>
              <w:pStyle w:val="Compact"/>
              <w:jc w:val="center"/>
            </w:pPr>
            <w:r>
              <w:t xml:space="preserve">76 M$</w:t>
            </w:r>
          </w:p>
        </w:tc>
        <w:tc>
          <w:tcPr/>
          <w:p>
            <w:pPr>
              <w:pStyle w:val="Compact"/>
              <w:jc w:val="right"/>
            </w:pPr>
            <w:r>
              <w:t xml:space="preserve">21%</w:t>
            </w:r>
          </w:p>
        </w:tc>
      </w:tr>
      <w:tr>
        <w:tc>
          <w:tcPr/>
          <w:p>
            <w:pPr>
              <w:pStyle w:val="Compact"/>
              <w:jc w:val="left"/>
            </w:pPr>
            <w:r>
              <w:t xml:space="preserve">Évolution du style vers Solace/Lu</w:t>
            </w:r>
          </w:p>
        </w:tc>
        <w:tc>
          <w:tcPr/>
          <w:p>
            <w:pPr>
              <w:pStyle w:val="Compact"/>
            </w:pPr>
            <w:r>
              <w:t xml:space="preserve">ma 158 M$</w:t>
            </w:r>
          </w:p>
        </w:tc>
        <w:tc>
          <w:tcPr/>
          <w:p>
            <w:pPr>
              <w:pStyle w:val="Compact"/>
            </w:pPr>
            <w:r>
              <w:t xml:space="preserve">44,1%</w:t>
            </w:r>
          </w:p>
        </w:tc>
        <w:tc>
          <w:tcPr/>
          <w:p>
            <w:pPr>
              <w:pStyle w:val="Compact"/>
              <w:jc w:val="center"/>
            </w:pPr>
            <w:r>
              <w:t xml:space="preserve">101 M$</w:t>
            </w:r>
          </w:p>
        </w:tc>
        <w:tc>
          <w:tcPr/>
          <w:p>
            <w:pPr>
              <w:pStyle w:val="Compact"/>
              <w:jc w:val="right"/>
            </w:pPr>
            <w:r>
              <w:t xml:space="preserve">27% sur les lignes contraintes</w:t>
            </w:r>
          </w:p>
        </w:tc>
      </w:tr>
      <w:tr>
        <w:tc>
          <w:tcPr/>
          <w:p>
            <w:pPr>
              <w:pStyle w:val="Compact"/>
              <w:jc w:val="left"/>
            </w:pPr>
            <w:r>
              <w:t xml:space="preserve">Guerre des prix concurrentielle</w:t>
            </w:r>
          </w:p>
        </w:tc>
        <w:tc>
          <w:tcPr/>
          <w:p>
            <w:pPr>
              <w:pStyle w:val="Compact"/>
            </w:pPr>
            <w:r>
              <w:t xml:space="preserve">162 M$</w:t>
            </w:r>
          </w:p>
        </w:tc>
        <w:tc>
          <w:tcPr/>
          <w:p>
            <w:pPr>
              <w:pStyle w:val="Compact"/>
            </w:pPr>
            <w:r>
              <w:t xml:space="preserve">38,9%</w:t>
            </w:r>
          </w:p>
        </w:tc>
        <w:tc>
          <w:tcPr/>
          <w:p>
            <w:pPr>
              <w:pStyle w:val="Compact"/>
              <w:jc w:val="center"/>
            </w:pPr>
            <w:r>
              <w:t xml:space="preserve">88 M$</w:t>
            </w:r>
          </w:p>
        </w:tc>
        <w:tc>
          <w:tcPr/>
          <w:p>
            <w:pPr>
              <w:pStyle w:val="Compact"/>
              <w:jc w:val="right"/>
            </w:pPr>
            <w:r>
              <w:t xml:space="preserve">15%</w:t>
            </w:r>
          </w:p>
        </w:tc>
      </w:tr>
    </w:tbl>
    <w:p>
      <w:pPr>
        <w:pStyle w:val="BodyText"/>
      </w:pPr>
      <w:r>
        <w:t xml:space="preserve">Les scénarios n’étaient pas des probabilités. C’étaient des récits internement cohérents assemblés par la finance, le merchandising, la chaîne d’approvisionnement et le marketing. Chaque groupe contestait les hypothèses des autres. Personne ne savait combien de ventes incrémentales une réduction générerait, comment les clients se substitueraient lorsque les produits préférés seraient indisponibles, ou avec quelle rapidité les concurrents réagiraient.</w:t>
      </w:r>
    </w:p>
    <w:bookmarkEnd w:id="20"/>
    <w:bookmarkEnd w:id="21"/>
    <w:bookmarkStart w:id="22" w:name="léchéance-du-vendredi"/>
    <w:p>
      <w:pPr>
        <w:pStyle w:val="Heading1"/>
      </w:pPr>
      <w:r>
        <w:t xml:space="preserve">L’échéance du vendredi</w:t>
      </w:r>
    </w:p>
    <w:p>
      <w:pPr>
        <w:pStyle w:val="FirstParagraph"/>
      </w:pPr>
      <w:r>
        <w:t xml:space="preserve">D’ici vendredi, Marquez devait recommander comment allouer le budget de 6,8 millions de dollars, quels produits et marchés privilégier, s’il fallait autoriser la réduction groupée nationale, et quelles informations Hearthline devait collecter avant et pendant la campagne. Le directeur général voulait également une liste de conditions dans lesquelles la direction devrait changer de cap au cours de la saison.</w:t>
      </w:r>
    </w:p>
    <w:p>
      <w:pPr>
        <w:pStyle w:val="BodyText"/>
      </w:pPr>
      <w:r>
        <w:t xml:space="preserve">En regardant les tableaux de bord, Marquez se demandait si le véritable problème de Hearthline était une demande faible, un mauvais assortiment, une exécution médiocre, des délais de livraison trop longs, un accompagnement client insuffisant, ou l’incapacité de l’entreprise à interpréter les signaux qu’elle possédait déjà. Chaque explication pointait vers une action différente. Chaque action pouvait modifier les preuves utilisées pour l’évaluer.</w:t>
      </w:r>
    </w:p>
    <w:bookmarkEnd w:id="22"/>
    <w:bookmarkStart w:id="23" w:name="questions-de-discussion"/>
    <w:p>
      <w:pPr>
        <w:pStyle w:val="Heading1"/>
      </w:pPr>
      <w:r>
        <w:t xml:space="preserve">Questions de discussion</w:t>
      </w:r>
    </w:p>
    <w:p>
      <w:pPr>
        <w:pStyle w:val="FirstParagraph"/>
      </w:pPr>
      <w:r>
        <w:t xml:space="preserve">1. Quel est le problème central auquel Marquez est confrontée ? Quels symptômes pourraient être des conséquences plutôt que des causes ?</w:t>
      </w:r>
    </w:p>
    <w:p>
      <w:pPr>
        <w:pStyle w:val="BodyText"/>
      </w:pPr>
      <w:r>
        <w:t xml:space="preserve">2. Comment Hearthline devrait-elle décider quels produits mettre en avant lorsque les produits les plus populaires peuvent être contraints par l’approvisionnement ?</w:t>
      </w:r>
    </w:p>
    <w:p>
      <w:pPr>
        <w:pStyle w:val="BodyText"/>
      </w:pPr>
      <w:r>
        <w:t xml:space="preserve">3. La réduction groupée par pièce devrait-elle être lancée à l’échelle nationale, testée régionalement, repensée ou rejetée ?</w:t>
      </w:r>
    </w:p>
    <w:p>
      <w:pPr>
        <w:pStyle w:val="BodyText"/>
      </w:pPr>
      <w:r>
        <w:t xml:space="preserve">4. Comment l’entreprise devrait-elle répartir les 6,8 millions de dollars entre les médias, les réductions, les expériences de site web, la recherche et le personnel en magasin ?</w:t>
      </w:r>
    </w:p>
    <w:p>
      <w:pPr>
        <w:pStyle w:val="BodyText"/>
      </w:pPr>
      <w:r>
        <w:t xml:space="preserve">5. Quelles preuves permettraient de distinguer un problème publicitaire d’un problème de tarification, d’assortiment, de livraison ou de personnel ?</w:t>
      </w:r>
    </w:p>
    <w:p>
      <w:pPr>
        <w:pStyle w:val="BodyText"/>
      </w:pPr>
      <w:r>
        <w:t xml:space="preserve">6. Quels comportements clients Hearthline devrait-elle tenter d’influencer, et lesquels pourraient être trop coûteux ou imprévisibles à gérer ?</w:t>
      </w:r>
    </w:p>
    <w:p>
      <w:pPr>
        <w:pStyle w:val="BodyText"/>
      </w:pPr>
      <w:r>
        <w:t xml:space="preserve">7. Comment l’activité en ligne et en magasin devrait-elle être évaluée lorsque les clients se déplacent entre les canaux ?</w:t>
      </w:r>
    </w:p>
    <w:p>
      <w:pPr>
        <w:pStyle w:val="BodyText"/>
      </w:pPr>
      <w:r>
        <w:t xml:space="preserve">8. Quelles expériences produiraient les informations les plus utiles avant la fin de la saison des fêtes ?</w:t>
      </w:r>
    </w:p>
    <w:p>
      <w:pPr>
        <w:pStyle w:val="BodyText"/>
      </w:pPr>
      <w:r>
        <w:t xml:space="preserve">9. Quels déclencheurs opérationnels devraient amener la direction à modifier la tarification, la publicité, l’assortiment ou le personnel pendant la campagne ?</w:t>
      </w:r>
    </w:p>
    <w:p>
      <w:pPr>
        <w:pStyle w:val="BodyText"/>
      </w:pPr>
      <w:r>
        <w:t xml:space="preserve">10. Qu’est-ce qui constituerait un résultat réussi si les ventes, la marge, le stock et le service et l’apprentissage pointent dans des directions différentes ?</w:t>
      </w:r>
    </w:p>
    <w:bookmarkEnd w:id="23"/>
    <w:bookmarkStart w:id="29" w:name="questions-de-cadrage-de-la-décision"/>
    <w:p>
      <w:pPr>
        <w:pStyle w:val="Heading1"/>
      </w:pPr>
      <w:r>
        <w:t xml:space="preserve">Questions de cadrage de la décision</w:t>
      </w:r>
    </w:p>
    <w:p>
      <w:pPr>
        <w:numPr>
          <w:ilvl w:val="0"/>
          <w:numId w:val="1001"/>
        </w:numPr>
      </w:pPr>
      <w:r>
        <w:t xml:space="preserve">Identifiez et décrivez les responsabilités du décideur. Cela devrait définir la portée du problème.</w:t>
      </w:r>
    </w:p>
    <w:p>
      <w:pPr>
        <w:numPr>
          <w:ilvl w:val="0"/>
          <w:numId w:val="1001"/>
        </w:numPr>
      </w:pPr>
      <w:r>
        <w:t xml:space="preserve">Utilisez l’</w:t>
      </w:r>
      <w:hyperlink r:id="rId24">
        <w:r>
          <w:rPr>
            <w:rStyle w:val="Hyperlink"/>
          </w:rPr>
          <w:t xml:space="preserve">outil de pyramide des métriques</w:t>
        </w:r>
      </w:hyperlink>
      <w:r>
        <w:t xml:space="preserve"> </w:t>
      </w:r>
      <w:r>
        <w:t xml:space="preserve">pour identifier et prioriser les différentes métriques de performance. Cliquez sur l’ovale contenant la métrique pour indiquer s’il s’agit d’une métrique à maximiser (vert), à minimiser (rouge), d’une cible qui est un plancher (vert clair) ou un plafond (rouge clair), ou enfin d’une cible (violet).</w:t>
      </w:r>
    </w:p>
    <w:p>
      <w:pPr>
        <w:numPr>
          <w:ilvl w:val="0"/>
          <w:numId w:val="1001"/>
        </w:numPr>
      </w:pPr>
      <w:r>
        <w:t xml:space="preserve">Utilisez l’</w:t>
      </w:r>
      <w:hyperlink r:id="rId25">
        <w:r>
          <w:rPr>
            <w:rStyle w:val="Hyperlink"/>
          </w:rPr>
          <w:t xml:space="preserve">outil de priorisation des décisions</w:t>
        </w:r>
      </w:hyperlink>
      <w:r>
        <w:t xml:space="preserve"> </w:t>
      </w:r>
      <w:r>
        <w:t xml:space="preserve">pour d’abord lister les différents types de décisions (utilisez les</w:t>
      </w:r>
      <w:r>
        <w:t xml:space="preserve"> </w:t>
      </w:r>
      <w:hyperlink r:id="rId26">
        <w:r>
          <w:rPr>
            <w:rStyle w:val="Hyperlink"/>
          </w:rPr>
          <w:t xml:space="preserve">types de décisions</w:t>
        </w:r>
      </w:hyperlink>
      <w:r>
        <w:t xml:space="preserve"> </w:t>
      </w:r>
      <w:r>
        <w:t xml:space="preserve">comme guide). Celles-ci peupleront ensuite les lignes de la matrice à droite, où les colonnes sont les métriques de performance triées de gauche à droite selon la priorité dans la pyramide ci-dessus. Cliquez sur chaque cellule pour indiquer si l’impact de la décision sur chaque métrique est élevé (rouge), moyen (orange), faible (jaune) ou nul (blanc).</w:t>
      </w:r>
    </w:p>
    <w:p>
      <w:pPr>
        <w:numPr>
          <w:ilvl w:val="0"/>
          <w:numId w:val="1001"/>
        </w:numPr>
      </w:pPr>
      <w:r>
        <w:t xml:space="preserve">Vous pouvez saisir la poignée (trois barres) la plus à gauche sur chaque ligne pour la déplacer vers le haut ou le bas. Triez les lignes de sorte que les décisions ayant le plus grand impact sur les métriques les plus importantes soient vers le haut. Les cellules dans le coin supérieur gauche devraient avoir la plus grande concentration de cellules rouges et orange. À ce stade, identifiez les décisions qui devraient recevoir le plus d’attention dans votre étude. Si vous n’avez aucune décision avec un impact moyen ou élevé sur les métriques les plus importantes, révisez votre liste de décisions.</w:t>
      </w:r>
    </w:p>
    <w:p>
      <w:pPr>
        <w:numPr>
          <w:ilvl w:val="0"/>
          <w:numId w:val="1001"/>
        </w:numPr>
      </w:pPr>
      <w:r>
        <w:t xml:space="preserve">Répétez le processus pour lister et prioriser les incertitudes en utilisant l’</w:t>
      </w:r>
      <w:hyperlink r:id="rId27">
        <w:r>
          <w:rPr>
            <w:rStyle w:val="Hyperlink"/>
          </w:rPr>
          <w:t xml:space="preserve">outil de priorisation des incertitudes</w:t>
        </w:r>
      </w:hyperlink>
      <w:r>
        <w:t xml:space="preserve">. Utilisez les</w:t>
      </w:r>
      <w:r>
        <w:t xml:space="preserve"> </w:t>
      </w:r>
      <w:hyperlink r:id="rId28">
        <w:r>
          <w:rPr>
            <w:rStyle w:val="Hyperlink"/>
          </w:rPr>
          <w:t xml:space="preserve">catégories d’incertitude</w:t>
        </w:r>
      </w:hyperlink>
      <w:r>
        <w:t xml:space="preserve"> </w:t>
      </w:r>
      <w:r>
        <w:t xml:space="preserve">pour vous aider à les identifier.</w:t>
      </w:r>
    </w:p>
    <w:p>
      <w:pPr>
        <w:numPr>
          <w:ilvl w:val="0"/>
          <w:numId w:val="1001"/>
        </w:numPr>
      </w:pPr>
      <w:r>
        <w:t xml:space="preserve">Il est important de différencier les incertitudes qui peuvent être évaluées en moyenne, ou comme des événements de risque :</w:t>
      </w:r>
    </w:p>
    <w:p>
      <w:pPr>
        <w:numPr>
          <w:ilvl w:val="1"/>
          <w:numId w:val="1002"/>
        </w:numPr>
      </w:pPr>
      <w:r>
        <w:t xml:space="preserve">Quelles sources d’incertitude seraient capturées en utilisant la performance moyenne au fil du temps ?</w:t>
      </w:r>
    </w:p>
    <w:p>
      <w:pPr>
        <w:numPr>
          <w:ilvl w:val="1"/>
          <w:numId w:val="1002"/>
        </w:numPr>
      </w:pPr>
      <w:r>
        <w:t xml:space="preserve">Quelles sources d’incertitude représentent des formes de risque qui ne sont pas correctement capturées par les moyennes ?</w:t>
      </w:r>
    </w:p>
    <w:p>
      <w:pPr>
        <w:numPr>
          <w:ilvl w:val="0"/>
          <w:numId w:val="1001"/>
        </w:numPr>
      </w:pPr>
      <w:r>
        <w:t xml:space="preserve">Choisissez la décision unique qui semble avoir l’impact le plus élevé sur la métrique la plus importante.</w:t>
      </w:r>
    </w:p>
    <w:p>
      <w:pPr>
        <w:numPr>
          <w:ilvl w:val="1"/>
          <w:numId w:val="1003"/>
        </w:numPr>
      </w:pPr>
      <w:r>
        <w:t xml:space="preserve">Quelle approche pensez-vous utiliser pour prendre cette décision ?</w:t>
      </w:r>
    </w:p>
    <w:p>
      <w:pPr>
        <w:numPr>
          <w:ilvl w:val="1"/>
          <w:numId w:val="1003"/>
        </w:numPr>
      </w:pPr>
      <w:r>
        <w:t xml:space="preserve">Quelles données semblent nécessaires pour prendre cette décision, y compris le calcul de toute métrique de performance pour laquelle la décision aurait un impact élevé ou moyen.</w:t>
      </w:r>
    </w:p>
    <w:p>
      <w:pPr>
        <w:numPr>
          <w:ilvl w:val="0"/>
          <w:numId w:val="1001"/>
        </w:numPr>
      </w:pPr>
      <w:r>
        <w:t xml:space="preserve">En utilisant la même décision que celle identifiée en (7), identifiez les personnes, départements, groupes ou organisations avec lesquels vous devriez travailler pour mettre en œuvre la décision.</w:t>
      </w:r>
    </w:p>
    <w:bookmarkEnd w:id="29"/>
    <w:bookmarkStart w:id="30" w:name="note-sur-les-sources"/>
    <w:p>
      <w:pPr>
        <w:pStyle w:val="Heading1"/>
      </w:pPr>
      <w:r>
        <w:t xml:space="preserve">Note sur les sources</w:t>
      </w:r>
    </w:p>
    <w:p>
      <w:pPr>
        <w:pStyle w:val="FirstParagraph"/>
      </w:pPr>
      <w:r>
        <w:t xml:space="preserve">Le fondement conceptuel de cette étude de cas est la section</w:t>
      </w:r>
      <w:r>
        <w:t xml:space="preserve"> </w:t>
      </w:r>
      <w:r>
        <w:t xml:space="preserve">“Demand management – selling furniture”</w:t>
      </w:r>
      <w:r>
        <w:t xml:space="preserve"> </w:t>
      </w:r>
      <w:r>
        <w:t xml:space="preserve">de Warren B. Powell, Bridging Decision Problems, Volume I: Framing the Problem, Chapitre 2. L’étude de cas intègre ces idées dans le récit et les pièces jointes sans étiqueter séparément les catégories de métriques, de décisions ou d’incertitudes.</w:t>
      </w:r>
    </w:p>
    <w:p>
      <w:pPr>
        <w:pStyle w:val="BodyText"/>
      </w:pPr>
      <w:r>
        <w:t xml:space="preserve">Données publiques utilisées pour motiver le contexte : U.S. Census Bureau, Monthly State Retail Sales, décembre 2025 (ventes des magasins de meubles et d’articles d’ameublement en baisse de 5,5 pour cent par rapport à décembre 2024) ; U.S. Census Bureau et U.S. Department of Housing and Urban Development, New Residential Sales, décembre 2025 (environ 679 000 nouvelles maisons individuelles vendues en 2025) ; et U.S. Census Bureau, Quarterly Retail E-Commerce Sales, premier trimestre 2026 (326,7 milliards de dollars de ventes de commerce électronique estimées). Toutes les données financières, opérationnelles, marketing et clients de Hearthline sont fictives.</w:t>
      </w:r>
    </w:p>
    <w:bookmarkEnd w:id="30"/>
    <w:bookmarkStart w:id="33" w:name="notes-chatgpt"/>
    <w:p>
      <w:pPr>
        <w:pStyle w:val="Heading1"/>
      </w:pPr>
      <w:r>
        <w:t xml:space="preserve">Notes ChatGPT</w:t>
      </w:r>
    </w:p>
    <w:bookmarkStart w:id="31" w:name="invite"/>
    <w:p>
      <w:pPr>
        <w:pStyle w:val="Heading2"/>
      </w:pPr>
      <w:r>
        <w:t xml:space="preserve">Invite</w:t>
      </w:r>
    </w:p>
    <w:p>
      <w:pPr>
        <w:pStyle w:val="FirstParagraph"/>
      </w:pPr>
      <w:r>
        <w:t xml:space="preserve">Rédigez une étude de cas de 4 à 6 pages basée sur le contenu de la section à l’adresse https://warrenpowell.org/bridging-vol1/chapter-2/#demandmanagementfurniture. Créez un contexte basé sur les métriques, décisions et incertitudes de la section, mais sans y attirer explicitement l’attention. Motivez votre problème de cas avec des données.</w:t>
      </w:r>
    </w:p>
    <w:bookmarkEnd w:id="31"/>
    <w:bookmarkStart w:id="32" w:name="résumé"/>
    <w:p>
      <w:pPr>
        <w:pStyle w:val="Heading2"/>
      </w:pPr>
      <w:r>
        <w:t xml:space="preserve">Résumé</w:t>
      </w:r>
    </w:p>
    <w:p>
      <w:pPr>
        <w:pStyle w:val="FirstParagraph"/>
      </w:pPr>
      <w:r>
        <w:t xml:space="preserve">L’étude de cas suit la structure conceptuelle de la section sur la gestion de la demande de meubles sans étiqueter explicitement ses catégories sous-jacentes. Elle place un détaillant régional de meubles fictif dans les mois précédant la saison des fêtes, confronté à des décisions concernant :</w:t>
      </w:r>
    </w:p>
    <w:p>
      <w:pPr>
        <w:numPr>
          <w:ilvl w:val="0"/>
          <w:numId w:val="1004"/>
        </w:numPr>
      </w:pPr>
      <w:r>
        <w:t xml:space="preserve">L’assortiment de produits et le stockage régional</w:t>
      </w:r>
    </w:p>
    <w:p>
      <w:pPr>
        <w:numPr>
          <w:ilvl w:val="0"/>
          <w:numId w:val="1004"/>
        </w:numPr>
      </w:pPr>
      <w:r>
        <w:t xml:space="preserve">La tarification, les offres groupées et les remises promotionnelles</w:t>
      </w:r>
    </w:p>
    <w:p>
      <w:pPr>
        <w:numPr>
          <w:ilvl w:val="0"/>
          <w:numId w:val="1004"/>
        </w:numPr>
      </w:pPr>
      <w:r>
        <w:t xml:space="preserve">La recherche payante, les réseaux sociaux, la télévision, le publipostage et les influenceurs</w:t>
      </w:r>
    </w:p>
    <w:p>
      <w:pPr>
        <w:numPr>
          <w:ilvl w:val="0"/>
          <w:numId w:val="1004"/>
        </w:numPr>
      </w:pPr>
      <w:r>
        <w:t xml:space="preserve">Les expériences sur le site web et la recherche client</w:t>
      </w:r>
    </w:p>
    <w:p>
      <w:pPr>
        <w:numPr>
          <w:ilvl w:val="0"/>
          <w:numId w:val="1004"/>
        </w:numPr>
      </w:pPr>
      <w:r>
        <w:t xml:space="preserve">Le personnel en magasin et la discrétion managériale locale</w:t>
      </w:r>
    </w:p>
    <w:p>
      <w:pPr>
        <w:numPr>
          <w:ilvl w:val="0"/>
          <w:numId w:val="1004"/>
        </w:numPr>
      </w:pPr>
      <w:r>
        <w:t xml:space="preserve">La coordination entre la stimulation de la demande et la disponibilité contrainte des produits</w:t>
      </w:r>
    </w:p>
    <w:p>
      <w:pPr>
        <w:pStyle w:val="FirstParagraph"/>
      </w:pPr>
      <w:r>
        <w:t xml:space="preserve">L’étude de cas contient cinq pièces quantitatives, des perspectives managériales concurrentes, trois approches stratégiques générales, et dix questions de discussion. Elle laisse délibérément non résolu si le problème principal de l’entreprise est une demande faible, un mauvais assortiment, la tarification, l’efficacité publicitaire, des retards de livraison, le personnel, ou son interprétation des données clients.</w:t>
      </w:r>
    </w:p>
    <w:p>
      <w:pPr>
        <w:pStyle w:val="BodyText"/>
      </w:pPr>
      <w:r>
        <w:t xml:space="preserve">Le contexte du marché est motivé par des données du Census montrant que les ventes des magasins de meubles et d’articles d’ameublement en décembre 2025 étaient inférieures de 5,5% par rapport à l’année précédente, qu’environ 679 000 nouvelles maisons individuelles ont été vendues au cours de 2025, et que les ventes de commerce électronique au détail aux États-Unis ont atteint un montant estimé à 326,7 milliards de dollars au premier trimestre 2026. Le cadre de l’étude de cas s’inspire de la section spécifiée sur la gestion de la demande de</w:t>
      </w:r>
      <w:r>
        <w:t xml:space="preserve"> </w:t>
      </w:r>
      <w:r>
        <w:rPr>
          <w:i/>
          <w:iCs/>
        </w:rPr>
        <w:t xml:space="preserve">Bridging Decision Problems, Volume I</w:t>
      </w:r>
      <w:r>
        <w:t xml:space="preserv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2026-09-11T15:45:42Z</dcterms:created>
  <dcterms:modified xsi:type="dcterms:W3CDTF">2026-09-11T15:45:42Z</dcterms:modified>
</cp:coreProperties>
</file>

<file path=docProps/custom.xml><?xml version="1.0" encoding="utf-8"?>
<Properties xmlns="http://schemas.openxmlformats.org/officeDocument/2006/custom-properties" xmlns:vt="http://schemas.openxmlformats.org/officeDocument/2006/docPropsVTypes"/>
</file>