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Lakeside Medical Group</w:t>
      </w:r>
    </w:p>
    <w:p>
      <w:pPr>
        <w:pStyle w:val="BodyText"/>
      </w:pPr>
      <w:r>
        <w:t xml:space="preserve">Les Quatre-Vingt-Dix Prochains Jours</w:t>
      </w:r>
    </w:p>
    <w:p>
      <w:pPr>
        <w:pStyle w:val="BodyText"/>
      </w:pPr>
      <w:r>
        <w:rPr>
          <w:i/>
          <w:iCs/>
        </w:rPr>
        <w:t xml:space="preserve">Une étude de cas commerciale sur la gestion du diabète de Type 2 lorsque la réponse clinique, le comportement quotidien, la technologie et l’accessibilité financière sont difficiles à distinguer</w:t>
      </w:r>
    </w:p>
    <w:p>
      <w:pPr>
        <w:pStyle w:val="BodyText"/>
      </w:pPr>
      <w:r>
        <w:t xml:space="preserve">Cette étude de cas est fictive et destinée à la discussion pédagogique. Les noms, événements, organisations et données opérationnelles sont inventés, bien que le contexte sectoriel s’appuie sur des sources publiques.</w:t>
      </w:r>
    </w:p>
    <w:tbl>
      <w:tblPr>
        <w:tblStyle w:val="Table"/>
        <w:tblW w:type="auto" w:w="0"/>
        <w:tblLook w:firstRow="0" w:lastRow="0" w:firstColumn="0" w:lastColumn="0" w:noHBand="0" w:noVBand="0" w:val="0000"/>
      </w:tblPr>
      <w:tblGrid>
        <w:gridCol w:w="7920"/>
      </w:tblGrid>
      <w:tr>
        <w:tc>
          <w:tcPr/>
          <w:p>
            <w:pPr>
              <w:pStyle w:val="Compact"/>
            </w:pPr>
            <w:r>
              <w:t xml:space="preserve">En octobre 2026, une équipe de soins primaires doit décider comment restructurer le traitement d’un patient dont la glycémie reste mal contrôlée malgré des visites répétées, des changements de médication et un counseling approfondi. La prochaine étape pourrait améliorer sa santé à long terme — ou ajouter des coûts et une complexité qu’il pourrait ne pas être en mesure de soutenir.</w:t>
            </w:r>
          </w:p>
        </w:tc>
      </w:tr>
    </w:tbl>
    <w:p>
      <w:r>
        <w:pict>
          <v:rect style="width:0;height:1.5pt" o:hralign="center" o:hrstd="t" o:hr="t"/>
        </w:pict>
      </w:r>
    </w:p>
    <w:p>
      <w:pPr>
        <w:pStyle w:val="FirstParagraph"/>
      </w:pPr>
      <w:r>
        <w:t xml:space="preserve">Cette étude de cas est fictive et destinée à la discussion pédagogique, et non à un conseil médical. Les noms, événements et données internes ont été créés pour l’étude de cas. Les statistiques publiques sont citées dans la note de source.</w:t>
      </w:r>
    </w:p>
    <w:bookmarkStart w:id="9" w:name="le-rendez-vous-du-mardi"/>
    <w:p>
      <w:pPr>
        <w:pStyle w:val="Heading1"/>
      </w:pPr>
      <w:r>
        <w:t xml:space="preserve">Le Rendez-vous du Mardi</w:t>
      </w:r>
    </w:p>
    <w:p>
      <w:pPr>
        <w:pStyle w:val="FirstParagraph"/>
      </w:pPr>
      <w:r>
        <w:t xml:space="preserve">À 7h35 le mardi matin, le Dr Elena Park a ouvert le dossier de Marcus Reed avant le premier rendez-vous à la clinique Northgate de Lakeside Medical Group. Reed avait 58 ans, travaillait selon des horaires rotatifs en tant que superviseur de maintenance, et vivait avec un diabète de Type 2 depuis neuf ans. Son dernier taux d’hémoglobine A1c était de 9,2 pour cent — plus élevé que six mois auparavant et bien au-dessus de l’objectif individualisé que son équipe de soins avait discuté avec lui.</w:t>
      </w:r>
    </w:p>
    <w:p>
      <w:pPr>
        <w:pStyle w:val="BodyText"/>
      </w:pPr>
      <w:r>
        <w:t xml:space="preserve">Le chiffre ne révélait pas ce qui n’avait pas fonctionné. Reed avait arrêté de prendre la metformine après des symptômes gastro-intestinaux récurrents. Il prenait un deuxième médicament oral la plupart des jours, mais pas de façon constante lorsque ses horaires changeaient. Il avait perdu huit livres au printemps, en avait repris cinq pendant un été d’heures supplémentaires, et avait manqué deux rendez-vous en s’occupant de sa mère. Un court essai de moniteur de glucose en continu avait montré des augmentations marquées après les repas tardifs, mais aussi deux relevés nocturnes suffisamment bas pour inquiéter le pharmacien de la clinique.</w:t>
      </w:r>
    </w:p>
    <w:p>
      <w:pPr>
        <w:pStyle w:val="BodyText"/>
      </w:pPr>
      <w:r>
        <w:t xml:space="preserve">Park avait programmé une conférence de cas de 30 minutes avec un pharmacien clinique, un éducateur en diabète, une infirmière gestionnaire de soins et un conseiller financier. Le groupe devait recommander un plan pour les quatre-vingt-dix prochains jours. Les options incluaient l’ajustement des médicaments, l’ajout d’une thérapie injectable, la prescription d’une surveillance de la glycémie à plus long terme, l’intensification du soutien nutritionnel et de l’exercice, l’organisation de contacts plus fréquents, ou la simplification du plan. Chaque option imposait des coûts et des charges différentes à Reed et à la clinique. Aucune ne garantissait que le plan résultant serait suivi — ni que son corps répondrait comme prévu.</w:t>
      </w:r>
    </w:p>
    <w:bookmarkEnd w:id="9"/>
    <w:bookmarkStart w:id="11" w:name="une-condition-vaste-et-coûteuse"/>
    <w:p>
      <w:pPr>
        <w:pStyle w:val="Heading1"/>
      </w:pPr>
      <w:r>
        <w:t xml:space="preserve">Une Condition Vaste et Coûteuse</w:t>
      </w:r>
    </w:p>
    <w:p>
      <w:pPr>
        <w:pStyle w:val="FirstParagraph"/>
      </w:pPr>
      <w:r>
        <w:t xml:space="preserve">La situation de Reed était suffisamment courante pour constituer un problème national, mais suffisamment personnelle pour résister à une solution standard. Le CDC estimait que 40,1 millions de personnes aux États-Unis étaient atteintes de diabète diagnostiqué ou non diagnostiqué en 2023, soit environ 12 pour cent de la population. Le diabète de Type 2 représente environ 90 à 95 pour cent des cas diagnostiqués. Plus d’un quart des adultes atteints de diabète ne savaient, selon les estimations, pas qu’ils en étaient atteints.</w:t>
      </w:r>
    </w:p>
    <w:p>
      <w:pPr>
        <w:pStyle w:val="BodyText"/>
      </w:pPr>
      <w:r>
        <w:t xml:space="preserve">Le fardeau financier était également considérable. Les estimations fédérales situaient le coût total du diabète à des centaines de milliards de dollars annuellement à travers les dépenses médicales directes et la productivité réduite. Les personnes atteintes de diabète encourent des coûts médicaux plus de deux fois supérieurs à ceux des personnes sans cette condition. Pourtant, plusieurs des conséquences les plus lourdes — insuffisance rénale, maladie cardiovasculaire, perte de vision, neuropathie et amputation du membre inférieur — se développent sur des années, tandis que les patients et les cliniciens font des choix chaque jour.</w:t>
      </w:r>
    </w:p>
    <w:bookmarkStart w:id="10" w:name="X6638447dda12221b1d514f97ff6cbd57738f240"/>
    <w:p>
      <w:pPr>
        <w:pStyle w:val="Heading2"/>
      </w:pPr>
      <w:r>
        <w:t xml:space="preserve">Exhibit 1. Marcus Reed : Profil Clinique et Personnel Actuel</w:t>
      </w:r>
    </w:p>
    <w:tbl>
      <w:tblPr>
        <w:tblStyle w:val="Table"/>
        <w:tblW w:type="pct" w:w="4900"/>
        <w:tblLayout w:type="fixed"/>
        <w:tblLook w:firstRow="1" w:lastRow="0" w:firstColumn="0" w:lastColumn="0" w:noHBand="0" w:noVBand="0" w:val="0020"/>
      </w:tblPr>
      <w:tblGrid>
        <w:gridCol w:w="2296"/>
        <w:gridCol w:w="3009"/>
        <w:gridCol w:w="2455"/>
      </w:tblGrid>
      <w:tr>
        <w:trPr>
          <w:tblHeader w:val="on"/>
        </w:trPr>
        <w:tc>
          <w:tcPr/>
          <w:p>
            <w:pPr>
              <w:pStyle w:val="Compact"/>
              <w:jc w:val="left"/>
            </w:pPr>
            <w:r>
              <w:t xml:space="preserve">Indicateur</w:t>
            </w:r>
          </w:p>
        </w:tc>
        <w:tc>
          <w:tcPr/>
          <w:p>
            <w:pPr>
              <w:pStyle w:val="Compact"/>
              <w:jc w:val="center"/>
            </w:pPr>
            <w:r>
              <w:t xml:space="preserve">Information actuelle</w:t>
            </w:r>
          </w:p>
        </w:tc>
        <w:tc>
          <w:tcPr/>
          <w:p>
            <w:pPr>
              <w:pStyle w:val="Compact"/>
              <w:jc w:val="right"/>
            </w:pPr>
            <w:r>
              <w:t xml:space="preserve">Point de référence antérieur</w:t>
            </w:r>
          </w:p>
        </w:tc>
      </w:tr>
      <w:tr>
        <w:tc>
          <w:tcPr/>
          <w:p>
            <w:pPr>
              <w:pStyle w:val="Compact"/>
              <w:jc w:val="left"/>
            </w:pPr>
            <w:r>
              <w:t xml:space="preserve">Hémoglobine A1c</w:t>
            </w:r>
          </w:p>
        </w:tc>
        <w:tc>
          <w:tcPr/>
          <w:p>
            <w:pPr>
              <w:pStyle w:val="Compact"/>
              <w:jc w:val="center"/>
            </w:pPr>
            <w:r>
              <w:t xml:space="preserve">9,2%</w:t>
            </w:r>
          </w:p>
        </w:tc>
        <w:tc>
          <w:tcPr/>
          <w:p>
            <w:pPr>
              <w:pStyle w:val="Compact"/>
              <w:jc w:val="right"/>
            </w:pPr>
            <w:r>
              <w:t xml:space="preserve">8,4% six mois auparavant</w:t>
            </w:r>
          </w:p>
        </w:tc>
      </w:tr>
      <w:tr>
        <w:tc>
          <w:tcPr/>
          <w:p>
            <w:pPr>
              <w:pStyle w:val="Compact"/>
              <w:jc w:val="left"/>
            </w:pPr>
            <w:r>
              <w:t xml:space="preserve">Glycémie de laboratoire à jeu</w:t>
            </w:r>
          </w:p>
        </w:tc>
        <w:tc>
          <w:tcPr/>
          <w:p>
            <w:pPr>
              <w:pStyle w:val="Compact"/>
              <w:jc w:val="center"/>
            </w:pPr>
            <w:r>
              <w:t xml:space="preserve">n 186 mg/dL</w:t>
            </w:r>
          </w:p>
        </w:tc>
        <w:tc>
          <w:tcPr/>
          <w:p>
            <w:pPr>
              <w:pStyle w:val="Compact"/>
              <w:jc w:val="right"/>
            </w:pPr>
            <w:r>
              <w:t xml:space="preserve">154 mg/dL six mois auparavant</w:t>
            </w:r>
          </w:p>
        </w:tc>
      </w:tr>
      <w:tr>
        <w:tc>
          <w:tcPr/>
          <w:p>
            <w:pPr>
              <w:pStyle w:val="Compact"/>
              <w:jc w:val="left"/>
            </w:pPr>
            <w:r>
              <w:t xml:space="preserve">Pression artérielle</w:t>
            </w:r>
          </w:p>
        </w:tc>
        <w:tc>
          <w:tcPr/>
          <w:p>
            <w:pPr>
              <w:pStyle w:val="Compact"/>
              <w:jc w:val="center"/>
            </w:pPr>
            <w:r>
              <w:t xml:space="preserve">142/86 mm Hg</w:t>
            </w:r>
          </w:p>
        </w:tc>
        <w:tc>
          <w:tcPr/>
          <w:p>
            <w:pPr>
              <w:pStyle w:val="Compact"/>
              <w:jc w:val="right"/>
            </w:pPr>
            <w:r>
              <w:t xml:space="preserve">Habituellement 134–140 / 80–86</w:t>
            </w:r>
          </w:p>
        </w:tc>
      </w:tr>
      <w:tr>
        <w:tc>
          <w:tcPr/>
          <w:p>
            <w:pPr>
              <w:pStyle w:val="Compact"/>
              <w:jc w:val="left"/>
            </w:pPr>
            <w:r>
              <w:t xml:space="preserve">Poids 226 lb</w:t>
            </w:r>
          </w:p>
        </w:tc>
        <w:tc>
          <w:tcPr/>
          <w:p>
            <w:pPr>
              <w:pStyle w:val="Compact"/>
              <w:jc w:val="center"/>
            </w:pPr>
            <w:r>
              <w:t xml:space="preserve">221 lb</w:t>
            </w:r>
          </w:p>
        </w:tc>
        <w:tc>
          <w:tcPr/>
          <w:p>
            <w:pPr>
              <w:pStyle w:val="Compact"/>
              <w:jc w:val="right"/>
            </w:pPr>
            <w:r>
              <w:t xml:space="preserve">trois mois auparavant</w:t>
            </w:r>
          </w:p>
        </w:tc>
      </w:tr>
      <w:tr>
        <w:tc>
          <w:tcPr/>
          <w:p>
            <w:pPr>
              <w:pStyle w:val="Compact"/>
              <w:jc w:val="left"/>
            </w:pPr>
            <w:r>
              <w:t xml:space="preserve">Fonction rénale</w:t>
            </w:r>
          </w:p>
        </w:tc>
        <w:tc>
          <w:tcPr/>
          <w:p>
            <w:pPr>
              <w:pStyle w:val="Compact"/>
              <w:jc w:val="center"/>
            </w:pPr>
            <w:r>
              <w:t xml:space="preserve">Légère baisse ; stable au nouveau tes</w:t>
            </w:r>
          </w:p>
        </w:tc>
        <w:tc>
          <w:tcPr/>
          <w:p>
            <w:pPr>
              <w:pStyle w:val="Compact"/>
              <w:jc w:val="right"/>
            </w:pPr>
            <w:r>
              <w:t xml:space="preserve">t Normale deux ans auparavant</w:t>
            </w:r>
          </w:p>
        </w:tc>
      </w:tr>
      <w:tr>
        <w:tc>
          <w:tcPr/>
          <w:p>
            <w:pPr>
              <w:pStyle w:val="Compact"/>
              <w:jc w:val="left"/>
            </w:pPr>
            <w:r>
              <w:t xml:space="preserve">Examen oculaire</w:t>
            </w:r>
          </w:p>
        </w:tc>
        <w:tc>
          <w:tcPr/>
          <w:p>
            <w:pPr>
              <w:pStyle w:val="Compact"/>
              <w:jc w:val="center"/>
            </w:pPr>
            <w:r>
              <w:t xml:space="preserve">En retard de 14 mois</w:t>
            </w:r>
          </w:p>
        </w:tc>
        <w:tc>
          <w:tcPr/>
          <w:p>
            <w:pPr>
              <w:pStyle w:val="Compact"/>
              <w:jc w:val="right"/>
            </w:pPr>
            <w:r>
              <w:t xml:space="preserve">Aucune rétinopathie au dernier examen</w:t>
            </w:r>
          </w:p>
        </w:tc>
      </w:tr>
      <w:tr>
        <w:tc>
          <w:tcPr/>
          <w:p>
            <w:pPr>
              <w:pStyle w:val="Compact"/>
              <w:jc w:val="left"/>
            </w:pPr>
            <w:r>
              <w:t xml:space="preserve">Symptômes aux pieds</w:t>
            </w:r>
          </w:p>
        </w:tc>
        <w:tc>
          <w:tcPr/>
          <w:p>
            <w:pPr>
              <w:pStyle w:val="Compact"/>
              <w:jc w:val="center"/>
            </w:pPr>
            <w:r>
              <w:t xml:space="preserve">Engourdissement intermittent</w:t>
            </w:r>
          </w:p>
        </w:tc>
        <w:tc>
          <w:tcPr/>
          <w:p>
            <w:pPr>
              <w:pStyle w:val="Compact"/>
              <w:jc w:val="right"/>
            </w:pPr>
            <w:r>
              <w:t xml:space="preserve">Signalé deux fois dans l’année écoulée</w:t>
            </w:r>
          </w:p>
        </w:tc>
      </w:tr>
      <w:tr>
        <w:tc>
          <w:tcPr/>
          <w:p>
            <w:pPr>
              <w:pStyle w:val="Compact"/>
              <w:jc w:val="left"/>
            </w:pPr>
            <w:r>
              <w:t xml:space="preserve">Horaire de travail</w:t>
            </w:r>
          </w:p>
        </w:tc>
        <w:tc>
          <w:tcPr/>
          <w:p>
            <w:pPr>
              <w:pStyle w:val="Compact"/>
              <w:jc w:val="center"/>
            </w:pPr>
            <w:r>
              <w:t xml:space="preserve">Horaires rotatifs jour/nuit</w:t>
            </w:r>
          </w:p>
        </w:tc>
        <w:tc>
          <w:tcPr/>
          <w:p>
            <w:pPr>
              <w:pStyle w:val="Compact"/>
              <w:jc w:val="right"/>
            </w:pPr>
            <w:r>
              <w:t xml:space="preserve">L’horaire change chaque semaine</w:t>
            </w:r>
          </w:p>
        </w:tc>
      </w:tr>
      <w:tr>
        <w:tc>
          <w:tcPr/>
          <w:p>
            <w:pPr>
              <w:pStyle w:val="Compact"/>
              <w:jc w:val="left"/>
            </w:pPr>
            <w:r>
              <w:t xml:space="preserve">Couverture médicamenteuse</w:t>
            </w:r>
          </w:p>
        </w:tc>
        <w:tc>
          <w:tcPr/>
          <w:p>
            <w:pPr>
              <w:pStyle w:val="Compact"/>
              <w:jc w:val="center"/>
            </w:pPr>
            <w:r>
              <w:t xml:space="preserve">Franchise annuelle de 2 000 $</w:t>
            </w:r>
          </w:p>
        </w:tc>
        <w:tc>
          <w:tcPr/>
          <w:p>
            <w:pPr>
              <w:pStyle w:val="Compact"/>
              <w:jc w:val="right"/>
            </w:pPr>
            <w:r>
              <w:t xml:space="preserve">La franchise se réinitialise le 1er janvier</w:t>
            </w:r>
          </w:p>
        </w:tc>
      </w:tr>
    </w:tbl>
    <w:p>
      <w:pPr>
        <w:pStyle w:val="BodyText"/>
      </w:pPr>
      <w:r>
        <w:t xml:space="preserve">Park était réticente à interpréter la hausse du A1c comme un simple échec d’effort. Ce chiffre résumait environ deux à trois mois d’exposition au glucose mais ne montrait pas quand les niveaux de Reed étaient élevés ou bas. Les relevés par piqûre au doigt étaient rares et regroupés avant les rendez-vous. L’essai du moniteur ne couvrait que quatorze jours, incluant une semaine où Reed travaillait de nuit et une où il était en vacances.</w:t>
      </w:r>
    </w:p>
    <w:bookmarkEnd w:id="10"/>
    <w:bookmarkEnd w:id="11"/>
    <w:bookmarkStart w:id="13" w:name="ce-que-le-moniteur-a-révélé-et-dissimulé"/>
    <w:p>
      <w:pPr>
        <w:pStyle w:val="Heading1"/>
      </w:pPr>
      <w:r>
        <w:t xml:space="preserve">Ce que le Moniteur a Révélé — et Dissimulé</w:t>
      </w:r>
    </w:p>
    <w:p>
      <w:pPr>
        <w:pStyle w:val="FirstParagraph"/>
      </w:pPr>
      <w:r>
        <w:t xml:space="preserve">Le moniteur en continu avait produit plus de 1 300 relevés. La glycémie moyenne de Reed était élevée, mais les schémas quotidiens variaient largement. Lors des équipes de jour, le petit-déjeuner et le déjeuner étaient relativement prévisibles. Lors des équipes de nuit, il mangeait parfois un gros repas près de minuit, sautait le petit-déjeuner, et dormait jusqu’en début d’après-midi. L’exercice dépendait du fait qu’il passait la journée à superviser ou à réparer l’équipement lui-même.</w:t>
      </w:r>
    </w:p>
    <w:bookmarkStart w:id="12" w:name="X36a902953fbebc1d918469c437c1217c0ff0b9d"/>
    <w:p>
      <w:pPr>
        <w:pStyle w:val="Heading2"/>
      </w:pPr>
      <w:r>
        <w:t xml:space="preserve">Exhibit 2. Résumé du Moniteur de Glucose sur Quatorze Jours</w:t>
      </w:r>
    </w:p>
    <w:tbl>
      <w:tblPr>
        <w:tblStyle w:val="Table"/>
        <w:tblW w:type="pct" w:w="4896"/>
        <w:tblLayout w:type="fixed"/>
        <w:tblLook w:firstRow="1" w:lastRow="0" w:firstColumn="0" w:lastColumn="0" w:noHBand="0" w:noVBand="0" w:val="0020"/>
      </w:tblPr>
      <w:tblGrid>
        <w:gridCol w:w="2227"/>
        <w:gridCol w:w="1485"/>
        <w:gridCol w:w="4042"/>
      </w:tblGrid>
      <w:tr>
        <w:trPr>
          <w:tblHeader w:val="on"/>
        </w:trPr>
        <w:tc>
          <w:tcPr/>
          <w:p>
            <w:pPr>
              <w:pStyle w:val="Compact"/>
            </w:pPr>
            <w:r>
              <w:t xml:space="preserve">Mesure R</w:t>
            </w:r>
          </w:p>
        </w:tc>
        <w:tc>
          <w:tcPr/>
          <w:p>
            <w:pPr>
              <w:pStyle w:val="Compact"/>
              <w:jc w:val="left"/>
            </w:pPr>
            <w:r>
              <w:t xml:space="preserve">ésultat observé</w:t>
            </w:r>
          </w:p>
        </w:tc>
        <w:tc>
          <w:tcPr/>
          <w:p>
            <w:pPr>
              <w:pStyle w:val="Compact"/>
              <w:jc w:val="left"/>
            </w:pPr>
            <w:r>
              <w:t xml:space="preserve">Schéma noté par l’équipe</w:t>
            </w:r>
          </w:p>
        </w:tc>
      </w:tr>
      <w:tr>
        <w:tc>
          <w:tcPr/>
          <w:p>
            <w:pPr>
              <w:pStyle w:val="Compact"/>
            </w:pPr>
            <w:r>
              <w:t xml:space="preserve">Glycémie moyenne</w:t>
            </w:r>
          </w:p>
        </w:tc>
        <w:tc>
          <w:tcPr/>
          <w:p>
            <w:pPr>
              <w:pStyle w:val="Compact"/>
              <w:jc w:val="left"/>
            </w:pPr>
            <w:r>
              <w:t xml:space="preserve">204 mg/dL</w:t>
            </w:r>
          </w:p>
        </w:tc>
        <w:tc>
          <w:tcPr/>
          <w:p>
            <w:pPr>
              <w:pStyle w:val="Compact"/>
              <w:jc w:val="left"/>
            </w:pPr>
            <w:r>
              <w:t xml:space="preserve">Plus élevée les jours d’équipe de nuit</w:t>
            </w:r>
          </w:p>
        </w:tc>
      </w:tr>
      <w:tr>
        <w:tc>
          <w:tcPr/>
          <w:p>
            <w:pPr>
              <w:pStyle w:val="Compact"/>
            </w:pPr>
            <w:r>
              <w:t xml:space="preserve">Temps 70–180 mg/dL</w:t>
            </w:r>
          </w:p>
        </w:tc>
        <w:tc>
          <w:tcPr/>
          <w:p>
            <w:pPr>
              <w:pStyle w:val="Compact"/>
              <w:jc w:val="left"/>
            </w:pPr>
            <w:r>
              <w:t xml:space="preserve">38%</w:t>
            </w:r>
          </w:p>
        </w:tc>
        <w:tc>
          <w:tcPr/>
          <w:p>
            <w:pPr>
              <w:pStyle w:val="Compact"/>
              <w:jc w:val="left"/>
            </w:pPr>
            <w:r>
              <w:t xml:space="preserve">Meilleur les week-ends avec des repas réguliers</w:t>
            </w:r>
          </w:p>
        </w:tc>
      </w:tr>
      <w:tr>
        <w:tc>
          <w:tcPr/>
          <w:p>
            <w:pPr>
              <w:pStyle w:val="Compact"/>
            </w:pPr>
            <w:r>
              <w:t xml:space="preserve">Temps au-dessus de 180 mg/d</w:t>
            </w:r>
          </w:p>
        </w:tc>
        <w:tc>
          <w:tcPr/>
          <w:p>
            <w:pPr>
              <w:pStyle w:val="Compact"/>
              <w:jc w:val="left"/>
            </w:pPr>
            <w:r>
              <w:t xml:space="preserve">L 59%</w:t>
            </w:r>
          </w:p>
        </w:tc>
        <w:tc>
          <w:tcPr/>
          <w:p>
            <w:pPr>
              <w:pStyle w:val="Compact"/>
              <w:jc w:val="left"/>
            </w:pPr>
            <w:r>
              <w:t xml:space="preserve">Concentré après les repas du soir / de nuit</w:t>
            </w:r>
          </w:p>
        </w:tc>
      </w:tr>
      <w:tr>
        <w:tc>
          <w:tcPr/>
          <w:p>
            <w:pPr>
              <w:pStyle w:val="Compact"/>
            </w:pPr>
            <w:r>
              <w:t xml:space="preserve">Temps en dessous de 70 mg/d</w:t>
            </w:r>
          </w:p>
        </w:tc>
        <w:tc>
          <w:tcPr/>
          <w:p>
            <w:pPr>
              <w:pStyle w:val="Compact"/>
              <w:jc w:val="left"/>
            </w:pPr>
            <w:r>
              <w:t xml:space="preserve">L 3%</w:t>
            </w:r>
          </w:p>
        </w:tc>
        <w:tc>
          <w:tcPr/>
          <w:p>
            <w:pPr>
              <w:pStyle w:val="Compact"/>
              <w:jc w:val="left"/>
            </w:pPr>
            <w:r>
              <w:t xml:space="preserve">Deux épisodes nocturnes</w:t>
            </w:r>
          </w:p>
        </w:tc>
      </w:tr>
      <w:tr>
        <w:tc>
          <w:tcPr/>
          <w:p>
            <w:pPr>
              <w:pStyle w:val="Compact"/>
            </w:pPr>
            <w:r>
              <w:t xml:space="preserve">Équivalent A1c estimé 8,7</w:t>
            </w:r>
          </w:p>
        </w:tc>
        <w:tc>
          <w:tcPr/>
          <w:p>
            <w:pPr>
              <w:pStyle w:val="Compact"/>
              <w:jc w:val="left"/>
            </w:pPr>
            <w:r>
              <w:t xml:space="preserve">% Inf</w:t>
            </w:r>
          </w:p>
        </w:tc>
        <w:tc>
          <w:tcPr/>
          <w:p>
            <w:pPr>
              <w:pStyle w:val="Compact"/>
              <w:jc w:val="left"/>
            </w:pPr>
            <w:r>
              <w:t xml:space="preserve">érieur au A1c de laboratoire</w:t>
            </w:r>
          </w:p>
        </w:tc>
      </w:tr>
      <w:tr>
        <w:tc>
          <w:tcPr/>
          <w:p>
            <w:pPr>
              <w:pStyle w:val="Compact"/>
            </w:pPr>
            <w:r>
              <w:t xml:space="preserve">Variabilité quotidienne</w:t>
            </w:r>
          </w:p>
        </w:tc>
        <w:tc>
          <w:tcPr/>
          <w:p>
            <w:pPr>
              <w:pStyle w:val="Compact"/>
              <w:jc w:val="left"/>
            </w:pPr>
            <w:r>
              <w:t xml:space="preserve">Élevée</w:t>
            </w:r>
          </w:p>
        </w:tc>
        <w:tc>
          <w:tcPr/>
          <w:p>
            <w:pPr>
              <w:pStyle w:val="Compact"/>
              <w:jc w:val="left"/>
            </w:pPr>
            <w:r>
              <w:t xml:space="preserve">Le moment des repas et de la médication ont tous deux changé</w:t>
            </w:r>
          </w:p>
        </w:tc>
      </w:tr>
    </w:tbl>
    <w:p>
      <w:pPr>
        <w:pStyle w:val="BodyText"/>
      </w:pPr>
      <w:r>
        <w:t xml:space="preserve">Le pharmacien voyait des preuves que le médicament actuel pourrait contribuer aux hypoglycémies nocturnes lorsque Reed sautait des repas. L’éducateur y voyait un problème de moment des repas. Park y voyait la preuve qu’un médicament plus efficace pourrait être nécessaire. Reed y voyait un appareil qui bipait pendant les réunions, se desserrait quand il transpirait, et le rendait anxieux chaque fois que le graphique bougeait brusquement.</w:t>
      </w:r>
    </w:p>
    <w:p>
      <w:pPr>
        <w:pStyle w:val="BodyText"/>
      </w:pPr>
      <w:r>
        <w:t xml:space="preserve">Le moniteur soulevait aussi des questions sur l’observation elle-même. Reed a rapporté avoir changé ce qu’il mangeait parce qu’il savait que l’appareil enregistrait. Si la surveillance améliorait son comportement, elle pourrait faire partie du traitement. Si elle produisait simplement deux semaines inhabituellement disciplinées, ses prévisions de contrôle futur pourraient être trompeuses.</w:t>
      </w:r>
    </w:p>
    <w:bookmarkEnd w:id="12"/>
    <w:bookmarkEnd w:id="13"/>
    <w:bookmarkStart w:id="15" w:name="le-parcours-de-traitement-jusquà-présent"/>
    <w:p>
      <w:pPr>
        <w:pStyle w:val="Heading1"/>
      </w:pPr>
      <w:r>
        <w:t xml:space="preserve">Le Parcours de Traitement Jusqu’à Présent</w:t>
      </w:r>
    </w:p>
    <w:p>
      <w:pPr>
        <w:pStyle w:val="FirstParagraph"/>
      </w:pPr>
      <w:r>
        <w:t xml:space="preserve">Lorsque Reed a été diagnostiqué, son A1c a diminué après qu’il a modifié son régime alimentaire, marché régulièrement, et commencé la metformine. Au fil du temps, les bénéfices se sont affaiblis. L’augmentation de la dose a causé des problèmes d’estomac. Une dose plus faible était tolérable mais semblait insuffisante. Un deuxième médicament oral a amélioré les relevés mais a introduit une préoccupation accrue concernant l’hypoglycémie lorsque les repas étaient retardés. Reed résistait aux injections, en partie parce qu’il les associait au diabète sévère vécu par son père.</w:t>
      </w:r>
    </w:p>
    <w:p>
      <w:pPr>
        <w:pStyle w:val="BodyText"/>
      </w:pPr>
      <w:r>
        <w:t xml:space="preserve">Les cliniciens de Lakeside disposaient de plusieurs voies de traitement générales. Les médicaments plus récents pouvaient améliorer les niveaux de glucose et parfois aider au poids ou au risque cardiovasculaire, mais l’approbation de l’assurance et les dépenses personnelles variaient. L’insuline pouvait réduire le glucose de manière fiable lorsqu’elle était prise et ajustée correctement, mais elle nécessitait de la formation, de la surveillance, et de l’attention au risque d’hypoglycémie. La technologie pouvait révéler des schémas, mais seulement si Reed la portait et que l’équipe de soins avait le temps d’interpréter les données.</w:t>
      </w:r>
    </w:p>
    <w:bookmarkStart w:id="14" w:name="X664acb7430aadadb726fc9f91a7f6d5f8c77853"/>
    <w:p>
      <w:pPr>
        <w:pStyle w:val="Heading2"/>
      </w:pPr>
      <w:r>
        <w:t xml:space="preserve">Exhibit 3. Estimations de Planification pour les Approches Sélectionnées</w:t>
      </w:r>
    </w:p>
    <w:tbl>
      <w:tblPr>
        <w:tblStyle w:val="Table"/>
        <w:tblW w:type="pct" w:w="4928"/>
        <w:tblLayout w:type="fixed"/>
        <w:tblLook w:firstRow="1" w:lastRow="0" w:firstColumn="0" w:lastColumn="0" w:noHBand="0" w:noVBand="0" w:val="0020"/>
      </w:tblPr>
      <w:tblGrid>
        <w:gridCol w:w="2180"/>
        <w:gridCol w:w="1549"/>
        <w:gridCol w:w="2008"/>
        <w:gridCol w:w="2066"/>
      </w:tblGrid>
      <w:tr>
        <w:trPr>
          <w:tblHeader w:val="on"/>
        </w:trPr>
        <w:tc>
          <w:tcPr/>
          <w:p>
            <w:pPr>
              <w:pStyle w:val="Compact"/>
              <w:jc w:val="left"/>
            </w:pPr>
            <w:r>
              <w:t xml:space="preserve">Approche</w:t>
            </w:r>
          </w:p>
        </w:tc>
        <w:tc>
          <w:tcPr/>
          <w:p>
            <w:pPr>
              <w:pStyle w:val="Compact"/>
            </w:pPr>
            <w:r>
              <w:t xml:space="preserve">Coût patient estimé* Eff</w:t>
            </w:r>
          </w:p>
        </w:tc>
        <w:tc>
          <w:tcPr/>
          <w:p>
            <w:pPr>
              <w:pStyle w:val="Compact"/>
            </w:pPr>
            <w:r>
              <w:t xml:space="preserve">ort de la clinique dans les 90 prem</w:t>
            </w:r>
          </w:p>
        </w:tc>
        <w:tc>
          <w:tcPr/>
          <w:p>
            <w:pPr>
              <w:pStyle w:val="Compact"/>
            </w:pPr>
            <w:r>
              <w:t xml:space="preserve">iers jours Préoccupation principale</w:t>
            </w:r>
          </w:p>
        </w:tc>
      </w:tr>
      <w:tr>
        <w:tc>
          <w:tcPr/>
          <w:p>
            <w:pPr>
              <w:pStyle w:val="Compact"/>
              <w:jc w:val="left"/>
            </w:pPr>
            <w:r>
              <w:t xml:space="preserve">Simplifier le régime oral</w:t>
            </w:r>
          </w:p>
        </w:tc>
        <w:tc>
          <w:tcPr/>
          <w:p>
            <w:pPr>
              <w:pStyle w:val="Compact"/>
            </w:pPr>
            <w:r>
              <w:t xml:space="preserve">15–55 $/mois</w:t>
            </w:r>
          </w:p>
        </w:tc>
        <w:tc>
          <w:tcPr/>
          <w:p>
            <w:pPr>
              <w:pStyle w:val="Compact"/>
            </w:pPr>
            <w:r>
              <w:t xml:space="preserve">2 visites + suivi téléphonique</w:t>
            </w:r>
          </w:p>
        </w:tc>
        <w:tc>
          <w:tcPr/>
          <w:p>
            <w:pPr>
              <w:pStyle w:val="Compact"/>
            </w:pPr>
            <w:r>
              <w:t xml:space="preserve">Peut ne pas abaisser suffisamment le glucose</w:t>
            </w:r>
          </w:p>
        </w:tc>
      </w:tr>
      <w:tr>
        <w:tc>
          <w:tcPr/>
          <w:p>
            <w:pPr>
              <w:pStyle w:val="Compact"/>
              <w:jc w:val="left"/>
            </w:pPr>
            <w:r>
              <w:t xml:space="preserve">Ajouter un injectable hebdomadaire plu</w:t>
            </w:r>
          </w:p>
        </w:tc>
        <w:tc>
          <w:tcPr/>
          <w:p>
            <w:pPr>
              <w:pStyle w:val="Compact"/>
            </w:pPr>
            <w:r>
              <w:t xml:space="preserve">s récent 90–550</w:t>
            </w:r>
            <w:r>
              <w:br/>
            </w:r>
          </w:p>
        </w:tc>
        <w:tc>
          <w:tcPr/>
          <w:p>
            <w:pPr>
              <w:pStyle w:val="Compact"/>
            </w:pPr>
            <w:r>
              <w:t xml:space="preserve">$/mois Autorisation préal</w:t>
            </w:r>
          </w:p>
        </w:tc>
        <w:tc>
          <w:tcPr/>
          <w:p>
            <w:pPr>
              <w:pStyle w:val="Compact"/>
            </w:pPr>
            <w:r>
              <w:t xml:space="preserve">able + 3 contacts Coût, tolérance, disponibilité</w:t>
            </w:r>
          </w:p>
        </w:tc>
      </w:tr>
      <w:tr>
        <w:tc>
          <w:tcPr/>
          <w:p>
            <w:pPr>
              <w:pStyle w:val="Compact"/>
              <w:jc w:val="left"/>
            </w:pPr>
            <w:r>
              <w:t xml:space="preserve">Commencer l’insuline basale</w:t>
            </w:r>
          </w:p>
        </w:tc>
        <w:tc>
          <w:tcPr/>
          <w:p>
            <w:pPr>
              <w:pStyle w:val="Compact"/>
            </w:pPr>
            <w:r>
              <w:t xml:space="preserve">35–140 $/mois</w:t>
            </w:r>
          </w:p>
        </w:tc>
        <w:tc>
          <w:tcPr/>
          <w:p>
            <w:pPr>
              <w:pStyle w:val="Compact"/>
            </w:pPr>
            <w:r>
              <w:t xml:space="preserve">Formation + révision fréquent</w:t>
            </w:r>
          </w:p>
        </w:tc>
        <w:tc>
          <w:tcPr/>
          <w:p>
            <w:pPr>
              <w:pStyle w:val="Compact"/>
            </w:pPr>
            <w:r>
              <w:t xml:space="preserve">e de la dose Hypoglycémie ; résistance à l’injection</w:t>
            </w:r>
          </w:p>
        </w:tc>
      </w:tr>
      <w:tr>
        <w:tc>
          <w:tcPr/>
          <w:p>
            <w:pPr>
              <w:pStyle w:val="Compact"/>
              <w:jc w:val="left"/>
            </w:pPr>
            <w:r>
              <w:t xml:space="preserve">Poursuivre le CGM pendant 90 jours</w:t>
            </w:r>
          </w:p>
        </w:tc>
        <w:tc>
          <w:tcPr/>
          <w:p>
            <w:pPr>
              <w:pStyle w:val="Compact"/>
            </w:pPr>
            <w:r>
              <w:t xml:space="preserve">0–180 $/mois</w:t>
            </w:r>
          </w:p>
        </w:tc>
        <w:tc>
          <w:tcPr/>
          <w:p>
            <w:pPr>
              <w:pStyle w:val="Compact"/>
            </w:pPr>
            <w:r>
              <w:t xml:space="preserve">Révision des données toutes les</w:t>
            </w:r>
          </w:p>
        </w:tc>
        <w:tc>
          <w:tcPr/>
          <w:p>
            <w:pPr>
              <w:pStyle w:val="Compact"/>
            </w:pPr>
            <w:r>
              <w:t xml:space="preserve">2–4 semaines Couverture et usage soutenu</w:t>
            </w:r>
          </w:p>
        </w:tc>
      </w:tr>
      <w:tr>
        <w:tc>
          <w:tcPr/>
          <w:p>
            <w:pPr>
              <w:pStyle w:val="Compact"/>
              <w:jc w:val="left"/>
            </w:pPr>
            <w:r>
              <w:t xml:space="preserve">Soutien intensif au mode de vie</w:t>
            </w:r>
          </w:p>
        </w:tc>
        <w:tc>
          <w:tcPr/>
          <w:p>
            <w:pPr>
              <w:pStyle w:val="Compact"/>
            </w:pPr>
            <w:r>
              <w:t xml:space="preserve">0–350 $ au total</w:t>
            </w:r>
          </w:p>
        </w:tc>
        <w:tc>
          <w:tcPr/>
          <w:p>
            <w:pPr>
              <w:pStyle w:val="Compact"/>
            </w:pPr>
            <w:r>
              <w:t xml:space="preserve">Diététicien + éducateur + coa</w:t>
            </w:r>
          </w:p>
        </w:tc>
        <w:tc>
          <w:tcPr/>
          <w:p>
            <w:pPr>
              <w:pStyle w:val="Compact"/>
            </w:pPr>
            <w:r>
              <w:t xml:space="preserve">ching Assiduité et horaire de travail</w:t>
            </w:r>
          </w:p>
        </w:tc>
      </w:tr>
      <w:tr>
        <w:tc>
          <w:tcPr/>
          <w:p>
            <w:pPr>
              <w:pStyle w:val="Compact"/>
              <w:jc w:val="left"/>
            </w:pPr>
            <w:r>
              <w:t xml:space="preserve">Plan combiné médicament/technologie</w:t>
            </w:r>
          </w:p>
        </w:tc>
        <w:tc>
          <w:tcPr/>
          <w:p>
            <w:pPr>
              <w:pStyle w:val="Compact"/>
            </w:pPr>
            <w:r>
              <w:t xml:space="preserve">125–700 $/mois</w:t>
            </w:r>
          </w:p>
        </w:tc>
        <w:tc>
          <w:tcPr/>
          <w:p>
            <w:pPr>
              <w:pStyle w:val="Compact"/>
            </w:pPr>
            <w:r>
              <w:t xml:space="preserve">Coordination initiale la plus élevé</w:t>
            </w:r>
          </w:p>
        </w:tc>
        <w:tc>
          <w:tcPr/>
          <w:p>
            <w:pPr>
              <w:pStyle w:val="Compact"/>
            </w:pPr>
            <w:r>
              <w:t xml:space="preserve">e Complexité et abandon</w:t>
            </w:r>
          </w:p>
        </w:tc>
      </w:tr>
    </w:tbl>
    <w:p>
      <w:pPr>
        <w:pStyle w:val="BodyText"/>
      </w:pPr>
      <w:r>
        <w:t xml:space="preserve">*Estimations fictives illustratives après assurance ; les coûts réels varient largement selon le régime, l’éligibilité, la pharmacie et le produit.</w:t>
      </w:r>
    </w:p>
    <w:bookmarkEnd w:id="14"/>
    <w:bookmarkEnd w:id="15"/>
    <w:bookmarkStart w:id="16" w:name="la-version-du-patient-du-problème"/>
    <w:p>
      <w:pPr>
        <w:pStyle w:val="Heading1"/>
      </w:pPr>
      <w:r>
        <w:t xml:space="preserve">La Version du Patient du Problème</w:t>
      </w:r>
    </w:p>
    <w:p>
      <w:pPr>
        <w:pStyle w:val="FirstParagraph"/>
      </w:pPr>
      <w:r>
        <w:t xml:space="preserve">Lorsque Park a demandé à Reed ce qui rendait le plan le plus difficile, il n’a pas commencé par le glucose. Il a décrit la fatigue, les changements d’horaire, les rendez-vous de sa mère, et la peur qu’un nouveau médicament crée des effets secondaires qu’il ne pourrait pas gérer au travail. Il voulait éviter la dialyse et l’amputation, qu’il avait vues chez des proches, mais ces risques semblaient distants comparés à un quart de travail manqué ou une facture de pharmacie de 400 $.</w:t>
      </w:r>
    </w:p>
    <w:p>
      <w:pPr>
        <w:pStyle w:val="BodyText"/>
      </w:pPr>
      <w:r>
        <w:t xml:space="preserve">Reed a dit qu’il pouvait marcher après le dîner lors des équipes de jour, mais pas en sécurité près de l’usine à 2h00 du matin. La cafétéria des employés affichait les informations nutritionnelles de manière incohérente. Il gardait parfois de la nourriture à proximité pour prévenir l’hypoglycémie, puis la mangeait même quand le relevé n’était pas bas parce qu’il avait faim. Il était disposé à essayer un autre moniteur mais ne voulait pas que ses collègues voient des alertes sur son téléphone.</w:t>
      </w:r>
    </w:p>
    <w:p>
      <w:pPr>
        <w:pStyle w:val="BodyText"/>
      </w:pPr>
      <w:r>
        <w:t xml:space="preserve">Le conseiller financier a constaté qu’un médicament nécessiterait une quote-part élevée jusqu’à ce que Reed atteigne sa franchise. Un programme d’assistance du fabricant pourrait réduire le coût, mais l’éligibilité devrait être renouvelée et pourrait changer. Le moniteur pourrait être couvert parce que Reed avait documenté des relevés bas, bien que l’assureur puisse demander des preuves d’ajustement fréquent de la médication. En janvier, la franchise se réinitialiserait, changeant potentiellement quel plan Reed pourrait se permettre juste au moment où l’équipe apprendrait si cela fonctionnait.</w:t>
      </w:r>
    </w:p>
    <w:bookmarkEnd w:id="16"/>
    <w:bookmarkStart w:id="18" w:name="capacité-à-lakeside"/>
    <w:p>
      <w:pPr>
        <w:pStyle w:val="Heading1"/>
      </w:pPr>
      <w:r>
        <w:t xml:space="preserve">Capacité à Lakeside</w:t>
      </w:r>
    </w:p>
    <w:p>
      <w:pPr>
        <w:pStyle w:val="FirstParagraph"/>
      </w:pPr>
      <w:r>
        <w:t xml:space="preserve">Lakeside servait 11 800 adultes avec un diabète diagnostiqué à travers sept cliniques. Son programme de gestion des soins priorisait les patients avec des valeurs A1c élevées, une utilisation hospitalière récente, une grossesse, une maladie rénale, ou une difficulté à obtenir des médicaments. La clinique Northgate disposait d’un éducateur partagé avec deux sites et d’un pharmacien disponible trois demi-journées par semaine. La demande de rendez-vous dépassait la capacité.</w:t>
      </w:r>
    </w:p>
    <w:p>
      <w:pPr>
        <w:pStyle w:val="BodyText"/>
      </w:pPr>
      <w:r>
        <w:t xml:space="preserve">La gestionnaire de soins a proposé des vérifications hebdomadaires par texto et une révision rapide de la médication. Le directeur médical s’est demandé si le personnel devait consacrer ce niveau d’attention à un patient relativement stable alors que d’autres avaient récemment visité les urgences. Le directeur financier a noté que de nombreuses activités de coordination étaient mal remboursées, même si elles prévenaient des complications coûteuses des années plus tard.</w:t>
      </w:r>
    </w:p>
    <w:bookmarkStart w:id="17" w:name="X73f208345f9fc8b1dd05304090bd59f89f49539"/>
    <w:p>
      <w:pPr>
        <w:pStyle w:val="Heading2"/>
      </w:pPr>
      <w:r>
        <w:t xml:space="preserve">Exhibit 4. Programme Diabète de Lakeside, 12 Derniers Mois</w:t>
      </w:r>
    </w:p>
    <w:tbl>
      <w:tblPr>
        <w:tblStyle w:val="Table"/>
        <w:tblW w:type="pct" w:w="4792"/>
        <w:tblLayout w:type="fixed"/>
        <w:tblLook w:firstRow="1" w:lastRow="0" w:firstColumn="0" w:lastColumn="0" w:noHBand="0" w:noVBand="0" w:val="0020"/>
      </w:tblPr>
      <w:tblGrid>
        <w:gridCol w:w="5170"/>
        <w:gridCol w:w="2420"/>
      </w:tblGrid>
      <w:tr>
        <w:trPr>
          <w:tblHeader w:val="on"/>
        </w:trPr>
        <w:tc>
          <w:tcPr/>
          <w:p>
            <w:pPr>
              <w:pStyle w:val="Compact"/>
              <w:jc w:val="left"/>
            </w:pPr>
            <w:r>
              <w:t xml:space="preserve">Indicateur du programme</w:t>
            </w:r>
          </w:p>
        </w:tc>
        <w:tc>
          <w:tcPr/>
          <w:p>
            <w:pPr>
              <w:pStyle w:val="Compact"/>
              <w:jc w:val="center"/>
            </w:pPr>
            <w:r>
              <w:t xml:space="preserve">Résultat</w:t>
            </w:r>
          </w:p>
        </w:tc>
      </w:tr>
      <w:tr>
        <w:tc>
          <w:tcPr/>
          <w:p>
            <w:pPr>
              <w:pStyle w:val="Compact"/>
              <w:jc w:val="left"/>
            </w:pPr>
            <w:r>
              <w:t xml:space="preserve">Adultes avec diabète diagnostiqué</w:t>
            </w:r>
          </w:p>
        </w:tc>
        <w:tc>
          <w:tcPr/>
          <w:p>
            <w:pPr>
              <w:pStyle w:val="Compact"/>
              <w:jc w:val="center"/>
            </w:pPr>
            <w:r>
              <w:t xml:space="preserve">11 800</w:t>
            </w:r>
          </w:p>
        </w:tc>
      </w:tr>
      <w:tr>
        <w:tc>
          <w:tcPr/>
          <w:p>
            <w:pPr>
              <w:pStyle w:val="Compact"/>
              <w:jc w:val="left"/>
            </w:pPr>
            <w:r>
              <w:t xml:space="preserve">Patients avec un A1c récent ≥9% 2</w:t>
            </w:r>
          </w:p>
        </w:tc>
        <w:tc>
          <w:tcPr/>
          <w:p>
            <w:pPr>
              <w:pStyle w:val="Compact"/>
              <w:jc w:val="center"/>
            </w:pPr>
            <w:r>
              <w:t xml:space="preserve">140</w:t>
            </w:r>
          </w:p>
        </w:tc>
      </w:tr>
      <w:tr>
        <w:tc>
          <w:tcPr/>
          <w:p>
            <w:pPr>
              <w:pStyle w:val="Compact"/>
              <w:jc w:val="left"/>
            </w:pPr>
            <w:r>
              <w:t xml:space="preserve">Patients sans test A1c en 12 mois 1 330</w:t>
            </w:r>
          </w:p>
        </w:tc>
        <w:tc>
          <w:tcPr/>
          <w:p>
            <w:pPr>
              <w:pStyle w:val="Compact"/>
            </w:pPr>
          </w:p>
        </w:tc>
      </w:tr>
      <w:tr>
        <w:tc>
          <w:tcPr/>
          <w:p>
            <w:pPr>
              <w:pStyle w:val="Compact"/>
              <w:jc w:val="left"/>
            </w:pPr>
            <w:r>
              <w:t xml:space="preserve">Patients en retard pour un dépistage rétinien</w:t>
            </w:r>
          </w:p>
        </w:tc>
        <w:tc>
          <w:tcPr/>
          <w:p>
            <w:pPr>
              <w:pStyle w:val="Compact"/>
              <w:jc w:val="center"/>
            </w:pPr>
            <w:r>
              <w:t xml:space="preserve">3 420</w:t>
            </w:r>
          </w:p>
        </w:tc>
      </w:tr>
      <w:tr>
        <w:tc>
          <w:tcPr/>
          <w:p>
            <w:pPr>
              <w:pStyle w:val="Compact"/>
              <w:jc w:val="left"/>
            </w:pPr>
            <w:r>
              <w:t xml:space="preserve">Visites d’urgence liées au diabète</w:t>
            </w:r>
          </w:p>
        </w:tc>
        <w:tc>
          <w:tcPr/>
          <w:p>
            <w:pPr>
              <w:pStyle w:val="Compact"/>
              <w:jc w:val="center"/>
            </w:pPr>
            <w:r>
              <w:t xml:space="preserve">684</w:t>
            </w:r>
          </w:p>
        </w:tc>
      </w:tr>
      <w:tr>
        <w:tc>
          <w:tcPr/>
          <w:p>
            <w:pPr>
              <w:pStyle w:val="Compact"/>
              <w:jc w:val="left"/>
            </w:pPr>
            <w:r>
              <w:t xml:space="preserve">Rendez-vous d’éducateur complétés</w:t>
            </w:r>
          </w:p>
        </w:tc>
        <w:tc>
          <w:tcPr/>
          <w:p>
            <w:pPr>
              <w:pStyle w:val="Compact"/>
              <w:jc w:val="center"/>
            </w:pPr>
            <w:r>
              <w:t xml:space="preserve">3 760</w:t>
            </w:r>
          </w:p>
        </w:tc>
      </w:tr>
      <w:tr>
        <w:tc>
          <w:tcPr/>
          <w:p>
            <w:pPr>
              <w:pStyle w:val="Compact"/>
              <w:jc w:val="left"/>
            </w:pPr>
            <w:r>
              <w:t xml:space="preserve">Taux d’absences / annulations tardives de l’édu</w:t>
            </w:r>
          </w:p>
        </w:tc>
        <w:tc>
          <w:tcPr/>
          <w:p>
            <w:pPr>
              <w:pStyle w:val="Compact"/>
              <w:jc w:val="center"/>
            </w:pPr>
            <w:r>
              <w:t xml:space="preserve">cateur 24%</w:t>
            </w:r>
          </w:p>
        </w:tc>
      </w:tr>
      <w:tr>
        <w:tc>
          <w:tcPr/>
          <w:p>
            <w:pPr>
              <w:pStyle w:val="Compact"/>
              <w:jc w:val="left"/>
            </w:pPr>
            <w:r>
              <w:t xml:space="preserve">Charge de cas moyenne du pharmacien</w:t>
            </w:r>
          </w:p>
        </w:tc>
        <w:tc>
          <w:tcPr/>
          <w:p>
            <w:pPr>
              <w:pStyle w:val="Compact"/>
              <w:jc w:val="center"/>
            </w:pPr>
            <w:r>
              <w:t xml:space="preserve">286 patients actifs</w:t>
            </w:r>
          </w:p>
        </w:tc>
      </w:tr>
      <w:tr>
        <w:tc>
          <w:tcPr/>
          <w:p>
            <w:pPr>
              <w:pStyle w:val="Compact"/>
              <w:jc w:val="left"/>
            </w:pPr>
            <w:r>
              <w:t xml:space="preserve">Dépense de gestion des soins non remboursée</w:t>
            </w:r>
          </w:p>
        </w:tc>
        <w:tc>
          <w:tcPr/>
          <w:p>
            <w:pPr>
              <w:pStyle w:val="Compact"/>
              <w:jc w:val="center"/>
            </w:pPr>
            <w:r>
              <w:t xml:space="preserve">1,18 million $</w:t>
            </w:r>
          </w:p>
        </w:tc>
      </w:tr>
    </w:tbl>
    <w:p>
      <w:pPr>
        <w:pStyle w:val="BodyText"/>
      </w:pPr>
      <w:r>
        <w:t xml:space="preserve">Le tableau de bord qualité de la clinique récompensait l’amélioration du contrôle A1c et l’achèvement des dépistages sélectionnés, mais ne saisissait pas pleinement les épisodes d’hypoglycémie sévère évités, le fardeau du traitement, le stress financier, ou si l’amélioration persisterait. Un plan de médication qui produisait un A1c plus bas mais causait des relevés bas répétés ou des difficultés financières pouvait paraître réussi dans un rapport et nuisible dans un autre.</w:t>
      </w:r>
    </w:p>
    <w:bookmarkEnd w:id="17"/>
    <w:bookmarkEnd w:id="18"/>
    <w:bookmarkStart w:id="19" w:name="interprétations-différentes"/>
    <w:p>
      <w:pPr>
        <w:pStyle w:val="Heading1"/>
      </w:pPr>
      <w:r>
        <w:t xml:space="preserve">Interprétations Différentes</w:t>
      </w:r>
    </w:p>
    <w:p>
      <w:pPr>
        <w:pStyle w:val="FirstParagraph"/>
      </w:pPr>
      <w:r>
        <w:t xml:space="preserve">Chaque membre de l’équipe de soins a encadré le cas de Reed différemment. Le pharmacien favorisait le retrait du médicament associé aux relevés bas et son remplacement par un médicament à moindre risque d’hypoglycémie, en supposant que la couverture pourrait être organisée. L’éducateur voulait commencer par un plan que Reed pourrait exécuter à travers les deux horaires d’équipe. La gestionnaire de soins infirmiers a soutenu que l’équipe avait besoin de plus d’observations fréquentes avant de faire un autre changement majeur. Park s’inquiétait que l’attente d’une meilleure information ne prolonge l’exposition à une glycémie élevée.</w:t>
      </w:r>
    </w:p>
    <w:p>
      <w:pPr>
        <w:pStyle w:val="BodyText"/>
      </w:pPr>
      <w:r>
        <w:t xml:space="preserve">Les priorités de Reed ne s’inscrivaient pas facilement dans une quelconque proposition. Il voulait plus d’énergie, moins d’interruptions au travail, une protection contre les complications à long terme, et un coût mensuel qu’il pouvait prévoir. Il était disposé à faire des changements, mais pas tous à la fois. L’équipe pouvait simplifier le plan, l’intensifier, ou l’échelonner — mais chaque séquence affecterait ce qu’ils apprendraient sur les causes de l’amélioration ou de l’échec.</w:t>
      </w:r>
    </w:p>
    <w:bookmarkEnd w:id="19"/>
    <w:bookmarkStart w:id="21" w:name="le-choix-des-quatre-vingt-dix-jours"/>
    <w:p>
      <w:pPr>
        <w:pStyle w:val="Heading1"/>
      </w:pPr>
      <w:r>
        <w:t xml:space="preserve">Le Choix des Quatre-Vingt-Dix Jours</w:t>
      </w:r>
    </w:p>
    <w:p>
      <w:pPr>
        <w:pStyle w:val="FirstParagraph"/>
      </w:pPr>
      <w:r>
        <w:t xml:space="preserve">La conférence de cas a réduit la discussion à trois approches générales.</w:t>
      </w:r>
    </w:p>
    <w:p>
      <w:pPr>
        <w:pStyle w:val="BodyText"/>
      </w:pPr>
      <w:r>
        <w:t xml:space="preserve">Approche A : Intensifier maintenant. L’équipe remplacerait le deuxième médicament actuel, chercherait l’approbation pour un injectable hebdomadaire plus récent, poursuivrait la surveillance en continu, et programmerait un suivi fréquent. Le plan offrait la plus grande chance d’une amélioration rapide mais aussi le coût le plus élevé, la charge de coordination la plus élevée, et le risque que des effets secondaires ou des retards d’autorisation amènent Reed à l’abandonner.</w:t>
      </w:r>
    </w:p>
    <w:p>
      <w:pPr>
        <w:pStyle w:val="BodyText"/>
      </w:pPr>
      <w:r>
        <w:t xml:space="preserve">Approche B : Simplifier et stabiliser. L’équipe concevrait un régime à moindre coût autour des horaires rotatifs de Reed, réduirait le risque d’hypoglycémie, se concentrerait sur le moment des repas et une activité faisable, et réévaluerait après trois mois. Le plan pourrait être plus facile à maintenir mais pourrait laisser le glucose élevé pendant que la maladie progresse.</w:t>
      </w:r>
    </w:p>
    <w:p>
      <w:pPr>
        <w:pStyle w:val="BodyText"/>
      </w:pPr>
      <w:r>
        <w:t xml:space="preserve">Approche C : Apprendre avant de s’engager. L’équipe utiliserait une autre période de surveillance, des journaux structurés de repas et de médication, et de courts contacts à distance pour identifier les schémas avant de sélectionner un changement thérapeutique majeur. L’approche pourrait révéler ce qui causait la variabilité, mais l’information supplémentaire pourrait être incomplète, altérée par l’observation, ou arriver trop tard pour justifier le délai.</w:t>
      </w:r>
    </w:p>
    <w:bookmarkStart w:id="20" w:name="X03a0db3fe00391fc0c374db32db1129634190b7"/>
    <w:p>
      <w:pPr>
        <w:pStyle w:val="Heading2"/>
      </w:pPr>
      <w:r>
        <w:t xml:space="preserve">Exhibit 5. Scénarios de Planification sur Quatre-Vingt-Dix Jours</w:t>
      </w:r>
    </w:p>
    <w:tbl>
      <w:tblPr>
        <w:tblStyle w:val="Table"/>
        <w:tblW w:type="pct" w:w="4926"/>
        <w:tblLayout w:type="fixed"/>
        <w:tblLook w:firstRow="1" w:lastRow="0" w:firstColumn="0" w:lastColumn="0" w:noHBand="0" w:noVBand="0" w:val="0020"/>
      </w:tblPr>
      <w:tblGrid>
        <w:gridCol w:w="2445"/>
        <w:gridCol w:w="1106"/>
        <w:gridCol w:w="1281"/>
        <w:gridCol w:w="1106"/>
        <w:gridCol w:w="1863"/>
      </w:tblGrid>
      <w:tr>
        <w:trPr>
          <w:tblHeader w:val="on"/>
        </w:trPr>
        <w:tc>
          <w:tcPr/>
          <w:p>
            <w:pPr>
              <w:pStyle w:val="Compact"/>
              <w:jc w:val="left"/>
            </w:pPr>
            <w:r>
              <w:t xml:space="preserve">Scénario</w:t>
            </w:r>
          </w:p>
        </w:tc>
        <w:tc>
          <w:tcPr/>
          <w:p>
            <w:pPr>
              <w:pStyle w:val="Compact"/>
            </w:pPr>
            <w:r>
              <w:t xml:space="preserve">A1c au suivi Risq</w:t>
            </w:r>
          </w:p>
        </w:tc>
        <w:tc>
          <w:tcPr/>
          <w:p>
            <w:pPr>
              <w:pStyle w:val="Compact"/>
              <w:jc w:val="left"/>
            </w:pPr>
            <w:r>
              <w:t xml:space="preserve">ue d’hypoglycémie</w:t>
            </w:r>
          </w:p>
        </w:tc>
        <w:tc>
          <w:tcPr/>
          <w:p>
            <w:pPr>
              <w:pStyle w:val="Compact"/>
              <w:jc w:val="right"/>
            </w:pPr>
            <w:r>
              <w:t xml:space="preserve">Fardeau du patient</w:t>
            </w:r>
          </w:p>
        </w:tc>
        <w:tc>
          <w:tcPr/>
          <w:p>
            <w:pPr>
              <w:pStyle w:val="Compact"/>
              <w:jc w:val="right"/>
            </w:pPr>
            <w:r>
              <w:t xml:space="preserve">Coût patient estimé sur 90 jours</w:t>
            </w:r>
          </w:p>
        </w:tc>
      </w:tr>
      <w:tr>
        <w:tc>
          <w:tcPr/>
          <w:p>
            <w:pPr>
              <w:pStyle w:val="Compact"/>
              <w:jc w:val="left"/>
            </w:pPr>
            <w:r>
              <w:t xml:space="preserve">Réponse forte / usage soutenu 7,</w:t>
            </w:r>
          </w:p>
        </w:tc>
        <w:tc>
          <w:tcPr/>
          <w:p>
            <w:pPr>
              <w:pStyle w:val="Compact"/>
            </w:pPr>
            <w:r>
              <w:t xml:space="preserve">4–8,0% Fa</w:t>
            </w:r>
          </w:p>
        </w:tc>
        <w:tc>
          <w:tcPr/>
          <w:p>
            <w:pPr>
              <w:pStyle w:val="Compact"/>
              <w:jc w:val="left"/>
            </w:pPr>
            <w:r>
              <w:t xml:space="preserve">ible à modéré Mo</w:t>
            </w:r>
          </w:p>
        </w:tc>
        <w:tc>
          <w:tcPr/>
          <w:p>
            <w:pPr>
              <w:pStyle w:val="Compact"/>
              <w:jc w:val="right"/>
            </w:pPr>
            <w:r>
              <w:t xml:space="preserve">déré 180-</w:t>
            </w:r>
          </w:p>
        </w:tc>
        <w:tc>
          <w:tcPr/>
          <w:p>
            <w:pPr>
              <w:pStyle w:val="Compact"/>
              <w:jc w:val="right"/>
            </w:pPr>
            <w:r>
              <w:t xml:space="preserve">-1 600 $</w:t>
            </w:r>
          </w:p>
        </w:tc>
      </w:tr>
      <w:tr>
        <w:tc>
          <w:tcPr/>
          <w:p>
            <w:pPr>
              <w:pStyle w:val="Compact"/>
              <w:jc w:val="left"/>
            </w:pPr>
            <w:r>
              <w:t xml:space="preserve">Réponse partielle</w:t>
            </w:r>
          </w:p>
        </w:tc>
        <w:tc>
          <w:tcPr/>
          <w:p>
            <w:pPr>
              <w:pStyle w:val="Compact"/>
            </w:pPr>
            <w:r>
              <w:t xml:space="preserve">8,1–8,7%</w:t>
            </w:r>
          </w:p>
        </w:tc>
        <w:tc>
          <w:tcPr/>
          <w:p>
            <w:pPr>
              <w:pStyle w:val="Compact"/>
              <w:jc w:val="left"/>
            </w:pPr>
            <w:r>
              <w:t xml:space="preserve">Varie selon le régime</w:t>
            </w:r>
          </w:p>
        </w:tc>
        <w:tc>
          <w:tcPr/>
          <w:p>
            <w:pPr>
              <w:pStyle w:val="Compact"/>
              <w:jc w:val="right"/>
            </w:pPr>
            <w:r>
              <w:t xml:space="preserve">Modéré à élev</w:t>
            </w:r>
          </w:p>
        </w:tc>
        <w:tc>
          <w:tcPr/>
          <w:p>
            <w:pPr>
              <w:pStyle w:val="Compact"/>
              <w:jc w:val="right"/>
            </w:pPr>
            <w:r>
              <w:t xml:space="preserve">é 120–1 500 $</w:t>
            </w:r>
          </w:p>
        </w:tc>
      </w:tr>
      <w:tr>
        <w:tc>
          <w:tcPr/>
          <w:p>
            <w:pPr>
              <w:pStyle w:val="Compact"/>
              <w:jc w:val="left"/>
            </w:pPr>
            <w:r>
              <w:t xml:space="preserve">Effets secondaires ou non-adhérence</w:t>
            </w:r>
          </w:p>
        </w:tc>
        <w:tc>
          <w:tcPr/>
          <w:p>
            <w:pPr>
              <w:pStyle w:val="Compact"/>
            </w:pPr>
            <w:r>
              <w:t xml:space="preserve">8,8–9,5%</w:t>
            </w:r>
          </w:p>
        </w:tc>
        <w:tc>
          <w:tcPr/>
          <w:p>
            <w:pPr>
              <w:pStyle w:val="Compact"/>
              <w:jc w:val="left"/>
            </w:pPr>
            <w:r>
              <w:t xml:space="preserve">Incertain</w:t>
            </w:r>
          </w:p>
        </w:tc>
        <w:tc>
          <w:tcPr/>
          <w:p>
            <w:pPr>
              <w:pStyle w:val="Compact"/>
              <w:jc w:val="right"/>
            </w:pPr>
            <w:r>
              <w:t xml:space="preserve">Élevé</w:t>
            </w:r>
          </w:p>
        </w:tc>
        <w:tc>
          <w:tcPr/>
          <w:p>
            <w:pPr>
              <w:pStyle w:val="Compact"/>
              <w:jc w:val="right"/>
            </w:pPr>
            <w:r>
              <w:t xml:space="preserve">75–900 $</w:t>
            </w:r>
          </w:p>
        </w:tc>
      </w:tr>
      <w:tr>
        <w:tc>
          <w:tcPr/>
          <w:p>
            <w:pPr>
              <w:pStyle w:val="Compact"/>
              <w:jc w:val="left"/>
            </w:pPr>
            <w:r>
              <w:t xml:space="preserve">Interruption de couverture</w:t>
            </w:r>
          </w:p>
        </w:tc>
        <w:tc>
          <w:tcPr/>
          <w:p>
            <w:pPr>
              <w:pStyle w:val="Compact"/>
            </w:pPr>
            <w:r>
              <w:t xml:space="preserve">8,6–9,4%</w:t>
            </w:r>
          </w:p>
        </w:tc>
        <w:tc>
          <w:tcPr/>
          <w:p>
            <w:pPr>
              <w:pStyle w:val="Compact"/>
              <w:jc w:val="left"/>
            </w:pPr>
            <w:r>
              <w:t xml:space="preserve">Dépend de la solut</w:t>
            </w:r>
          </w:p>
        </w:tc>
        <w:tc>
          <w:tcPr/>
          <w:p>
            <w:pPr>
              <w:pStyle w:val="Compact"/>
              <w:jc w:val="right"/>
            </w:pPr>
            <w:r>
              <w:t xml:space="preserve">ion de repli Élev</w:t>
            </w:r>
          </w:p>
        </w:tc>
        <w:tc>
          <w:tcPr/>
          <w:p>
            <w:pPr>
              <w:pStyle w:val="Compact"/>
              <w:jc w:val="right"/>
            </w:pPr>
            <w:r>
              <w:t xml:space="preserve">é 100–1 200 $</w:t>
            </w:r>
          </w:p>
        </w:tc>
      </w:tr>
      <w:tr>
        <w:tc>
          <w:tcPr/>
          <w:p>
            <w:pPr>
              <w:pStyle w:val="Compact"/>
              <w:jc w:val="left"/>
            </w:pPr>
            <w:r>
              <w:t xml:space="preserve">Routine améliorée sans thérapie coûteuse</w:t>
            </w:r>
          </w:p>
        </w:tc>
        <w:tc>
          <w:tcPr/>
          <w:p>
            <w:pPr>
              <w:pStyle w:val="Compact"/>
            </w:pPr>
            <w:r>
              <w:t xml:space="preserve">7,9–8,5%</w:t>
            </w:r>
          </w:p>
        </w:tc>
        <w:tc>
          <w:tcPr/>
          <w:p>
            <w:pPr>
              <w:pStyle w:val="Compact"/>
              <w:jc w:val="left"/>
            </w:pPr>
            <w:r>
              <w:t xml:space="preserve">Faible Modéré</w:t>
            </w:r>
          </w:p>
        </w:tc>
        <w:tc>
          <w:tcPr/>
          <w:p>
            <w:pPr>
              <w:pStyle w:val="Compact"/>
              <w:jc w:val="right"/>
            </w:pPr>
            <w:r>
              <w:t xml:space="preserve">45–400 $</w:t>
            </w:r>
          </w:p>
        </w:tc>
        <w:tc>
          <w:tcPr/>
          <w:p>
            <w:pPr>
              <w:pStyle w:val="Compact"/>
            </w:pPr>
          </w:p>
        </w:tc>
      </w:tr>
    </w:tbl>
    <w:p>
      <w:pPr>
        <w:pStyle w:val="BodyText"/>
      </w:pPr>
      <w:r>
        <w:t xml:space="preserve">Les fourchettes étaient des estimations de planification, pas des prévisions cliniques. Elles combinaient des hypothèses sur la réponse biologique, l’accès aux médicaments, les schémas de repas, l’activité, l’adhérence, et la qualité des mesures. Le même résultat observé pouvait avoir plusieurs explications. Un A1c plus bas pouvait refléter le médicament, un changement temporaire de comportement, moins d’équipes de nuit, ou les trois. Un résultat décevant pouvait signifier que le traitement était inefficace — ou qu’il n’avait jamais été mis en œuvre de manière constante.</w:t>
      </w:r>
    </w:p>
    <w:bookmarkEnd w:id="20"/>
    <w:bookmarkEnd w:id="21"/>
    <w:bookmarkStart w:id="22" w:name="avant-le-retour-du-patient"/>
    <w:p>
      <w:pPr>
        <w:pStyle w:val="Heading1"/>
      </w:pPr>
      <w:r>
        <w:t xml:space="preserve">Avant le Retour du Patient</w:t>
      </w:r>
    </w:p>
    <w:p>
      <w:pPr>
        <w:pStyle w:val="FirstParagraph"/>
      </w:pPr>
      <w:r>
        <w:t xml:space="preserve">L’équipe avait vingt minutes avant que Reed ne revienne dans la salle de conférence. Park devait proposer un plan, décider quelle information collecter, déterminer à quelle fréquence la clinique interviendrait, et expliquer les compromis d’une manière que Reed pourrait utiliser. Elle devait aussi décider ce qui déclencherait un changement avant la visite de quatre-vingt-dix jours : des relevés bas répétés, des hausses persistantes, des effets secondaires, des doses manquées, une incapacité à payer, ou simplement le jugement de Reed que le plan ne convenait pas à sa vie.</w:t>
      </w:r>
    </w:p>
    <w:p>
      <w:pPr>
        <w:pStyle w:val="BodyText"/>
      </w:pPr>
      <w:r>
        <w:t xml:space="preserve">En regardant le graphique du moniteur, Park se demandait si le choix le plus important concernait le médicament, la technologie de surveillance, la routine quotidienne de Reed, l’intensité du suivi, ou la séquence dans laquelle ceux-ci étaient introduits. Le cas ne manquait pas d’actions possibles. Il manquait de confiance quant à la façon dont chaque action interagirait avec un patient dont la physiologie, l’horaire, les ressources, et la volonté pouvaient tous changer avant le prochain résultat de laboratoire.</w:t>
      </w:r>
    </w:p>
    <w:bookmarkEnd w:id="22"/>
    <w:bookmarkStart w:id="23" w:name="questions-de-discussion"/>
    <w:p>
      <w:pPr>
        <w:pStyle w:val="Heading1"/>
      </w:pPr>
      <w:r>
        <w:t xml:space="preserve">Questions de Discussion</w:t>
      </w:r>
    </w:p>
    <w:p>
      <w:pPr>
        <w:numPr>
          <w:ilvl w:val="0"/>
          <w:numId w:val="1001"/>
        </w:numPr>
      </w:pPr>
      <w:r>
        <w:t xml:space="preserve">Quel est le problème central auquel font face Park et l’équipe de Lakeside ? Quels chiffres rapportés sont les plus informatifs, et lesquels peuvent dissimuler une variation importante ?</w:t>
      </w:r>
    </w:p>
    <w:p>
      <w:pPr>
        <w:numPr>
          <w:ilvl w:val="0"/>
          <w:numId w:val="1001"/>
        </w:numPr>
      </w:pPr>
      <w:r>
        <w:t xml:space="preserve">Comment le risque immédiat de glycémie élevée ou basse de Reed devrait-il être mis en balance avec la possibilité de complications qui peuvent se développer sur de nombreuses années ?</w:t>
      </w:r>
    </w:p>
    <w:p>
      <w:pPr>
        <w:numPr>
          <w:ilvl w:val="0"/>
          <w:numId w:val="1001"/>
        </w:numPr>
      </w:pPr>
      <w:r>
        <w:t xml:space="preserve">Quelle information supplémentaire serait la plus précieuse avant de sélectionner un plan de traitement ? Comment l’équipe devrait-elle l’obtenir ?</w:t>
      </w:r>
    </w:p>
    <w:p>
      <w:pPr>
        <w:numPr>
          <w:ilvl w:val="0"/>
          <w:numId w:val="1001"/>
        </w:numPr>
      </w:pPr>
      <w:r>
        <w:t xml:space="preserve">L’équipe devrait-elle intensifier le traitement immédiatement, simplifier le régime, ou collecter plus d’observations d’abord ?</w:t>
      </w:r>
    </w:p>
    <w:p>
      <w:pPr>
        <w:numPr>
          <w:ilvl w:val="0"/>
          <w:numId w:val="1001"/>
        </w:numPr>
      </w:pPr>
      <w:r>
        <w:t xml:space="preserve">Comment l’accessibilité financière et l’incertitude de l’assurance devraient-elles influencer un plan qui pourrait être cliniquement attrayant ?</w:t>
      </w:r>
    </w:p>
    <w:p>
      <w:pPr>
        <w:numPr>
          <w:ilvl w:val="0"/>
          <w:numId w:val="1001"/>
        </w:numPr>
      </w:pPr>
      <w:r>
        <w:t xml:space="preserve">Quelles parties du plan devraient être déterminées par le clinicien, et quels choix devraient être laissés principalement à Reed ?</w:t>
      </w:r>
    </w:p>
    <w:p>
      <w:pPr>
        <w:numPr>
          <w:ilvl w:val="0"/>
          <w:numId w:val="1001"/>
        </w:numPr>
      </w:pPr>
      <w:r>
        <w:t xml:space="preserve">Comment Lakeside devrait-elle réagir si Reed ne suit que certains éléments du plan ?</w:t>
      </w:r>
    </w:p>
    <w:p>
      <w:pPr>
        <w:numPr>
          <w:ilvl w:val="0"/>
          <w:numId w:val="1001"/>
        </w:numPr>
      </w:pPr>
      <w:r>
        <w:t xml:space="preserve">Quelles conditions devraient déclencher un changement de traitement avant la révision de quatre-vingt-dix jours ?</w:t>
      </w:r>
    </w:p>
    <w:p>
      <w:pPr>
        <w:numPr>
          <w:ilvl w:val="0"/>
          <w:numId w:val="1001"/>
        </w:numPr>
      </w:pPr>
      <w:r>
        <w:t xml:space="preserve">Comment la clinique devrait-elle répartir la capacité limitée de pharmacien, d’éducateur, et de gestionnaire de soins entre Reed et d’autres patients ?</w:t>
      </w:r>
    </w:p>
    <w:p>
      <w:pPr>
        <w:numPr>
          <w:ilvl w:val="0"/>
          <w:numId w:val="1001"/>
        </w:numPr>
      </w:pPr>
      <w:r>
        <w:t xml:space="preserve">Qu’est-ce qui constituerait un succès après quatre-vingt-dix jours si le contrôle glycémique, le risque d’hypoglycémie, le coût, le fardeau du traitement, et la durabilité pointent dans des directions différentes ?</w:t>
      </w:r>
    </w:p>
    <w:bookmarkEnd w:id="23"/>
    <w:bookmarkStart w:id="29" w:name="questions-de-cadrage-de-la-décision"/>
    <w:p>
      <w:pPr>
        <w:pStyle w:val="Heading1"/>
      </w:pPr>
      <w:r>
        <w:t xml:space="preserve">Questions de Cadrage de la Décision</w:t>
      </w:r>
    </w:p>
    <w:p>
      <w:pPr>
        <w:numPr>
          <w:ilvl w:val="0"/>
          <w:numId w:val="1002"/>
        </w:numPr>
      </w:pPr>
      <w:r>
        <w:t xml:space="preserve">Identifiez et décrivez les responsabilités du décideur. Cela devrait définir la portée du problème.</w:t>
      </w:r>
    </w:p>
    <w:p>
      <w:pPr>
        <w:numPr>
          <w:ilvl w:val="0"/>
          <w:numId w:val="1002"/>
        </w:numPr>
      </w:pPr>
      <w:r>
        <w:t xml:space="preserve">Utilisez l’</w:t>
      </w:r>
      <w:hyperlink r:id="rId24">
        <w:r>
          <w:rPr>
            <w:rStyle w:val="Hyperlink"/>
          </w:rPr>
          <w:t xml:space="preserve">outil de pyramide des métriques</w:t>
        </w:r>
      </w:hyperlink>
      <w:r>
        <w:t xml:space="preserve"> </w:t>
      </w:r>
      <w:r>
        <w:t xml:space="preserve">pour identifier et prioriser les différentes métriques de performance. Cliquez sur l’ovale contenant la métrique pour indiquer s’il s’agit d’une métrique à maximiser (vert), à minimiser (rouge), une cible qui est un plancher (vert clair) ou un plafond (rouge clair), ou enfin une cible (violet).</w:t>
      </w:r>
    </w:p>
    <w:p>
      <w:pPr>
        <w:numPr>
          <w:ilvl w:val="0"/>
          <w:numId w:val="1002"/>
        </w:numPr>
      </w:pPr>
      <w:r>
        <w:t xml:space="preserve">Utilisez l’</w:t>
      </w:r>
      <w:hyperlink r:id="rId25">
        <w:r>
          <w:rPr>
            <w:rStyle w:val="Hyperlink"/>
          </w:rPr>
          <w:t xml:space="preserve">outil de priorisation des décisions</w:t>
        </w:r>
      </w:hyperlink>
      <w:r>
        <w:t xml:space="preserve"> </w:t>
      </w:r>
      <w:r>
        <w:t xml:space="preserve">pour d’abord lister les différents types de décisions (utilisez les</w:t>
      </w:r>
      <w:r>
        <w:t xml:space="preserve"> </w:t>
      </w:r>
      <w:hyperlink r:id="rId26">
        <w:r>
          <w:rPr>
            <w:rStyle w:val="Hyperlink"/>
          </w:rPr>
          <w:t xml:space="preserve">types de décisions</w:t>
        </w:r>
      </w:hyperlink>
      <w:r>
        <w:t xml:space="preserve"> </w:t>
      </w:r>
      <w:r>
        <w:t xml:space="preserve">comme guide). Celles-ci peupleront ensuite les lignes de la matrice à droite, où les colonnes sont les métriques de performance triées de gauche à droite selon la priorité dans la pyramide ci-dessus. Cliquez sur chaque cellule pour indiquer si l’impact de la décision sur chaque métrique est élevé (rouge), moyen (orange), faible (jaune) ou nul (blanc).</w:t>
      </w:r>
    </w:p>
    <w:p>
      <w:pPr>
        <w:numPr>
          <w:ilvl w:val="0"/>
          <w:numId w:val="1002"/>
        </w:numPr>
      </w:pPr>
      <w:r>
        <w:t xml:space="preserve">Vous pouvez saisir la poignée (trois barres) la plus à gauche sur chaque ligne pour la déplacer vers le haut ou vers le bas. Triez les lignes de sorte que les décisions ayant le plus grand impact sur les métriques les plus importantes soient vers le haut. Les cellules du coin supérieur gauche devraient avoir la plus grande concentration de cellules rouges et orange. À ce stade, identifiez les décisions qui devraient recevoir le plus d’attention dans votre étude. Si vous n’avez aucune décision avec un impact moyen ou élevé sur les métriques les plus importantes, revoyez votre liste de décisions.</w:t>
      </w:r>
    </w:p>
    <w:p>
      <w:pPr>
        <w:numPr>
          <w:ilvl w:val="0"/>
          <w:numId w:val="1002"/>
        </w:numPr>
      </w:pPr>
      <w:r>
        <w:t xml:space="preserve">Répétez le processus pour lister et prioriser les incertitudes en utilisant l’</w:t>
      </w:r>
      <w:hyperlink r:id="rId27">
        <w:r>
          <w:rPr>
            <w:rStyle w:val="Hyperlink"/>
          </w:rPr>
          <w:t xml:space="preserve">outil de priorisation des incertitudes</w:t>
        </w:r>
      </w:hyperlink>
      <w:r>
        <w:t xml:space="preserve">. Utilisez les</w:t>
      </w:r>
      <w:r>
        <w:t xml:space="preserve"> </w:t>
      </w:r>
      <w:hyperlink r:id="rId28">
        <w:r>
          <w:rPr>
            <w:rStyle w:val="Hyperlink"/>
          </w:rPr>
          <w:t xml:space="preserve">catégories d’incertitude</w:t>
        </w:r>
      </w:hyperlink>
      <w:r>
        <w:t xml:space="preserve"> </w:t>
      </w:r>
      <w:r>
        <w:t xml:space="preserve">pour vous aider à les identifier.</w:t>
      </w:r>
    </w:p>
    <w:p>
      <w:pPr>
        <w:numPr>
          <w:ilvl w:val="0"/>
          <w:numId w:val="1002"/>
        </w:numPr>
      </w:pPr>
      <w:r>
        <w:t xml:space="preserve">Il est important de différencier les incertitudes qui peuvent être évaluées en moyenne, ou comme des événements de risque :</w:t>
      </w:r>
    </w:p>
    <w:p>
      <w:pPr>
        <w:numPr>
          <w:ilvl w:val="1"/>
          <w:numId w:val="1003"/>
        </w:numPr>
      </w:pPr>
      <w:r>
        <w:t xml:space="preserve">Quelles sources d’incertitude seraient capturées en utilisant la performance moyenne dans le temps ?</w:t>
      </w:r>
    </w:p>
    <w:p>
      <w:pPr>
        <w:numPr>
          <w:ilvl w:val="1"/>
          <w:numId w:val="1003"/>
        </w:numPr>
      </w:pPr>
      <w:r>
        <w:t xml:space="preserve">Quelles sources d’incertitude représentent des formes de risque qui ne sont pas correctement capturées en utilisant des moyennes ?</w:t>
      </w:r>
    </w:p>
    <w:p>
      <w:pPr>
        <w:numPr>
          <w:ilvl w:val="0"/>
          <w:numId w:val="1002"/>
        </w:numPr>
      </w:pPr>
      <w:r>
        <w:t xml:space="preserve">Choisissez la seule décision qui semble avoir l’impact le plus élevé sur la métrique la plus importante.</w:t>
      </w:r>
    </w:p>
    <w:p>
      <w:pPr>
        <w:numPr>
          <w:ilvl w:val="1"/>
          <w:numId w:val="1004"/>
        </w:numPr>
      </w:pPr>
      <w:r>
        <w:t xml:space="preserve">Quelle approche pensez-vous que vous utiliseriez pour prendre cette décision ?</w:t>
      </w:r>
    </w:p>
    <w:p>
      <w:pPr>
        <w:numPr>
          <w:ilvl w:val="1"/>
          <w:numId w:val="1004"/>
        </w:numPr>
      </w:pPr>
      <w:r>
        <w:t xml:space="preserve">Quelles données semblent nécessaires pour prendre cette décision, y compris le calcul de toute métrique de performance où la décision aurait un impact élevé ou moyen.</w:t>
      </w:r>
    </w:p>
    <w:p>
      <w:pPr>
        <w:numPr>
          <w:ilvl w:val="0"/>
          <w:numId w:val="1002"/>
        </w:numPr>
      </w:pPr>
      <w:r>
        <w:t xml:space="preserve">En utilisant la même décision que vous avez identifiée en (7), identifiez les personnes, départements, groupes ou organisations avec lesquels vous devriez travailler pour mettre en œuvre la décision.</w:t>
      </w:r>
    </w:p>
    <w:bookmarkEnd w:id="29"/>
    <w:bookmarkStart w:id="30" w:name="note-de-source"/>
    <w:p>
      <w:pPr>
        <w:pStyle w:val="Heading1"/>
      </w:pPr>
      <w:r>
        <w:t xml:space="preserve">Note de Source</w:t>
      </w:r>
    </w:p>
    <w:p>
      <w:pPr>
        <w:pStyle w:val="FirstParagraph"/>
      </w:pPr>
      <w:r>
        <w:t xml:space="preserve">Le fondement conceptuel de cette étude de cas est la section « Managing Type 2 diabetes » de Warren B. Powell, Bridging Decision Problems, Volume I: Framing the Problem, Chapitre 2. L’étude de cas intègre les mesures cliniques, les choix de traitement, les actions des patients, et les réponses inconnues de la section dans le récit et les annexes sans les identifier comme catégories analytiques distinctes.</w:t>
      </w:r>
    </w:p>
    <w:p>
      <w:pPr>
        <w:pStyle w:val="BodyText"/>
      </w:pPr>
      <w:r>
        <w:t xml:space="preserve">Les données publiques utilisées pour motiver le contexte incluent les Centers for Disease Control and Prevention, National Diabetes Statistics Report (mis à jour en janvier 2026), qui estime 40,1 millions de personnes atteintes de diabète aux États-Unis en 2023 et 115,2 millions d’adultes atteints de prédiabète ; le Diabetes Basics du CDC, qui rapporte que le diabète de Type 2 représente environ 90–95 pour cent des cas diagnostiqués ; et les estimations du National Institute of Diabetes and Digestive and Kidney Diseases situant le coût 2022 du diabète diagnostiqué à 412,9 milliards $. Le CDC rapporte également que les coûts médicaux liés au diabète sont plus de deux fois plus élevés pour les personnes atteintes de diabète que pour les personnes sans cette condition. Toutes les données relatives aux patients, à la clinique, au traitement, à l’assurance, et aux finances dans l’étude de cas sont fictives et ne sont pas destinées à guider les soins médicaux.</w:t>
      </w:r>
    </w:p>
    <w:bookmarkEnd w:id="30"/>
    <w:bookmarkStart w:id="33" w:name="notes-chatgpt"/>
    <w:p>
      <w:pPr>
        <w:pStyle w:val="Heading1"/>
      </w:pPr>
      <w:r>
        <w:t xml:space="preserve">Notes ChatGPT</w:t>
      </w:r>
    </w:p>
    <w:bookmarkStart w:id="31" w:name="invite"/>
    <w:p>
      <w:pPr>
        <w:pStyle w:val="Heading2"/>
      </w:pPr>
      <w:r>
        <w:t xml:space="preserve">Invite</w:t>
      </w:r>
    </w:p>
    <w:p>
      <w:pPr>
        <w:pStyle w:val="FirstParagraph"/>
      </w:pPr>
      <w:r>
        <w:t xml:space="preserve">Rédigez une étude de cas de 4 à 6 pages basée sur le matériel de la section à l’adresse https://warrenpowell.org/bridging-vol1/chapter-2/#managing-type-2-diabetes. Créez un contexte basé sur les métriques, les décisions et les incertitudes de la section, mais sans y attirer explicitement l’attention. Motivez votre problème de cas avec des données.</w:t>
      </w:r>
    </w:p>
    <w:bookmarkEnd w:id="31"/>
    <w:bookmarkStart w:id="32" w:name="résumé"/>
    <w:p>
      <w:pPr>
        <w:pStyle w:val="Heading2"/>
      </w:pPr>
      <w:r>
        <w:t xml:space="preserve">Résumé</w:t>
      </w:r>
    </w:p>
    <w:p>
      <w:pPr>
        <w:pStyle w:val="FirstParagraph"/>
      </w:pPr>
      <w:r>
        <w:t xml:space="preserve">L’étude de cas suit un médecin, une équipe de soins, et un patient confrontés à un problème de traitement du diabète de Type 2 non résolu impliquant la réponse aux médicaments, la surveillance de la glycémie, le régime alimentaire et l’exercice, l’adhérence, le coût du traitement, la couverture d’assurance, la capacité du personnel, et la tension entre la variation glycémique à court terme et les complications à long terme.</w:t>
      </w:r>
    </w:p>
    <w:p>
      <w:pPr>
        <w:pStyle w:val="BodyText"/>
      </w:pPr>
      <w:r>
        <w:t xml:space="preserve">Le contexte est motivé par les estimations fédérales actuelles selon lesquelles 40,1 millions d’Américains étaient atteints de diabète en 2023, le diabète de Type 2 représente environ 90–95% des cas diagnostiqués, et le coût estimé du diabète diagnostiqué aux États-Unis était de 412,9 milliards $ en 2022.</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2026-09-11T15:47:12Z</dcterms:created>
  <dcterms:modified xsi:type="dcterms:W3CDTF">2026-09-11T15:47:12Z</dcterms:modified>
</cp:coreProperties>
</file>

<file path=docProps/custom.xml><?xml version="1.0" encoding="utf-8"?>
<Properties xmlns="http://schemas.openxmlformats.org/officeDocument/2006/custom-properties" xmlns:vt="http://schemas.openxmlformats.org/officeDocument/2006/docPropsVTypes"/>
</file>