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LA CAMPAGNE MERIDIAN</w:t>
      </w:r>
    </w:p>
    <w:p>
      <w:pPr>
        <w:pStyle w:val="BodyText"/>
      </w:pPr>
      <w:r>
        <w:t xml:space="preserve">La Carte des Quatre-Vingt-Treize Voix</w:t>
      </w:r>
    </w:p>
    <w:p>
      <w:pPr>
        <w:pStyle w:val="BodyText"/>
      </w:pPr>
      <w:r>
        <w:t xml:space="preserve">Un cas d'élection présidentielle sur l'allocation de l'argent, du temps du candidat, de l'information et de la capacité de terrain à travers un paysage électoral changeant</w:t>
      </w:r>
    </w:p>
    <w:p>
      <w:pPr>
        <w:pStyle w:val="BodyText"/>
      </w:pPr>
      <w:r>
        <w:t xml:space="preserve">Ce cas est fictif et destiné à la discussion pédagogique. Les candidats, partis, membres du personnel, événements, résultats de sondages et chiffres financiers internes ont été créés pour ce cas. Les statistiques publiques sur les élections et le financement des campagnes sont résumées dans la note source.</w:t>
      </w:r>
    </w:p>
    <w:bookmarkStart w:id="10" w:name="onze-semaines-avant-le-jour-de-lélection"/>
    <w:p>
      <w:pPr>
        <w:pStyle w:val="Heading1"/>
      </w:pPr>
      <w:r>
        <w:t xml:space="preserve">Onze Semaines Avant le Jour de l'Élection</w:t>
      </w:r>
    </w:p>
    <w:p>
      <w:pPr>
        <w:pStyle w:val="FirstParagraph"/>
      </w:pPr>
      <w:r>
        <w:t xml:space="preserve">À 6h15 un lundi matin d'août, la directrice de campagne Maya Chen se tenait devant une carte électorale murale géante dans le siège de la Campagne Meridian. Onze semaines restaient avant que les électeurs ne choisissent le prochain président. La carte montrait 226 votes électoraux jugés sûrs ou probables pour la gouverneure Jordan Meridian, 219 pour le sénateur Cameron Reed, et 93 répartis entre sept États que ni l'une ni l'autre campagne ne pouvait revendiquer avec confiance. La victoire nécessitait 270 votes.</w:t>
      </w:r>
    </w:p>
    <w:p>
      <w:pPr>
        <w:pStyle w:val="BodyText"/>
      </w:pPr>
      <w:r>
        <w:t xml:space="preserve">La campagne avait assez d'argent pour rester compétitive, mais pas assez pour poursuivre toutes les opportunités. Le comité de Meridian détenait 138 millions de dollars en liquidités. Le personnel financier prévoyait encore 52 millions de dollars avant le jour de l'élection, mais cette prévision dépendait de la réponse des donateurs aux messages, aux débats, aux événements d'actualité et à la position de la campagne dans les sondages nationaux. La masse salariale existante, les déplacements, les obligations liées à la convention, les frais juridiques et les réservations publicitaires engageaient déjà 96 millions de dollars. Les directeurs d'État cherchaient encore 84 millions de dollars pour les bureaux de terrain, les organisateurs, les services de données, les sondages, le contact avec les électeurs et les opérations du jour de l'élection.</w:t>
      </w:r>
    </w:p>
    <w:p>
      <w:pPr>
        <w:pStyle w:val="BodyText"/>
      </w:pPr>
      <w:r>
        <w:t xml:space="preserve">On avait demandé à Chen de présenter un plan de ressources final dans les quarante-huit heures. Le candidat voulait faire campagne dans les sept États contestés. L'équipe publicitaire voulait réserver du temps d'antenne télévisé et en streaming avant que les prix n'augmentent. Le directeur de terrain soutenait que l'embauche tardive gaspillerait l'avantage des bénévoles déjà inscrits. La directrice des sondages voulait des échantillons plus grands et des enquêtes plus fréquentes après que les estimations internes de la campagne avaient bougé fortement deux fois en trois semaines. Le directeur des finances avertissait que la campagne ne pouvait pas dépenser de l'argent qu'elle espérait seulement lever.</w:t>
      </w:r>
    </w:p>
    <w:bookmarkStart w:id="9" w:name="exhibit-1.-la-carte-électorale-contestée"/>
    <w:p>
      <w:pPr>
        <w:pStyle w:val="Heading2"/>
      </w:pPr>
      <w:r>
        <w:t xml:space="preserve">Exhibit 1. La Carte Électorale Contestée</w:t>
      </w:r>
    </w:p>
    <w:tbl>
      <w:tblPr>
        <w:tblStyle w:val="Table"/>
        <w:tblW w:type="pct" w:w="4903"/>
        <w:tblLayout w:type="fixed"/>
        <w:tblLook w:firstRow="1" w:lastRow="0" w:firstColumn="0" w:lastColumn="0" w:noHBand="0" w:noVBand="0" w:val="0020"/>
      </w:tblPr>
      <w:tblGrid>
        <w:gridCol w:w="1153"/>
        <w:gridCol w:w="1384"/>
        <w:gridCol w:w="1230"/>
        <w:gridCol w:w="922"/>
        <w:gridCol w:w="1537"/>
        <w:gridCol w:w="1537"/>
      </w:tblGrid>
      <w:tr>
        <w:trPr>
          <w:tblHeader w:val="on"/>
        </w:trPr>
        <w:tc>
          <w:tcPr/>
          <w:p>
            <w:pPr>
              <w:pStyle w:val="Compact"/>
              <w:jc w:val="left"/>
            </w:pPr>
            <w:r>
              <w:t xml:space="preserve">État</w:t>
            </w:r>
          </w:p>
        </w:tc>
        <w:tc>
          <w:tcPr/>
          <w:p>
            <w:pPr>
              <w:pStyle w:val="Compact"/>
              <w:jc w:val="left"/>
            </w:pPr>
            <w:r>
              <w:t xml:space="preserve">Votes électoraux</w:t>
            </w:r>
          </w:p>
        </w:tc>
        <w:tc>
          <w:tcPr/>
          <w:p>
            <w:pPr>
              <w:pStyle w:val="Compact"/>
              <w:jc w:val="right"/>
            </w:pPr>
            <w:r>
              <w:t xml:space="preserve">Sondage Meridia</w:t>
            </w:r>
          </w:p>
        </w:tc>
        <w:tc>
          <w:tcPr/>
          <w:p>
            <w:pPr>
              <w:pStyle w:val="Compact"/>
            </w:pPr>
            <w:r>
              <w:t xml:space="preserve">n Sondage</w:t>
            </w:r>
          </w:p>
        </w:tc>
        <w:tc>
          <w:tcPr/>
          <w:p>
            <w:pPr>
              <w:pStyle w:val="Compact"/>
            </w:pPr>
            <w:r>
              <w:t xml:space="preserve">Reed Indécis / aut</w:t>
            </w:r>
          </w:p>
        </w:tc>
        <w:tc>
          <w:tcPr/>
          <w:p>
            <w:pPr>
              <w:pStyle w:val="Compact"/>
            </w:pPr>
            <w:r>
              <w:t xml:space="preserve">re Participation estimée</w:t>
            </w:r>
          </w:p>
        </w:tc>
      </w:tr>
      <w:tr>
        <w:tc>
          <w:tcPr/>
          <w:p>
            <w:pPr>
              <w:pStyle w:val="Compact"/>
              <w:jc w:val="left"/>
            </w:pPr>
            <w:r>
              <w:t xml:space="preserve">Northlake</w:t>
            </w:r>
          </w:p>
        </w:tc>
        <w:tc>
          <w:tcPr/>
          <w:p>
            <w:pPr>
              <w:pStyle w:val="Compact"/>
              <w:jc w:val="left"/>
            </w:pPr>
            <w:r>
              <w:t xml:space="preserve">19</w:t>
            </w:r>
          </w:p>
        </w:tc>
        <w:tc>
          <w:tcPr/>
          <w:p>
            <w:pPr>
              <w:pStyle w:val="Compact"/>
              <w:jc w:val="right"/>
            </w:pPr>
            <w:r>
              <w:t xml:space="preserve">47,8%</w:t>
            </w:r>
          </w:p>
        </w:tc>
        <w:tc>
          <w:tcPr/>
          <w:p>
            <w:pPr>
              <w:pStyle w:val="Compact"/>
            </w:pPr>
            <w:r>
              <w:t xml:space="preserve">48,6%</w:t>
            </w:r>
          </w:p>
        </w:tc>
        <w:tc>
          <w:tcPr/>
          <w:p>
            <w:pPr>
              <w:pStyle w:val="Compact"/>
            </w:pPr>
            <w:r>
              <w:t xml:space="preserve">3,6%</w:t>
            </w:r>
          </w:p>
        </w:tc>
        <w:tc>
          <w:tcPr/>
          <w:p>
            <w:pPr>
              <w:pStyle w:val="Compact"/>
            </w:pPr>
            <w:r>
              <w:t xml:space="preserve">6,9 millions</w:t>
            </w:r>
          </w:p>
        </w:tc>
      </w:tr>
      <w:tr>
        <w:tc>
          <w:tcPr/>
          <w:p>
            <w:pPr>
              <w:pStyle w:val="Compact"/>
              <w:jc w:val="left"/>
            </w:pPr>
            <w:r>
              <w:t xml:space="preserve">Great Plains</w:t>
            </w:r>
          </w:p>
        </w:tc>
        <w:tc>
          <w:tcPr/>
          <w:p>
            <w:pPr>
              <w:pStyle w:val="Compact"/>
              <w:jc w:val="left"/>
            </w:pPr>
            <w:r>
              <w:t xml:space="preserve">16</w:t>
            </w:r>
          </w:p>
        </w:tc>
        <w:tc>
          <w:tcPr/>
          <w:p>
            <w:pPr>
              <w:pStyle w:val="Compact"/>
              <w:jc w:val="right"/>
            </w:pPr>
            <w:r>
              <w:t xml:space="preserve">48,7%</w:t>
            </w:r>
          </w:p>
        </w:tc>
        <w:tc>
          <w:tcPr/>
          <w:p>
            <w:pPr>
              <w:pStyle w:val="Compact"/>
            </w:pPr>
            <w:r>
              <w:t xml:space="preserve">47,9%</w:t>
            </w:r>
          </w:p>
        </w:tc>
        <w:tc>
          <w:tcPr/>
          <w:p>
            <w:pPr>
              <w:pStyle w:val="Compact"/>
            </w:pPr>
            <w:r>
              <w:t xml:space="preserve">3,4%</w:t>
            </w:r>
          </w:p>
        </w:tc>
        <w:tc>
          <w:tcPr/>
          <w:p>
            <w:pPr>
              <w:pStyle w:val="Compact"/>
            </w:pPr>
            <w:r>
              <w:t xml:space="preserve">5,5 millions</w:t>
            </w:r>
          </w:p>
        </w:tc>
      </w:tr>
      <w:tr>
        <w:tc>
          <w:tcPr/>
          <w:p>
            <w:pPr>
              <w:pStyle w:val="Compact"/>
              <w:jc w:val="left"/>
            </w:pPr>
            <w:r>
              <w:t xml:space="preserve">Piedmont</w:t>
            </w:r>
          </w:p>
        </w:tc>
        <w:tc>
          <w:tcPr/>
          <w:p>
            <w:pPr>
              <w:pStyle w:val="Compact"/>
              <w:jc w:val="left"/>
            </w:pPr>
            <w:r>
              <w:t xml:space="preserve">16</w:t>
            </w:r>
          </w:p>
        </w:tc>
        <w:tc>
          <w:tcPr/>
          <w:p>
            <w:pPr>
              <w:pStyle w:val="Compact"/>
              <w:jc w:val="right"/>
            </w:pPr>
            <w:r>
              <w:t xml:space="preserve">47,2%</w:t>
            </w:r>
          </w:p>
        </w:tc>
        <w:tc>
          <w:tcPr/>
          <w:p>
            <w:pPr>
              <w:pStyle w:val="Compact"/>
            </w:pPr>
            <w:r>
              <w:t xml:space="preserve">49,1%</w:t>
            </w:r>
          </w:p>
        </w:tc>
        <w:tc>
          <w:tcPr/>
          <w:p>
            <w:pPr>
              <w:pStyle w:val="Compact"/>
            </w:pPr>
            <w:r>
              <w:t xml:space="preserve">3,7%</w:t>
            </w:r>
          </w:p>
        </w:tc>
        <w:tc>
          <w:tcPr/>
          <w:p>
            <w:pPr>
              <w:pStyle w:val="Compact"/>
            </w:pPr>
            <w:r>
              <w:t xml:space="preserve">5,8 millions</w:t>
            </w:r>
          </w:p>
        </w:tc>
      </w:tr>
      <w:tr>
        <w:tc>
          <w:tcPr/>
          <w:p>
            <w:pPr>
              <w:pStyle w:val="Compact"/>
              <w:jc w:val="left"/>
            </w:pPr>
            <w:r>
              <w:t xml:space="preserve">Midland</w:t>
            </w:r>
          </w:p>
        </w:tc>
        <w:tc>
          <w:tcPr/>
          <w:p>
            <w:pPr>
              <w:pStyle w:val="Compact"/>
              <w:jc w:val="left"/>
            </w:pPr>
            <w:r>
              <w:t xml:space="preserve">15</w:t>
            </w:r>
          </w:p>
        </w:tc>
        <w:tc>
          <w:tcPr/>
          <w:p>
            <w:pPr>
              <w:pStyle w:val="Compact"/>
              <w:jc w:val="right"/>
            </w:pPr>
            <w:r>
              <w:t xml:space="preserve">48,9%</w:t>
            </w:r>
          </w:p>
        </w:tc>
        <w:tc>
          <w:tcPr/>
          <w:p>
            <w:pPr>
              <w:pStyle w:val="Compact"/>
            </w:pPr>
            <w:r>
              <w:t xml:space="preserve">48,5%</w:t>
            </w:r>
          </w:p>
        </w:tc>
        <w:tc>
          <w:tcPr/>
          <w:p>
            <w:pPr>
              <w:pStyle w:val="Compact"/>
            </w:pPr>
            <w:r>
              <w:t xml:space="preserve">2,6%</w:t>
            </w:r>
          </w:p>
        </w:tc>
        <w:tc>
          <w:tcPr/>
          <w:p>
            <w:pPr>
              <w:pStyle w:val="Compact"/>
            </w:pPr>
            <w:r>
              <w:t xml:space="preserve">5,7 millions</w:t>
            </w:r>
          </w:p>
        </w:tc>
      </w:tr>
      <w:tr>
        <w:tc>
          <w:tcPr/>
          <w:p>
            <w:pPr>
              <w:pStyle w:val="Compact"/>
              <w:jc w:val="left"/>
            </w:pPr>
            <w:r>
              <w:t xml:space="preserve">Sonora</w:t>
            </w:r>
          </w:p>
        </w:tc>
        <w:tc>
          <w:tcPr/>
          <w:p>
            <w:pPr>
              <w:pStyle w:val="Compact"/>
              <w:jc w:val="left"/>
            </w:pPr>
            <w:r>
              <w:t xml:space="preserve">11</w:t>
            </w:r>
          </w:p>
        </w:tc>
        <w:tc>
          <w:tcPr/>
          <w:p>
            <w:pPr>
              <w:pStyle w:val="Compact"/>
              <w:jc w:val="right"/>
            </w:pPr>
            <w:r>
              <w:t xml:space="preserve">46,8%</w:t>
            </w:r>
          </w:p>
        </w:tc>
        <w:tc>
          <w:tcPr/>
          <w:p>
            <w:pPr>
              <w:pStyle w:val="Compact"/>
            </w:pPr>
            <w:r>
              <w:t xml:space="preserve">49,6%</w:t>
            </w:r>
          </w:p>
        </w:tc>
        <w:tc>
          <w:tcPr/>
          <w:p>
            <w:pPr>
              <w:pStyle w:val="Compact"/>
            </w:pPr>
            <w:r>
              <w:t xml:space="preserve">3,6%</w:t>
            </w:r>
          </w:p>
        </w:tc>
        <w:tc>
          <w:tcPr/>
          <w:p>
            <w:pPr>
              <w:pStyle w:val="Compact"/>
            </w:pPr>
            <w:r>
              <w:t xml:space="preserve">3,5 millions</w:t>
            </w:r>
          </w:p>
        </w:tc>
      </w:tr>
      <w:tr>
        <w:tc>
          <w:tcPr/>
          <w:p>
            <w:pPr>
              <w:pStyle w:val="Compact"/>
              <w:jc w:val="left"/>
            </w:pPr>
            <w:r>
              <w:t xml:space="preserve">Lakeland</w:t>
            </w:r>
          </w:p>
        </w:tc>
        <w:tc>
          <w:tcPr/>
          <w:p>
            <w:pPr>
              <w:pStyle w:val="Compact"/>
              <w:jc w:val="left"/>
            </w:pPr>
            <w:r>
              <w:t xml:space="preserve">10</w:t>
            </w:r>
          </w:p>
        </w:tc>
        <w:tc>
          <w:tcPr/>
          <w:p>
            <w:pPr>
              <w:pStyle w:val="Compact"/>
              <w:jc w:val="right"/>
            </w:pPr>
            <w:r>
              <w:t xml:space="preserve">49,3%</w:t>
            </w:r>
          </w:p>
        </w:tc>
        <w:tc>
          <w:tcPr/>
          <w:p>
            <w:pPr>
              <w:pStyle w:val="Compact"/>
            </w:pPr>
            <w:r>
              <w:t xml:space="preserve">48,8%</w:t>
            </w:r>
          </w:p>
        </w:tc>
        <w:tc>
          <w:tcPr/>
          <w:p>
            <w:pPr>
              <w:pStyle w:val="Compact"/>
            </w:pPr>
            <w:r>
              <w:t xml:space="preserve">1,9%</w:t>
            </w:r>
          </w:p>
        </w:tc>
        <w:tc>
          <w:tcPr/>
          <w:p>
            <w:pPr>
              <w:pStyle w:val="Compact"/>
            </w:pPr>
            <w:r>
              <w:t xml:space="preserve">3,4 millions</w:t>
            </w:r>
          </w:p>
        </w:tc>
      </w:tr>
      <w:tr>
        <w:tc>
          <w:tcPr/>
          <w:p>
            <w:pPr>
              <w:pStyle w:val="Compact"/>
              <w:jc w:val="left"/>
            </w:pPr>
            <w:r>
              <w:t xml:space="preserve">Silver Basin</w:t>
            </w:r>
          </w:p>
        </w:tc>
        <w:tc>
          <w:tcPr/>
          <w:p>
            <w:pPr>
              <w:pStyle w:val="Compact"/>
              <w:jc w:val="left"/>
            </w:pPr>
            <w:r>
              <w:t xml:space="preserve">6</w:t>
            </w:r>
          </w:p>
        </w:tc>
        <w:tc>
          <w:tcPr/>
          <w:p>
            <w:pPr>
              <w:pStyle w:val="Compact"/>
              <w:jc w:val="right"/>
            </w:pPr>
            <w:r>
              <w:t xml:space="preserve">47,6%</w:t>
            </w:r>
          </w:p>
        </w:tc>
        <w:tc>
          <w:tcPr/>
          <w:p>
            <w:pPr>
              <w:pStyle w:val="Compact"/>
            </w:pPr>
            <w:r>
              <w:t xml:space="preserve">48,9%</w:t>
            </w:r>
          </w:p>
        </w:tc>
        <w:tc>
          <w:tcPr/>
          <w:p>
            <w:pPr>
              <w:pStyle w:val="Compact"/>
            </w:pPr>
            <w:r>
              <w:t xml:space="preserve">3,5%</w:t>
            </w:r>
          </w:p>
        </w:tc>
        <w:tc>
          <w:tcPr/>
          <w:p>
            <w:pPr>
              <w:pStyle w:val="Compact"/>
            </w:pPr>
            <w:r>
              <w:t xml:space="preserve">1,5 million</w:t>
            </w:r>
          </w:p>
        </w:tc>
      </w:tr>
    </w:tbl>
    <w:p>
      <w:pPr>
        <w:pStyle w:val="BodyText"/>
      </w:pPr>
      <w:r>
        <w:t xml:space="preserve">Remarque : Les estimations de sondages internes sont fictives. Les pourcentages peuvent ne pas totaliser 100 en raison des arrondis.</w:t>
      </w:r>
    </w:p>
    <w:bookmarkEnd w:id="9"/>
    <w:bookmarkEnd w:id="10"/>
    <w:bookmarkStart w:id="11" w:name="X911a4b3146b2de63a65c6994b4709d606086c90"/>
    <w:p>
      <w:pPr>
        <w:pStyle w:val="Heading1"/>
      </w:pPr>
      <w:r>
        <w:t xml:space="preserve">Une Élection Nationale Décidée État par État</w:t>
      </w:r>
    </w:p>
    <w:p>
      <w:pPr>
        <w:pStyle w:val="FirstParagraph"/>
      </w:pPr>
      <w:r>
        <w:t xml:space="preserve">Le vote populaire façonnait le récit public de la campagne, mais le Collège électoral déterminait le vainqueur. L'histoire récente renforçait l'importance des marges étroites au niveau des États. En 2020, moins de 43 000 voix à travers l'Arizona, la Géorgie et le Wisconsin séparaient le vainqueur de la perte de ces trois États. En 2024, les sept États pivots les plus surveillés totalisaient 93 votes électoraux. Six ont été décidés par des marges d'environ un à trois points de pourcentage, tandis que la marge de l'Arizona était plus large. Un basculement national d'un point pourrait produire des résultats d'État très différents selon la participation, l'attrait des candidats et les enjeux locaux.</w:t>
      </w:r>
    </w:p>
    <w:p>
      <w:pPr>
        <w:pStyle w:val="BodyText"/>
      </w:pPr>
      <w:r>
        <w:t xml:space="preserve">L'électorat lui-même était vaste et hétérogène. Le Bureau du recensement estimait que 174 millions de citoyens en âge de voter étaient inscrits en 2024 et que 154 millions avaient voté, soit un taux de participation de 65,3 pour cent. Les méthodes de vote différaient substantiellement : environ 40 pour cent ont voté en personne le jour de l'élection, 31 pour cent ont voté tôt en personne, et 29 pour cent ont voté par correspondance. La participation variait aussi selon l'âge, l'éducation, la géographie et d'autres caractéristiques. Pour Chen, cela signifiait que la persuasion, l'inscription, la mobilisation du vote anticipé, le soutien au vote par correspondance et les opérations du jour de l'élection ne pouvaient pas être traités comme une activité unique.</w:t>
      </w:r>
    </w:p>
    <w:p>
      <w:pPr>
        <w:pStyle w:val="BodyText"/>
      </w:pPr>
      <w:r>
        <w:t xml:space="preserve">La coalition de Meridian combinait des électeurs suburbains diplômés universitaires, des électeurs plus jeunes, des foyers syndiqués et des communautés métropolitaines en croissance. Reed menait parmi les électeurs ruraux, les électeurs plus âgés non diplômés et plusieurs groupes concentrés dans les petites villes. Aucune des deux coalitions n'était uniforme. Meridian obtenait de bons résultats auprès des jeunes électeurs sur le coût du logement mais de mauvais résultats sur la confiance dans l'économie. Reed menait sur la sécurité frontalière et l'inflation mais faisait face à des évaluations défavorables parmi les femmes suburbaines. L'équipe de recherche de la campagne pensait que la population indécise comprenait à la fois des électeurs véritablement persuasibles et des personnes peu susceptibles de voter.</w:t>
      </w:r>
    </w:p>
    <w:bookmarkEnd w:id="11"/>
    <w:bookmarkStart w:id="13" w:name="le-calendrier-était-aussi-une-ressource"/>
    <w:p>
      <w:pPr>
        <w:pStyle w:val="Heading1"/>
      </w:pPr>
      <w:r>
        <w:t xml:space="preserve">Le Calendrier Était Aussi une Ressource</w:t>
      </w:r>
    </w:p>
    <w:p>
      <w:pPr>
        <w:pStyle w:val="FirstParagraph"/>
      </w:pPr>
      <w:r>
        <w:t xml:space="preserve">Le candidat ne pouvait faire qu'un nombre limité d'apparitions. La sécurité, le temps de vol, la préparation, les interviews médiatiques et la collecte de fonds limitaient Meridian à environ seize événements publics majeurs par semaine. Un rassemblement pouvait générer des actualités locales et de l'énergie chez les bénévoles, mais son effet dépendait de la participation et de la couverture médiatique. Un discours politique pourrait faire évoluer les perceptions d'un public restreint tout en attirant peu d'attention ailleurs. Une interview nationale pouvait atteindre des millions de personnes mais faisait renoncer au contrôle des questions. Les collectes de fonds produisaient des liquidités mais consommaient du temps qui aurait pu être passé dans les États contestés.</w:t>
      </w:r>
    </w:p>
    <w:p>
      <w:pPr>
        <w:pStyle w:val="BodyText"/>
      </w:pPr>
      <w:r>
        <w:t xml:space="preserve">L'équipe de planification a proposé trois approches différentes. L'une concentrait les déplacements sur Northlake, Midland et Lakeland, où Meridian était déjà proche et où les visites pouvaient être combinées efficacement. Une seconde mettait l'accent sur Piedmont, Great Plains et Sonora, arguant que leurs plus grands bassins d'électeurs indécis créaient plus de marge pour changer la course. Une troisième réservait près d'un tiers du calendrier aux médias nationaux, à la collecte de fonds et à la réponse rapide à des événements qui ne pouvaient pas encore être anticipés.</w:t>
      </w:r>
    </w:p>
    <w:bookmarkStart w:id="12" w:name="Xff41c90f2c75ec836d7e6ec6b8eefb253b59dee"/>
    <w:p>
      <w:pPr>
        <w:pStyle w:val="Heading2"/>
      </w:pPr>
      <w:r>
        <w:t xml:space="preserve">Exhibit 2. Utilisation Hebdomadaire Proposée du Temps du Candidat</w:t>
      </w:r>
    </w:p>
    <w:tbl>
      <w:tblPr>
        <w:tblStyle w:val="Table"/>
        <w:tblW w:type="pct" w:w="4898"/>
        <w:tblLayout w:type="fixed"/>
        <w:tblLook w:firstRow="1" w:lastRow="0" w:firstColumn="0" w:lastColumn="0" w:noHBand="0" w:noVBand="0" w:val="0020"/>
      </w:tblPr>
      <w:tblGrid>
        <w:gridCol w:w="3313"/>
        <w:gridCol w:w="1535"/>
        <w:gridCol w:w="1373"/>
        <w:gridCol w:w="1535"/>
      </w:tblGrid>
      <w:tr>
        <w:trPr>
          <w:tblHeader w:val="on"/>
        </w:trPr>
        <w:tc>
          <w:tcPr/>
          <w:p>
            <w:pPr>
              <w:pStyle w:val="Compact"/>
              <w:jc w:val="left"/>
            </w:pPr>
            <w:r>
              <w:t xml:space="preserve">Activité</w:t>
            </w:r>
          </w:p>
        </w:tc>
        <w:tc>
          <w:tcPr/>
          <w:p>
            <w:pPr>
              <w:pStyle w:val="Compact"/>
            </w:pPr>
            <w:r>
              <w:t xml:space="preserve">Protéger l'avance</w:t>
            </w:r>
          </w:p>
        </w:tc>
        <w:tc>
          <w:tcPr/>
          <w:p>
            <w:pPr>
              <w:pStyle w:val="Compact"/>
              <w:jc w:val="right"/>
            </w:pPr>
            <w:r>
              <w:t xml:space="preserve">Élargir la cart</w:t>
            </w:r>
          </w:p>
        </w:tc>
        <w:tc>
          <w:tcPr/>
          <w:p>
            <w:pPr>
              <w:pStyle w:val="Compact"/>
            </w:pPr>
            <w:r>
              <w:t xml:space="preserve">e Garder de la flexibilité</w:t>
            </w:r>
          </w:p>
        </w:tc>
      </w:tr>
      <w:tr>
        <w:tc>
          <w:tcPr/>
          <w:p>
            <w:pPr>
              <w:pStyle w:val="Compact"/>
              <w:jc w:val="left"/>
            </w:pPr>
            <w:r>
              <w:t xml:space="preserve">Rassemblements et assemblées publiques en</w:t>
            </w:r>
          </w:p>
        </w:tc>
        <w:tc>
          <w:tcPr/>
          <w:p>
            <w:pPr>
              <w:pStyle w:val="Compact"/>
            </w:pPr>
            <w:r>
              <w:t xml:space="preserve">zones pivots</w:t>
            </w:r>
          </w:p>
        </w:tc>
        <w:tc>
          <w:tcPr/>
          <w:p>
            <w:pPr>
              <w:pStyle w:val="Compact"/>
              <w:jc w:val="right"/>
            </w:pPr>
            <w:r>
              <w:t xml:space="preserve">9 événements</w:t>
            </w:r>
          </w:p>
        </w:tc>
        <w:tc>
          <w:tcPr/>
          <w:p>
            <w:pPr>
              <w:pStyle w:val="Compact"/>
            </w:pPr>
            <w:r>
              <w:t xml:space="preserve">10 événements 7 événements</w:t>
            </w:r>
          </w:p>
        </w:tc>
      </w:tr>
      <w:tr>
        <w:tc>
          <w:tcPr/>
          <w:p>
            <w:pPr>
              <w:pStyle w:val="Compact"/>
              <w:jc w:val="left"/>
            </w:pPr>
            <w:r>
              <w:t xml:space="preserve">Discours politiques / événements de circo</w:t>
            </w:r>
          </w:p>
        </w:tc>
        <w:tc>
          <w:tcPr/>
          <w:p>
            <w:pPr>
              <w:pStyle w:val="Compact"/>
            </w:pPr>
            <w:r>
              <w:t xml:space="preserve">nscription 2</w:t>
            </w:r>
          </w:p>
        </w:tc>
        <w:tc>
          <w:tcPr/>
          <w:p>
            <w:pPr>
              <w:pStyle w:val="Compact"/>
              <w:jc w:val="right"/>
            </w:pPr>
            <w:r>
              <w:t xml:space="preserve">3</w:t>
            </w:r>
          </w:p>
        </w:tc>
        <w:tc>
          <w:tcPr/>
          <w:p>
            <w:pPr>
              <w:pStyle w:val="Compact"/>
            </w:pPr>
            <w:r>
              <w:t xml:space="preserve">2</w:t>
            </w:r>
          </w:p>
        </w:tc>
      </w:tr>
      <w:tr>
        <w:tc>
          <w:tcPr/>
          <w:p>
            <w:pPr>
              <w:pStyle w:val="Compact"/>
              <w:jc w:val="left"/>
            </w:pPr>
            <w:r>
              <w:t xml:space="preserve">Interviews nationales et événements numér</w:t>
            </w:r>
          </w:p>
        </w:tc>
        <w:tc>
          <w:tcPr/>
          <w:p>
            <w:pPr>
              <w:pStyle w:val="Compact"/>
            </w:pPr>
            <w:r>
              <w:t xml:space="preserve">iques 1</w:t>
            </w:r>
          </w:p>
        </w:tc>
        <w:tc>
          <w:tcPr/>
          <w:p>
            <w:pPr>
              <w:pStyle w:val="Compact"/>
              <w:jc w:val="right"/>
            </w:pPr>
            <w:r>
              <w:t xml:space="preserve">1</w:t>
            </w:r>
          </w:p>
        </w:tc>
        <w:tc>
          <w:tcPr/>
          <w:p>
            <w:pPr>
              <w:pStyle w:val="Compact"/>
            </w:pPr>
            <w:r>
              <w:t xml:space="preserve">3</w:t>
            </w:r>
          </w:p>
        </w:tc>
      </w:tr>
      <w:tr>
        <w:tc>
          <w:tcPr/>
          <w:p>
            <w:pPr>
              <w:pStyle w:val="Compact"/>
              <w:jc w:val="left"/>
            </w:pPr>
            <w:r>
              <w:t xml:space="preserve">Événements de collecte de fonds</w:t>
            </w:r>
          </w:p>
        </w:tc>
        <w:tc>
          <w:tcPr/>
          <w:p>
            <w:pPr>
              <w:pStyle w:val="Compact"/>
            </w:pPr>
          </w:p>
        </w:tc>
        <w:tc>
          <w:tcPr/>
          <w:p>
            <w:pPr>
              <w:pStyle w:val="Compact"/>
              <w:jc w:val="right"/>
            </w:pPr>
            <w:r>
              <w:t xml:space="preserve">3</w:t>
            </w:r>
          </w:p>
        </w:tc>
        <w:tc>
          <w:tcPr/>
          <w:p>
            <w:pPr>
              <w:pStyle w:val="Compact"/>
            </w:pPr>
            <w:r>
              <w:t xml:space="preserve">1 2</w:t>
            </w:r>
          </w:p>
        </w:tc>
      </w:tr>
      <w:tr>
        <w:tc>
          <w:tcPr/>
          <w:p>
            <w:pPr>
              <w:pStyle w:val="Compact"/>
              <w:jc w:val="left"/>
            </w:pPr>
            <w:r>
              <w:t xml:space="preserve">Capacité de réponse rapide non engagée</w:t>
            </w:r>
          </w:p>
        </w:tc>
        <w:tc>
          <w:tcPr/>
          <w:p>
            <w:pPr>
              <w:pStyle w:val="Compact"/>
            </w:pPr>
          </w:p>
        </w:tc>
        <w:tc>
          <w:tcPr/>
          <w:p>
            <w:pPr>
              <w:pStyle w:val="Compact"/>
              <w:jc w:val="right"/>
            </w:pPr>
            <w:r>
              <w:t xml:space="preserve">1</w:t>
            </w:r>
          </w:p>
        </w:tc>
        <w:tc>
          <w:tcPr/>
          <w:p>
            <w:pPr>
              <w:pStyle w:val="Compact"/>
            </w:pPr>
            <w:r>
              <w:t xml:space="preserve">1 2</w:t>
            </w:r>
          </w:p>
        </w:tc>
      </w:tr>
    </w:tbl>
    <w:bookmarkEnd w:id="12"/>
    <w:bookmarkEnd w:id="13"/>
    <w:bookmarkStart w:id="15" w:name="argent-messages-et-médias"/>
    <w:p>
      <w:pPr>
        <w:pStyle w:val="Heading1"/>
      </w:pPr>
      <w:r>
        <w:t xml:space="preserve">Argent, Messages et Médias</w:t>
      </w:r>
    </w:p>
    <w:p>
      <w:pPr>
        <w:pStyle w:val="FirstParagraph"/>
      </w:pPr>
      <w:r>
        <w:t xml:space="preserve">L'équipe de communication a divisé le reste de la campagne en trois phases : définir le programme économique de Meridian, opposer Meridian à Reed, et mobiliser les partisans. Le désaccord portait sur le calendrier et le canal. La télévision atteignait encore de grandes audiences, en particulier les électeurs plus âgés, mais les prix augmentaient à mesure que les campagnes et les groupes extérieurs réservaient un inventaire rare. La vidéo en streaming permettait un ciblage géographique et démographique plus fin, bien que la mesure entre plateformes soit incohérente. La publicité de recherche atteignait les électeurs recherchant activement de l'information mais était en concurrence avec les actualités, les opposants de campagne et les groupes indépendants. Les réseaux sociaux produisaient une rétroaction rapide, mais l'engagement ne se traduisait pas nécessairement par des opinions ou des votes modifiés.</w:t>
      </w:r>
    </w:p>
    <w:p>
      <w:pPr>
        <w:pStyle w:val="BodyText"/>
      </w:pPr>
      <w:r>
        <w:t xml:space="preserve">Les tests de messages n'avaient produit aucun thème dominant. Une publicité sur les coûts des ménages a amélioré l'évaluation de Meridian sur l'empathie économique mais a peu changé le choix de vote. Une publicité de contraste sur le bilan de Reed a augmenté l'inquiétude à propos de l'adversaire mais a aussi élevé les taux de désapprobation des deux candidats. Une publicité biographique a augmenté la favorabilité chez les électeurs peu familiers avec Meridian, bien que ces électeurs soient disproportionnellement peu susceptibles de participer. Un message sur le droit à l'avortement a fait bouger les femmes suburbaines mais risquait d'évincer les thèmes économiques. Une proposition sur la sécurité frontalière a amélioré une évaluation faible sur un enjeu tout en décevant certains partisans clés.</w:t>
      </w:r>
    </w:p>
    <w:p>
      <w:pPr>
        <w:pStyle w:val="BodyText"/>
      </w:pPr>
      <w:r>
        <w:t xml:space="preserve">La collecte de fonds a compliqué davantage le choix des messages. Un appel favorable après un débat a levé 4,8 millions de dollars en vingt-quatre heures. Un message texte ultérieur avertissant que la campagne était « en train de perdre du terrain partout » a levé 3,1 millions de dollars mais a généré des articles de presse sur la faiblesse de la campagne. Les messages pouvaient affecter les dons, les bénévoles, la couverture de presse et l'adversaire, tout autant que l'opinion des électeurs.</w:t>
      </w:r>
    </w:p>
    <w:bookmarkStart w:id="14" w:name="X906e1a33082fd624c27e58194f8c7956b209a74"/>
    <w:p>
      <w:pPr>
        <w:pStyle w:val="Heading2"/>
      </w:pPr>
      <w:r>
        <w:t xml:space="preserve">Exhibit 3. Budget Proposé pour les Médias et le Contact Électeurs Restants</w:t>
      </w:r>
    </w:p>
    <w:tbl>
      <w:tblPr>
        <w:tblStyle w:val="Table"/>
        <w:tblW w:type="pct" w:w="4910"/>
        <w:tblLayout w:type="fixed"/>
        <w:tblLook w:firstRow="1" w:lastRow="0" w:firstColumn="0" w:lastColumn="0" w:noHBand="0" w:noVBand="0" w:val="0020"/>
      </w:tblPr>
      <w:tblGrid>
        <w:gridCol w:w="2711"/>
        <w:gridCol w:w="1070"/>
        <w:gridCol w:w="1212"/>
        <w:gridCol w:w="2782"/>
      </w:tblGrid>
      <w:tr>
        <w:trPr>
          <w:tblHeader w:val="on"/>
        </w:trPr>
        <w:tc>
          <w:tcPr/>
          <w:p>
            <w:pPr>
              <w:pStyle w:val="Compact"/>
              <w:jc w:val="left"/>
            </w:pPr>
            <w:r>
              <w:t xml:space="preserve">Catégorie</w:t>
            </w:r>
          </w:p>
        </w:tc>
        <w:tc>
          <w:tcPr/>
          <w:p>
            <w:pPr>
              <w:pStyle w:val="Compact"/>
              <w:jc w:val="center"/>
            </w:pPr>
            <w:r>
              <w:t xml:space="preserve">Plan minimum</w:t>
            </w:r>
          </w:p>
        </w:tc>
        <w:tc>
          <w:tcPr/>
          <w:p>
            <w:pPr>
              <w:pStyle w:val="Compact"/>
              <w:jc w:val="right"/>
            </w:pPr>
            <w:r>
              <w:t xml:space="preserve">Plan demandé O</w:t>
            </w:r>
          </w:p>
        </w:tc>
        <w:tc>
          <w:tcPr/>
          <w:p>
            <w:pPr>
              <w:pStyle w:val="Compact"/>
              <w:jc w:val="left"/>
            </w:pPr>
            <w:r>
              <w:t xml:space="preserve">bjectif principal</w:t>
            </w:r>
          </w:p>
        </w:tc>
      </w:tr>
      <w:tr>
        <w:tc>
          <w:tcPr/>
          <w:p>
            <w:pPr>
              <w:pStyle w:val="Compact"/>
              <w:jc w:val="left"/>
            </w:pPr>
            <w:r>
              <w:t xml:space="preserve">Télévision hertzienne et par câble</w:t>
            </w:r>
          </w:p>
        </w:tc>
        <w:tc>
          <w:tcPr/>
          <w:p>
            <w:pPr>
              <w:pStyle w:val="Compact"/>
              <w:jc w:val="center"/>
            </w:pPr>
            <w:r>
              <w:t xml:space="preserve">46 millions</w:t>
            </w:r>
          </w:p>
        </w:tc>
        <w:tc>
          <w:tcPr/>
          <w:p>
            <w:pPr>
              <w:pStyle w:val="Compact"/>
              <w:jc w:val="right"/>
            </w:pPr>
            <w:r>
              <w:t xml:space="preserve">$ 72 millions</w:t>
            </w:r>
          </w:p>
        </w:tc>
        <w:tc>
          <w:tcPr/>
          <w:p>
            <w:pPr>
              <w:pStyle w:val="Compact"/>
              <w:jc w:val="left"/>
            </w:pPr>
            <w:r>
              <w:t xml:space="preserve">$ Persuasion large et contraste</w:t>
            </w:r>
          </w:p>
        </w:tc>
      </w:tr>
      <w:tr>
        <w:tc>
          <w:tcPr/>
          <w:p>
            <w:pPr>
              <w:pStyle w:val="Compact"/>
              <w:jc w:val="left"/>
            </w:pPr>
            <w:r>
              <w:t xml:space="preserve">Vidéo en streaming</w:t>
            </w:r>
          </w:p>
        </w:tc>
        <w:tc>
          <w:tcPr/>
          <w:p>
            <w:pPr>
              <w:pStyle w:val="Compact"/>
              <w:jc w:val="center"/>
            </w:pPr>
            <w:r>
              <w:t xml:space="preserve">14 millions $</w:t>
            </w:r>
          </w:p>
        </w:tc>
        <w:tc>
          <w:tcPr/>
          <w:p>
            <w:pPr>
              <w:pStyle w:val="Compact"/>
              <w:jc w:val="right"/>
            </w:pPr>
            <w:r>
              <w:t xml:space="preserve">26 millions $</w:t>
            </w:r>
          </w:p>
        </w:tc>
        <w:tc>
          <w:tcPr/>
          <w:p>
            <w:pPr>
              <w:pStyle w:val="Compact"/>
              <w:jc w:val="left"/>
            </w:pPr>
            <w:r>
              <w:t xml:space="preserve">Persuasion ciblée</w:t>
            </w:r>
          </w:p>
        </w:tc>
      </w:tr>
      <w:tr>
        <w:tc>
          <w:tcPr/>
          <w:p>
            <w:pPr>
              <w:pStyle w:val="Compact"/>
              <w:jc w:val="left"/>
            </w:pPr>
            <w:r>
              <w:t xml:space="preserve">Recherche et réseaux sociaux</w:t>
            </w:r>
          </w:p>
        </w:tc>
        <w:tc>
          <w:tcPr/>
          <w:p>
            <w:pPr>
              <w:pStyle w:val="Compact"/>
              <w:jc w:val="center"/>
            </w:pPr>
            <w:r>
              <w:t xml:space="preserve">11 mil</w:t>
            </w:r>
          </w:p>
        </w:tc>
        <w:tc>
          <w:tcPr/>
          <w:p>
            <w:pPr>
              <w:pStyle w:val="Compact"/>
              <w:jc w:val="right"/>
            </w:pPr>
            <w:r>
              <w:t xml:space="preserve">lions $ 19 mill</w:t>
            </w:r>
          </w:p>
        </w:tc>
        <w:tc>
          <w:tcPr/>
          <w:p>
            <w:pPr>
              <w:pStyle w:val="Compact"/>
              <w:jc w:val="left"/>
            </w:pPr>
            <w:r>
              <w:t xml:space="preserve">ions $ Information, persuasion, collecte de fonds</w:t>
            </w:r>
          </w:p>
        </w:tc>
      </w:tr>
      <w:tr>
        <w:tc>
          <w:tcPr/>
          <w:p>
            <w:pPr>
              <w:pStyle w:val="Compact"/>
              <w:jc w:val="left"/>
            </w:pPr>
            <w:r>
              <w:t xml:space="preserve">Courrier direct et matériel imprimé</w:t>
            </w:r>
          </w:p>
        </w:tc>
        <w:tc>
          <w:tcPr/>
          <w:p>
            <w:pPr>
              <w:pStyle w:val="Compact"/>
              <w:jc w:val="center"/>
            </w:pPr>
            <w:r>
              <w:t xml:space="preserve">7 millions $</w:t>
            </w:r>
          </w:p>
        </w:tc>
        <w:tc>
          <w:tcPr/>
          <w:p>
            <w:pPr>
              <w:pStyle w:val="Compact"/>
              <w:jc w:val="right"/>
            </w:pPr>
            <w:r>
              <w:t xml:space="preserve">12 millions $</w:t>
            </w:r>
          </w:p>
        </w:tc>
        <w:tc>
          <w:tcPr/>
          <w:p>
            <w:pPr>
              <w:pStyle w:val="Compact"/>
              <w:jc w:val="left"/>
            </w:pPr>
            <w:r>
              <w:t xml:space="preserve">Persuasion ciblée et mobilisation</w:t>
            </w:r>
          </w:p>
        </w:tc>
      </w:tr>
      <w:tr>
        <w:tc>
          <w:tcPr/>
          <w:p>
            <w:pPr>
              <w:pStyle w:val="Compact"/>
              <w:jc w:val="left"/>
            </w:pPr>
            <w:r>
              <w:t xml:space="preserve">Contact électoral de terrain</w:t>
            </w:r>
          </w:p>
        </w:tc>
        <w:tc>
          <w:tcPr/>
          <w:p>
            <w:pPr>
              <w:pStyle w:val="Compact"/>
              <w:jc w:val="center"/>
            </w:pPr>
            <w:r>
              <w:t xml:space="preserve">22 mil</w:t>
            </w:r>
          </w:p>
        </w:tc>
        <w:tc>
          <w:tcPr/>
          <w:p>
            <w:pPr>
              <w:pStyle w:val="Compact"/>
              <w:jc w:val="right"/>
            </w:pPr>
            <w:r>
              <w:t xml:space="preserve">lions $ 38 mill</w:t>
            </w:r>
          </w:p>
        </w:tc>
        <w:tc>
          <w:tcPr/>
          <w:p>
            <w:pPr>
              <w:pStyle w:val="Compact"/>
              <w:jc w:val="left"/>
            </w:pPr>
            <w:r>
              <w:t xml:space="preserve">ions $ Inscription, vote anticipé, mobilisation</w:t>
            </w:r>
          </w:p>
        </w:tc>
      </w:tr>
      <w:tr>
        <w:tc>
          <w:tcPr/>
          <w:p>
            <w:pPr>
              <w:pStyle w:val="Compact"/>
              <w:jc w:val="left"/>
            </w:pPr>
            <w:r>
              <w:t xml:space="preserve">Sondages, analytique et expérimentatio</w:t>
            </w:r>
          </w:p>
        </w:tc>
        <w:tc>
          <w:tcPr/>
          <w:p>
            <w:pPr>
              <w:pStyle w:val="Compact"/>
              <w:jc w:val="center"/>
            </w:pPr>
            <w:r>
              <w:t xml:space="preserve">n 8 millions</w:t>
            </w:r>
          </w:p>
        </w:tc>
        <w:tc>
          <w:tcPr/>
          <w:p>
            <w:pPr>
              <w:pStyle w:val="Compact"/>
              <w:jc w:val="right"/>
            </w:pPr>
            <w:r>
              <w:t xml:space="preserve">$ 15 millions</w:t>
            </w:r>
          </w:p>
        </w:tc>
        <w:tc>
          <w:tcPr/>
          <w:p>
            <w:pPr>
              <w:pStyle w:val="Compact"/>
              <w:jc w:val="left"/>
            </w:pPr>
            <w:r>
              <w:t xml:space="preserve">$ Mesure et apprentissage</w:t>
            </w:r>
          </w:p>
        </w:tc>
      </w:tr>
    </w:tbl>
    <w:bookmarkEnd w:id="14"/>
    <w:bookmarkEnd w:id="15"/>
    <w:bookmarkStart w:id="17" w:name="lorganisation-de-terrain"/>
    <w:p>
      <w:pPr>
        <w:pStyle w:val="Heading1"/>
      </w:pPr>
      <w:r>
        <w:t xml:space="preserve">L'Organisation de Terrain</w:t>
      </w:r>
    </w:p>
    <w:p>
      <w:pPr>
        <w:pStyle w:val="FirstParagraph"/>
      </w:pPr>
      <w:r>
        <w:t xml:space="preserve">Le directeur de terrain Luis Ortega considérait la campagne comme une opération de renforcement de capacité. Bureaux, organisateurs, chefs de bénévoles, itinéraires de démarchage, centres d'appels téléphoniques, équipes de correction de bulletins et soutien juridique devaient être assemblés avant d'en avoir besoin. Un nouvel organisateur nécessitait recrutement, formation, accès aux données, supervision et relations locales. Fermer un bureau plus tard permettrait d'économiser moins d'argent que prévu et pourrait nuire au moral. Ortega voulait donc des engagements précoces dans les sept États.</w:t>
      </w:r>
    </w:p>
    <w:p>
      <w:pPr>
        <w:pStyle w:val="BodyText"/>
      </w:pPr>
      <w:r>
        <w:t xml:space="preserve">L'organisation la plus forte se trouvait à Northlake, où la campagne comptait 31 bureaux, 420 employés rémunérés, et plus de 18 000 bénévoles ayant effectué au moins un quart de travail. Sonora ne comptait que 12 bureaux et 135 employés répartis sur un territoire beaucoup plus vaste. Great Plains avait de fortes organisations partisanes dans deux zones métropolitaines mais une faible couverture dans les comtés industriels plus petits. Silver Basin avait peu de votes électoraux, mais ses marchés médiatiques étaient relativement peu coûteux et sa population était concentrée. Piedmont avait le plus grand bassin potentiel de nouveaux électeurs, mais les règles d'inscription et la croissance démographique rapide rendaient le fichier électoral moins fiable.</w:t>
      </w:r>
    </w:p>
    <w:bookmarkStart w:id="16" w:name="Xfe21febb007d32979ed2f6e4eda9d6e9700aeb3"/>
    <w:p>
      <w:pPr>
        <w:pStyle w:val="Heading2"/>
      </w:pPr>
      <w:r>
        <w:t xml:space="preserve">Exhibit 4. Capacité de Terrain dans les États Pivots</w:t>
      </w:r>
    </w:p>
    <w:tbl>
      <w:tblPr>
        <w:tblStyle w:val="Table"/>
        <w:tblW w:type="pct" w:w="4877"/>
        <w:tblLayout w:type="fixed"/>
        <w:tblLook w:firstRow="1" w:lastRow="0" w:firstColumn="0" w:lastColumn="0" w:noHBand="0" w:noVBand="0" w:val="0020"/>
      </w:tblPr>
      <w:tblGrid>
        <w:gridCol w:w="1466"/>
        <w:gridCol w:w="977"/>
        <w:gridCol w:w="1271"/>
        <w:gridCol w:w="1955"/>
        <w:gridCol w:w="2053"/>
      </w:tblGrid>
      <w:tr>
        <w:trPr>
          <w:tblHeader w:val="on"/>
        </w:trPr>
        <w:tc>
          <w:tcPr/>
          <w:p>
            <w:pPr>
              <w:pStyle w:val="Compact"/>
              <w:jc w:val="left"/>
            </w:pPr>
            <w:r>
              <w:t xml:space="preserve">État</w:t>
            </w:r>
          </w:p>
        </w:tc>
        <w:tc>
          <w:tcPr/>
          <w:p>
            <w:pPr>
              <w:pStyle w:val="Compact"/>
              <w:jc w:val="left"/>
            </w:pPr>
            <w:r>
              <w:t xml:space="preserve">Bureaux</w:t>
            </w:r>
          </w:p>
        </w:tc>
        <w:tc>
          <w:tcPr/>
          <w:p>
            <w:pPr>
              <w:pStyle w:val="Compact"/>
            </w:pPr>
            <w:r>
              <w:t xml:space="preserve">Personnel rém</w:t>
            </w:r>
          </w:p>
        </w:tc>
        <w:tc>
          <w:tcPr/>
          <w:p>
            <w:pPr>
              <w:pStyle w:val="Compact"/>
            </w:pPr>
            <w:r>
              <w:t xml:space="preserve">unéré Bénévoles ac</w:t>
            </w:r>
          </w:p>
        </w:tc>
        <w:tc>
          <w:tcPr/>
          <w:p>
            <w:pPr>
              <w:pStyle w:val="Compact"/>
            </w:pPr>
            <w:r>
              <w:t xml:space="preserve">tifs Demande supplémentaire</w:t>
            </w:r>
          </w:p>
        </w:tc>
      </w:tr>
      <w:tr>
        <w:tc>
          <w:tcPr/>
          <w:p>
            <w:pPr>
              <w:pStyle w:val="Compact"/>
              <w:jc w:val="left"/>
            </w:pPr>
            <w:r>
              <w:t xml:space="preserve">Northlake</w:t>
            </w:r>
          </w:p>
        </w:tc>
        <w:tc>
          <w:tcPr/>
          <w:p>
            <w:pPr>
              <w:pStyle w:val="Compact"/>
              <w:jc w:val="left"/>
            </w:pPr>
            <w:r>
              <w:t xml:space="preserve">31</w:t>
            </w:r>
          </w:p>
        </w:tc>
        <w:tc>
          <w:tcPr/>
          <w:p>
            <w:pPr>
              <w:pStyle w:val="Compact"/>
            </w:pPr>
            <w:r>
              <w:t xml:space="preserve">420</w:t>
            </w:r>
          </w:p>
        </w:tc>
        <w:tc>
          <w:tcPr/>
          <w:p>
            <w:pPr>
              <w:pStyle w:val="Compact"/>
            </w:pPr>
            <w:r>
              <w:t xml:space="preserve">18 200</w:t>
            </w:r>
          </w:p>
        </w:tc>
        <w:tc>
          <w:tcPr/>
          <w:p>
            <w:pPr>
              <w:pStyle w:val="Compact"/>
            </w:pPr>
            <w:r>
              <w:t xml:space="preserve">8,5 millions $</w:t>
            </w:r>
          </w:p>
        </w:tc>
      </w:tr>
      <w:tr>
        <w:tc>
          <w:tcPr/>
          <w:p>
            <w:pPr>
              <w:pStyle w:val="Compact"/>
              <w:jc w:val="left"/>
            </w:pPr>
            <w:r>
              <w:t xml:space="preserve">Great Plains</w:t>
            </w:r>
          </w:p>
        </w:tc>
        <w:tc>
          <w:tcPr/>
          <w:p>
            <w:pPr>
              <w:pStyle w:val="Compact"/>
              <w:jc w:val="left"/>
            </w:pPr>
            <w:r>
              <w:t xml:space="preserve">22</w:t>
            </w:r>
          </w:p>
        </w:tc>
        <w:tc>
          <w:tcPr/>
          <w:p>
            <w:pPr>
              <w:pStyle w:val="Compact"/>
            </w:pPr>
            <w:r>
              <w:t xml:space="preserve">286</w:t>
            </w:r>
          </w:p>
        </w:tc>
        <w:tc>
          <w:tcPr/>
          <w:p>
            <w:pPr>
              <w:pStyle w:val="Compact"/>
            </w:pPr>
            <w:r>
              <w:t xml:space="preserve">10 400</w:t>
            </w:r>
          </w:p>
        </w:tc>
        <w:tc>
          <w:tcPr/>
          <w:p>
            <w:pPr>
              <w:pStyle w:val="Compact"/>
            </w:pPr>
            <w:r>
              <w:t xml:space="preserve">7,2 millions $</w:t>
            </w:r>
          </w:p>
        </w:tc>
      </w:tr>
      <w:tr>
        <w:tc>
          <w:tcPr/>
          <w:p>
            <w:pPr>
              <w:pStyle w:val="Compact"/>
              <w:jc w:val="left"/>
            </w:pPr>
            <w:r>
              <w:t xml:space="preserve">Piedmont</w:t>
            </w:r>
          </w:p>
        </w:tc>
        <w:tc>
          <w:tcPr/>
          <w:p>
            <w:pPr>
              <w:pStyle w:val="Compact"/>
              <w:jc w:val="left"/>
            </w:pPr>
            <w:r>
              <w:t xml:space="preserve">20</w:t>
            </w:r>
          </w:p>
        </w:tc>
        <w:tc>
          <w:tcPr/>
          <w:p>
            <w:pPr>
              <w:pStyle w:val="Compact"/>
            </w:pPr>
            <w:r>
              <w:t xml:space="preserve">305</w:t>
            </w:r>
          </w:p>
        </w:tc>
        <w:tc>
          <w:tcPr/>
          <w:p>
            <w:pPr>
              <w:pStyle w:val="Compact"/>
            </w:pPr>
            <w:r>
              <w:t xml:space="preserve">9 100</w:t>
            </w:r>
          </w:p>
        </w:tc>
        <w:tc>
          <w:tcPr/>
          <w:p>
            <w:pPr>
              <w:pStyle w:val="Compact"/>
            </w:pPr>
            <w:r>
              <w:t xml:space="preserve">9,4 millions $</w:t>
            </w:r>
          </w:p>
        </w:tc>
      </w:tr>
      <w:tr>
        <w:tc>
          <w:tcPr/>
          <w:p>
            <w:pPr>
              <w:pStyle w:val="Compact"/>
              <w:jc w:val="left"/>
            </w:pPr>
            <w:r>
              <w:t xml:space="preserve">Midland</w:t>
            </w:r>
          </w:p>
        </w:tc>
        <w:tc>
          <w:tcPr/>
          <w:p>
            <w:pPr>
              <w:pStyle w:val="Compact"/>
              <w:jc w:val="left"/>
            </w:pPr>
            <w:r>
              <w:t xml:space="preserve">25</w:t>
            </w:r>
          </w:p>
        </w:tc>
        <w:tc>
          <w:tcPr/>
          <w:p>
            <w:pPr>
              <w:pStyle w:val="Compact"/>
            </w:pPr>
            <w:r>
              <w:t xml:space="preserve">338</w:t>
            </w:r>
          </w:p>
        </w:tc>
        <w:tc>
          <w:tcPr/>
          <w:p>
            <w:pPr>
              <w:pStyle w:val="Compact"/>
            </w:pPr>
            <w:r>
              <w:t xml:space="preserve">13 700</w:t>
            </w:r>
          </w:p>
        </w:tc>
        <w:tc>
          <w:tcPr/>
          <w:p>
            <w:pPr>
              <w:pStyle w:val="Compact"/>
            </w:pPr>
            <w:r>
              <w:t xml:space="preserve">7,8 millions $</w:t>
            </w:r>
          </w:p>
        </w:tc>
      </w:tr>
      <w:tr>
        <w:tc>
          <w:tcPr/>
          <w:p>
            <w:pPr>
              <w:pStyle w:val="Compact"/>
              <w:jc w:val="left"/>
            </w:pPr>
            <w:r>
              <w:t xml:space="preserve">Sonora</w:t>
            </w:r>
          </w:p>
        </w:tc>
        <w:tc>
          <w:tcPr/>
          <w:p>
            <w:pPr>
              <w:pStyle w:val="Compact"/>
              <w:jc w:val="left"/>
            </w:pPr>
            <w:r>
              <w:t xml:space="preserve">12</w:t>
            </w:r>
          </w:p>
        </w:tc>
        <w:tc>
          <w:tcPr/>
          <w:p>
            <w:pPr>
              <w:pStyle w:val="Compact"/>
            </w:pPr>
            <w:r>
              <w:t xml:space="preserve">135</w:t>
            </w:r>
          </w:p>
        </w:tc>
        <w:tc>
          <w:tcPr/>
          <w:p>
            <w:pPr>
              <w:pStyle w:val="Compact"/>
            </w:pPr>
            <w:r>
              <w:t xml:space="preserve">5 300</w:t>
            </w:r>
          </w:p>
        </w:tc>
        <w:tc>
          <w:tcPr/>
          <w:p>
            <w:pPr>
              <w:pStyle w:val="Compact"/>
            </w:pPr>
            <w:r>
              <w:t xml:space="preserve">8,9 millions $</w:t>
            </w:r>
          </w:p>
        </w:tc>
      </w:tr>
      <w:tr>
        <w:tc>
          <w:tcPr/>
          <w:p>
            <w:pPr>
              <w:pStyle w:val="Compact"/>
              <w:jc w:val="left"/>
            </w:pPr>
            <w:r>
              <w:t xml:space="preserve">Lakeland</w:t>
            </w:r>
          </w:p>
        </w:tc>
        <w:tc>
          <w:tcPr/>
          <w:p>
            <w:pPr>
              <w:pStyle w:val="Compact"/>
              <w:jc w:val="left"/>
            </w:pPr>
            <w:r>
              <w:t xml:space="preserve">18</w:t>
            </w:r>
          </w:p>
        </w:tc>
        <w:tc>
          <w:tcPr/>
          <w:p>
            <w:pPr>
              <w:pStyle w:val="Compact"/>
            </w:pPr>
            <w:r>
              <w:t xml:space="preserve">224</w:t>
            </w:r>
          </w:p>
        </w:tc>
        <w:tc>
          <w:tcPr/>
          <w:p>
            <w:pPr>
              <w:pStyle w:val="Compact"/>
            </w:pPr>
            <w:r>
              <w:t xml:space="preserve">8 800</w:t>
            </w:r>
          </w:p>
        </w:tc>
        <w:tc>
          <w:tcPr/>
          <w:p>
            <w:pPr>
              <w:pStyle w:val="Compact"/>
            </w:pPr>
            <w:r>
              <w:t xml:space="preserve">5,7 millions $</w:t>
            </w:r>
          </w:p>
        </w:tc>
      </w:tr>
      <w:tr>
        <w:tc>
          <w:tcPr/>
          <w:p>
            <w:pPr>
              <w:pStyle w:val="Compact"/>
              <w:jc w:val="left"/>
            </w:pPr>
            <w:r>
              <w:t xml:space="preserve">Silver Basin</w:t>
            </w:r>
          </w:p>
        </w:tc>
        <w:tc>
          <w:tcPr/>
          <w:p>
            <w:pPr>
              <w:pStyle w:val="Compact"/>
              <w:jc w:val="left"/>
            </w:pPr>
            <w:r>
              <w:t xml:space="preserve">9</w:t>
            </w:r>
          </w:p>
        </w:tc>
        <w:tc>
          <w:tcPr/>
          <w:p>
            <w:pPr>
              <w:pStyle w:val="Compact"/>
            </w:pPr>
            <w:r>
              <w:t xml:space="preserve">96</w:t>
            </w:r>
          </w:p>
        </w:tc>
        <w:tc>
          <w:tcPr/>
          <w:p>
            <w:pPr>
              <w:pStyle w:val="Compact"/>
            </w:pPr>
            <w:r>
              <w:t xml:space="preserve">3 900</w:t>
            </w:r>
          </w:p>
        </w:tc>
        <w:tc>
          <w:tcPr/>
          <w:p>
            <w:pPr>
              <w:pStyle w:val="Compact"/>
            </w:pPr>
            <w:r>
              <w:t xml:space="preserve">3,4 millions $</w:t>
            </w:r>
          </w:p>
        </w:tc>
      </w:tr>
    </w:tbl>
    <w:bookmarkEnd w:id="16"/>
    <w:bookmarkEnd w:id="17"/>
    <w:bookmarkStart w:id="19" w:name="que-disaient-vraiment-les-sondages"/>
    <w:p>
      <w:pPr>
        <w:pStyle w:val="Heading1"/>
      </w:pPr>
      <w:r>
        <w:t xml:space="preserve">Que Disaient Vraiment les Sondages ?</w:t>
      </w:r>
    </w:p>
    <w:p>
      <w:pPr>
        <w:pStyle w:val="FirstParagraph"/>
      </w:pPr>
      <w:r>
        <w:t xml:space="preserve">La directrice des sondages Priya Shah mettait en garde contre le fait de traiter l'Exhibit 1 comme précis. Chaque estimation combinait des enquêtes, des hypothèses de participation, des ajustements pour non-réponse et des jugements sur les électeurs probables. Dans plusieurs États, le changement du modèle d'électeur probable modifiait la marge de plus que l'erreur d'échantillonnage rapportée. Les répondants pouvaient aussi changer d'avis ou ne pas voter.</w:t>
      </w:r>
    </w:p>
    <w:p>
      <w:pPr>
        <w:pStyle w:val="BodyText"/>
      </w:pPr>
      <w:r>
        <w:t xml:space="preserve">Shah proposait des expériences de message contrôlées, des interviews et des enquêtes rapides plutôt qu'une nouvelle série complète de sondages d'État. Les directeurs d'État voulaient des indications au niveau des comtés, tandis que les donateurs et les responsables du parti attendaient des chiffres synthétiques. Chen se demandait si la campagne achetait de l'information pour améliorer les décisions ou des chiffres que les départements pourraient utiliser pour défendre des préférences existantes.</w:t>
      </w:r>
    </w:p>
    <w:bookmarkStart w:id="18" w:name="Xfc5214fd3e15eebd5357a40367b655d900a4da1"/>
    <w:p>
      <w:pPr>
        <w:pStyle w:val="Heading2"/>
      </w:pPr>
      <w:r>
        <w:t xml:space="preserve">Exhibit 5. Alternatives de Sondage Interne</w:t>
      </w:r>
    </w:p>
    <w:tbl>
      <w:tblPr>
        <w:tblStyle w:val="Table"/>
        <w:tblW w:type="pct" w:w="4919"/>
        <w:tblLayout w:type="fixed"/>
        <w:tblLook w:firstRow="1" w:lastRow="0" w:firstColumn="0" w:lastColumn="0" w:noHBand="0" w:noVBand="0" w:val="0020"/>
      </w:tblPr>
      <w:tblGrid>
        <w:gridCol w:w="2768"/>
        <w:gridCol w:w="1030"/>
        <w:gridCol w:w="1674"/>
        <w:gridCol w:w="2318"/>
      </w:tblGrid>
      <w:tr>
        <w:trPr>
          <w:tblHeader w:val="on"/>
        </w:trPr>
        <w:tc>
          <w:tcPr/>
          <w:p>
            <w:pPr>
              <w:pStyle w:val="Compact"/>
              <w:jc w:val="left"/>
            </w:pPr>
            <w:r>
              <w:t xml:space="preserve">Programme</w:t>
            </w:r>
          </w:p>
        </w:tc>
        <w:tc>
          <w:tcPr/>
          <w:p>
            <w:pPr>
              <w:pStyle w:val="Compact"/>
              <w:jc w:val="center"/>
            </w:pPr>
            <w:r>
              <w:t xml:space="preserve">Coût</w:t>
            </w:r>
          </w:p>
        </w:tc>
        <w:tc>
          <w:tcPr/>
          <w:p>
            <w:pPr>
              <w:pStyle w:val="Compact"/>
              <w:jc w:val="center"/>
            </w:pPr>
            <w:r>
              <w:t xml:space="preserve">Calendrier</w:t>
            </w:r>
          </w:p>
        </w:tc>
        <w:tc>
          <w:tcPr/>
          <w:p>
            <w:pPr>
              <w:pStyle w:val="Compact"/>
              <w:jc w:val="right"/>
            </w:pPr>
            <w:r>
              <w:t xml:space="preserve">Ce que cela pourrait clarifier</w:t>
            </w:r>
          </w:p>
        </w:tc>
      </w:tr>
      <w:tr>
        <w:tc>
          <w:tcPr/>
          <w:p>
            <w:pPr>
              <w:pStyle w:val="Compact"/>
              <w:jc w:val="left"/>
            </w:pPr>
            <w:r>
              <w:t xml:space="preserve">Sondage complet dans les États pivots, deux</w:t>
            </w:r>
          </w:p>
        </w:tc>
        <w:tc>
          <w:tcPr/>
          <w:p>
            <w:pPr>
              <w:pStyle w:val="Compact"/>
              <w:jc w:val="center"/>
            </w:pPr>
            <w:r>
              <w:t xml:space="preserve">fois par mois</w:t>
            </w:r>
          </w:p>
        </w:tc>
        <w:tc>
          <w:tcPr/>
          <w:p>
            <w:pPr>
              <w:pStyle w:val="Compact"/>
              <w:jc w:val="center"/>
            </w:pPr>
            <w:r>
              <w:t xml:space="preserve">6,8 millions $ Résultat</w:t>
            </w:r>
          </w:p>
        </w:tc>
        <w:tc>
          <w:tcPr/>
          <w:p>
            <w:pPr>
              <w:pStyle w:val="Compact"/>
              <w:jc w:val="right"/>
            </w:pPr>
            <w:r>
              <w:t xml:space="preserve">s en 5-7 jours Marges d'État et sous-groupes majeurs</w:t>
            </w:r>
          </w:p>
        </w:tc>
      </w:tr>
      <w:tr>
        <w:tc>
          <w:tcPr/>
          <w:p>
            <w:pPr>
              <w:pStyle w:val="Compact"/>
              <w:jc w:val="left"/>
            </w:pPr>
            <w:r>
              <w:t xml:space="preserve">Sondage de suivi quotidien multi-États</w:t>
            </w:r>
          </w:p>
        </w:tc>
        <w:tc>
          <w:tcPr/>
          <w:p>
            <w:pPr>
              <w:pStyle w:val="Compact"/>
              <w:jc w:val="center"/>
            </w:pPr>
            <w:r>
              <w:t xml:space="preserve">4,9 milli</w:t>
            </w:r>
          </w:p>
        </w:tc>
        <w:tc>
          <w:tcPr/>
          <w:p>
            <w:pPr>
              <w:pStyle w:val="Compact"/>
              <w:jc w:val="center"/>
            </w:pPr>
            <w:r>
              <w:t xml:space="preserve">ons $ Estimations glissa</w:t>
            </w:r>
          </w:p>
        </w:tc>
        <w:tc>
          <w:tcPr/>
          <w:p>
            <w:pPr>
              <w:pStyle w:val="Compact"/>
              <w:jc w:val="right"/>
            </w:pPr>
            <w:r>
              <w:t xml:space="preserve">ntes sur 3 jours Direction et rythme du changement</w:t>
            </w:r>
          </w:p>
        </w:tc>
      </w:tr>
      <w:tr>
        <w:tc>
          <w:tcPr/>
          <w:p>
            <w:pPr>
              <w:pStyle w:val="Compact"/>
              <w:jc w:val="left"/>
            </w:pPr>
            <w:r>
              <w:t xml:space="preserve">Expériences de message et interviews</w:t>
            </w:r>
          </w:p>
        </w:tc>
        <w:tc>
          <w:tcPr/>
          <w:p>
            <w:pPr>
              <w:pStyle w:val="Compact"/>
              <w:jc w:val="center"/>
            </w:pPr>
            <w:r>
              <w:t xml:space="preserve">3,2 millions $</w:t>
            </w:r>
          </w:p>
        </w:tc>
        <w:tc>
          <w:tcPr/>
          <w:p>
            <w:pPr>
              <w:pStyle w:val="Compact"/>
              <w:jc w:val="center"/>
            </w:pPr>
            <w:r>
              <w:t xml:space="preserve">2-10 jours</w:t>
            </w:r>
          </w:p>
        </w:tc>
        <w:tc>
          <w:tcPr/>
          <w:p>
            <w:pPr>
              <w:pStyle w:val="Compact"/>
              <w:jc w:val="right"/>
            </w:pPr>
            <w:r>
              <w:t xml:space="preserve">Réponse aux thèmes et au langage</w:t>
            </w:r>
          </w:p>
        </w:tc>
      </w:tr>
      <w:tr>
        <w:tc>
          <w:tcPr/>
          <w:p>
            <w:pPr>
              <w:pStyle w:val="Compact"/>
              <w:jc w:val="left"/>
            </w:pPr>
            <w:r>
              <w:t xml:space="preserve">Mise à jour de la modélisation du fichier é</w:t>
            </w:r>
          </w:p>
        </w:tc>
        <w:tc>
          <w:tcPr/>
          <w:p>
            <w:pPr>
              <w:pStyle w:val="Compact"/>
              <w:jc w:val="center"/>
            </w:pPr>
            <w:r>
              <w:t xml:space="preserve">lectoral au nive</w:t>
            </w:r>
          </w:p>
        </w:tc>
        <w:tc>
          <w:tcPr/>
          <w:p>
            <w:pPr>
              <w:pStyle w:val="Compact"/>
              <w:jc w:val="center"/>
            </w:pPr>
            <w:r>
              <w:t xml:space="preserve">au des comtés 2,6 milli</w:t>
            </w:r>
          </w:p>
        </w:tc>
        <w:tc>
          <w:tcPr/>
          <w:p>
            <w:pPr>
              <w:pStyle w:val="Compact"/>
              <w:jc w:val="right"/>
            </w:pPr>
            <w:r>
              <w:t xml:space="preserve">ons $ 3 semaines Ciblage géographique et mobilisation</w:t>
            </w:r>
          </w:p>
        </w:tc>
      </w:tr>
      <w:tr>
        <w:tc>
          <w:tcPr/>
          <w:p>
            <w:pPr>
              <w:pStyle w:val="Compact"/>
              <w:jc w:val="left"/>
            </w:pPr>
            <w:r>
              <w:t xml:space="preserve">Sondage minimal de conformité et de référen</w:t>
            </w:r>
          </w:p>
        </w:tc>
        <w:tc>
          <w:tcPr/>
          <w:p>
            <w:pPr>
              <w:pStyle w:val="Compact"/>
              <w:jc w:val="center"/>
            </w:pPr>
            <w:r>
              <w:t xml:space="preserve">ce 1,1 million</w:t>
            </w:r>
          </w:p>
        </w:tc>
        <w:tc>
          <w:tcPr/>
          <w:p>
            <w:pPr>
              <w:pStyle w:val="Compact"/>
              <w:jc w:val="center"/>
            </w:pPr>
            <w:r>
              <w:t xml:space="preserve">$ Selon les besoins</w:t>
            </w:r>
          </w:p>
        </w:tc>
        <w:tc>
          <w:tcPr/>
          <w:p>
            <w:pPr>
              <w:pStyle w:val="Compact"/>
              <w:jc w:val="right"/>
            </w:pPr>
            <w:r>
              <w:t xml:space="preserve">Suivi de base de la campagne</w:t>
            </w:r>
          </w:p>
        </w:tc>
      </w:tr>
    </w:tbl>
    <w:bookmarkEnd w:id="18"/>
    <w:bookmarkEnd w:id="19"/>
    <w:bookmarkStart w:id="20" w:name="Xc4c031693d28e2e6f8a8a6c1b098f2077da0958"/>
    <w:p>
      <w:pPr>
        <w:pStyle w:val="Heading1"/>
      </w:pPr>
      <w:r>
        <w:t xml:space="preserve">Des Événements que la Campagne ne Pouvait Pas Planifier</w:t>
      </w:r>
    </w:p>
    <w:p>
      <w:pPr>
        <w:pStyle w:val="FirstParagraph"/>
      </w:pPr>
      <w:r>
        <w:t xml:space="preserve">Le plan devait fonctionner dans un environnement que la campagne ne contrôlait pas. Un rapport économique, une crise internationale, une catastrophe naturelle, une décision de justice, une erreur du candidat, une fuite, une préoccupation de santé, ou une publicité de l'adversaire pouvait rediriger l'attention en quelques heures. Les groupes extérieurs pouvaient dépenser sans coordination avec la campagne, renforçant le message de Meridian ou forçant la défense d'un État considéré comme sûr.</w:t>
      </w:r>
    </w:p>
    <w:p>
      <w:pPr>
        <w:pStyle w:val="BodyText"/>
      </w:pPr>
      <w:r>
        <w:t xml:space="preserve">La prévision financière était elle aussi incertaine. Les petits dons répondaient rapidement aux événements, mais la fatigue des donateurs avait augmenté. La collecte de fonds à gros montants dépendait d'un nombre limité d'événements. Les groupes extérieurs pouvaient remodeler l'environnement médiatique. Au cours du cycle 2023-2024, les comités politiques fédéraux ont collectivement manié des milliards de dollars ; la campagne de Meridian n'était qu'un acteur parmi tant d'autres dans un système beaucoup plus vaste.</w:t>
      </w:r>
    </w:p>
    <w:bookmarkEnd w:id="20"/>
    <w:bookmarkStart w:id="22" w:name="X34aec135cd68a156d3d5d59832c0a3bc7c04ed7"/>
    <w:p>
      <w:pPr>
        <w:pStyle w:val="Heading1"/>
      </w:pPr>
      <w:r>
        <w:t xml:space="preserve">Une Décision qui Était en Réalité une Séquence de Décisions</w:t>
      </w:r>
    </w:p>
    <w:p>
      <w:pPr>
        <w:pStyle w:val="FirstParagraph"/>
      </w:pPr>
      <w:r>
        <w:t xml:space="preserve">Le personnel de Chen a présenté quatre plans : se concentrer sur Northlake, Midland et Lakeland ; investir pleinement dans les sept États ; mettre l'accent sur l'organisation de terrain et le vote anticipé ; ou protéger une réserve importante pour le dernier mois. Chaque plan impliquait une vision différente de l'endroit où les votes pouvaient être modifiés et de l'importance que revêtiraient les événements futurs.</w:t>
      </w:r>
    </w:p>
    <w:p>
      <w:pPr>
        <w:pStyle w:val="BodyText"/>
      </w:pPr>
      <w:r>
        <w:t xml:space="preserve">À 7h40, Chen a appris qu'un groupe adverse avait réservé 18 millions de dollars de temps d'antenne télévisé à Northlake, que les dons du week-end étaient inférieurs de 22 pour cent aux prévisions, et que le candidat voulait un discours majeur à Sonora. Chaque demande semblait raisonnable prise isolément ; ensemble, elles dépassaient la capacité de la campagne.</w:t>
      </w:r>
    </w:p>
    <w:bookmarkStart w:id="21" w:name="X6eeb076fb43c33f86a0162fd853c921c34883a0"/>
    <w:p>
      <w:pPr>
        <w:pStyle w:val="Heading2"/>
      </w:pPr>
      <w:r>
        <w:t xml:space="preserve">Exhibit 6. Quatre Stratégies de Ressources</w:t>
      </w:r>
    </w:p>
    <w:tbl>
      <w:tblPr>
        <w:tblStyle w:val="Table"/>
        <w:tblW w:type="pct" w:w="4923"/>
        <w:tblLayout w:type="fixed"/>
        <w:tblLook w:firstRow="1" w:lastRow="0" w:firstColumn="0" w:lastColumn="0" w:noHBand="0" w:noVBand="0" w:val="0020"/>
      </w:tblPr>
      <w:tblGrid>
        <w:gridCol w:w="1340"/>
        <w:gridCol w:w="1401"/>
        <w:gridCol w:w="1705"/>
        <w:gridCol w:w="3350"/>
      </w:tblGrid>
      <w:tr>
        <w:trPr>
          <w:tblHeader w:val="on"/>
        </w:trPr>
        <w:tc>
          <w:tcPr/>
          <w:p>
            <w:pPr>
              <w:pStyle w:val="Compact"/>
              <w:jc w:val="left"/>
            </w:pPr>
            <w:r>
              <w:t xml:space="preserve">Stratégie</w:t>
            </w:r>
          </w:p>
        </w:tc>
        <w:tc>
          <w:tcPr/>
          <w:p>
            <w:pPr>
              <w:pStyle w:val="Compact"/>
              <w:jc w:val="center"/>
            </w:pPr>
            <w:r>
              <w:t xml:space="preserve">Engagement immédiat</w:t>
            </w:r>
          </w:p>
        </w:tc>
        <w:tc>
          <w:tcPr/>
          <w:p>
            <w:pPr>
              <w:pStyle w:val="Compact"/>
            </w:pPr>
            <w:r>
              <w:t xml:space="preserve">Liquidités conservées pour l</w:t>
            </w:r>
          </w:p>
        </w:tc>
        <w:tc>
          <w:tcPr/>
          <w:p>
            <w:pPr>
              <w:pStyle w:val="Compact"/>
              <w:jc w:val="left"/>
            </w:pPr>
            <w:r>
              <w:t xml:space="preserve">e dernier mois Prémisse centrale</w:t>
            </w:r>
          </w:p>
        </w:tc>
      </w:tr>
      <w:tr>
        <w:tc>
          <w:tcPr/>
          <w:p>
            <w:pPr>
              <w:pStyle w:val="Compact"/>
              <w:jc w:val="left"/>
            </w:pPr>
            <w:r>
              <w:t xml:space="preserve">Chemin le plus court</w:t>
            </w:r>
          </w:p>
        </w:tc>
        <w:tc>
          <w:tcPr/>
          <w:p>
            <w:pPr>
              <w:pStyle w:val="Compact"/>
              <w:jc w:val="center"/>
            </w:pPr>
            <w:r>
              <w:t xml:space="preserve">151 millions $</w:t>
            </w:r>
          </w:p>
        </w:tc>
        <w:tc>
          <w:tcPr/>
          <w:p>
            <w:pPr>
              <w:pStyle w:val="Compact"/>
            </w:pPr>
            <w:r>
              <w:t xml:space="preserve">39 millions $</w:t>
            </w:r>
          </w:p>
        </w:tc>
        <w:tc>
          <w:tcPr/>
          <w:p>
            <w:pPr>
              <w:pStyle w:val="Compact"/>
              <w:jc w:val="left"/>
            </w:pPr>
            <w:r>
              <w:t xml:space="preserve">Protéger la route la plus plausible vers 270</w:t>
            </w:r>
          </w:p>
        </w:tc>
      </w:tr>
      <w:tr>
        <w:tc>
          <w:tcPr/>
          <w:p>
            <w:pPr>
              <w:pStyle w:val="Compact"/>
              <w:jc w:val="left"/>
            </w:pPr>
            <w:r>
              <w:t xml:space="preserve">Contestation des sept</w:t>
            </w:r>
          </w:p>
        </w:tc>
        <w:tc>
          <w:tcPr/>
          <w:p>
            <w:pPr>
              <w:pStyle w:val="Compact"/>
              <w:jc w:val="center"/>
            </w:pPr>
            <w:r>
              <w:t xml:space="preserve">États 178 millions $</w:t>
            </w:r>
          </w:p>
        </w:tc>
        <w:tc>
          <w:tcPr/>
          <w:p>
            <w:pPr>
              <w:pStyle w:val="Compact"/>
            </w:pPr>
            <w:r>
              <w:t xml:space="preserve">12 millions $</w:t>
            </w:r>
          </w:p>
        </w:tc>
        <w:tc>
          <w:tcPr/>
          <w:p>
            <w:pPr>
              <w:pStyle w:val="Compact"/>
              <w:jc w:val="left"/>
            </w:pPr>
            <w:r>
              <w:t xml:space="preserve">Garder chaque État pivot pleinement compétitif</w:t>
            </w:r>
          </w:p>
        </w:tc>
      </w:tr>
      <w:tr>
        <w:tc>
          <w:tcPr/>
          <w:p>
            <w:pPr>
              <w:pStyle w:val="Compact"/>
              <w:jc w:val="left"/>
            </w:pPr>
            <w:r>
              <w:t xml:space="preserve">Organisation d'abord</w:t>
            </w:r>
          </w:p>
        </w:tc>
        <w:tc>
          <w:tcPr/>
          <w:p>
            <w:pPr>
              <w:pStyle w:val="Compact"/>
              <w:jc w:val="center"/>
            </w:pPr>
            <w:r>
              <w:t xml:space="preserve">159 millions</w:t>
            </w:r>
          </w:p>
        </w:tc>
        <w:tc>
          <w:tcPr/>
          <w:p>
            <w:pPr>
              <w:pStyle w:val="Compact"/>
            </w:pPr>
            <w:r>
              <w:t xml:space="preserve">$ 31 millions $</w:t>
            </w:r>
          </w:p>
        </w:tc>
        <w:tc>
          <w:tcPr/>
          <w:p>
            <w:pPr>
              <w:pStyle w:val="Compact"/>
              <w:jc w:val="left"/>
            </w:pPr>
            <w:r>
              <w:t xml:space="preserve">La capacité de terrain et le vote anticipé seront décisifs</w:t>
            </w:r>
          </w:p>
        </w:tc>
      </w:tr>
      <w:tr>
        <w:tc>
          <w:tcPr/>
          <w:p>
            <w:pPr>
              <w:pStyle w:val="Compact"/>
              <w:jc w:val="left"/>
            </w:pPr>
            <w:r>
              <w:t xml:space="preserve">Réserve adaptative</w:t>
            </w:r>
          </w:p>
        </w:tc>
        <w:tc>
          <w:tcPr/>
          <w:p>
            <w:pPr>
              <w:pStyle w:val="Compact"/>
              <w:jc w:val="center"/>
            </w:pPr>
            <w:r>
              <w:t xml:space="preserve">132 millions</w:t>
            </w:r>
          </w:p>
        </w:tc>
        <w:tc>
          <w:tcPr/>
          <w:p>
            <w:pPr>
              <w:pStyle w:val="Compact"/>
            </w:pPr>
            <w:r>
              <w:t xml:space="preserve">$ 58 millions $</w:t>
            </w:r>
          </w:p>
        </w:tc>
        <w:tc>
          <w:tcPr/>
          <w:p>
            <w:pPr>
              <w:pStyle w:val="Compact"/>
              <w:jc w:val="left"/>
            </w:pPr>
            <w:r>
              <w:t xml:space="preserve">Les événements futurs et l'information changeront les priorités</w:t>
            </w:r>
          </w:p>
        </w:tc>
      </w:tr>
    </w:tbl>
    <w:bookmarkEnd w:id="21"/>
    <w:bookmarkEnd w:id="22"/>
    <w:bookmarkStart w:id="23" w:name="questions-de-discussion"/>
    <w:p>
      <w:pPr>
        <w:pStyle w:val="Heading1"/>
      </w:pPr>
      <w:r>
        <w:t xml:space="preserve">Questions de Discussion</w:t>
      </w:r>
    </w:p>
    <w:p>
      <w:pPr>
        <w:numPr>
          <w:ilvl w:val="0"/>
          <w:numId w:val="1001"/>
        </w:numPr>
      </w:pPr>
      <w:r>
        <w:t xml:space="preserve">Quel est le problème central auquel Maya Chen fait face, et pourquoi est-il plus difficile que de sélectionner l'État dont le sondage est le plus serré ?</w:t>
      </w:r>
    </w:p>
    <w:p>
      <w:pPr>
        <w:numPr>
          <w:ilvl w:val="0"/>
          <w:numId w:val="1001"/>
        </w:numPr>
      </w:pPr>
      <w:r>
        <w:t xml:space="preserve">Comment la campagne devrait-elle évaluer des États qui diffèrent par leurs votes électoraux, leurs marges de sondage, leur participation, leurs coûts médiatiques et leur capacité organisationnelle ?</w:t>
      </w:r>
    </w:p>
    <w:p>
      <w:pPr>
        <w:numPr>
          <w:ilvl w:val="0"/>
          <w:numId w:val="1001"/>
        </w:numPr>
      </w:pPr>
      <w:r>
        <w:t xml:space="preserve">Combien d'argent devrait être engagé immédiatement, et combien devrait rester disponible pour le dernier mois ?</w:t>
      </w:r>
    </w:p>
    <w:p>
      <w:pPr>
        <w:numPr>
          <w:ilvl w:val="0"/>
          <w:numId w:val="1001"/>
        </w:numPr>
      </w:pPr>
      <w:r>
        <w:t xml:space="preserve">Comment les déplacements du candidat devraient-ils être répartis entre persuasion, mobilisation, collecte de fonds, médias nationaux et réponse rapide ?</w:t>
      </w:r>
    </w:p>
    <w:p>
      <w:pPr>
        <w:numPr>
          <w:ilvl w:val="0"/>
          <w:numId w:val="1001"/>
        </w:numPr>
      </w:pPr>
      <w:r>
        <w:t xml:space="preserve">Quels canaux publicitaires et de contact électoral méritent la priorité ? Quelles preuves justifieraient de déplacer l'argent entre eux ?</w:t>
      </w:r>
    </w:p>
    <w:p>
      <w:pPr>
        <w:numPr>
          <w:ilvl w:val="0"/>
          <w:numId w:val="1001"/>
        </w:numPr>
      </w:pPr>
      <w:r>
        <w:t xml:space="preserve">Quelle information la campagne devrait-elle recueillir au cours des trois prochaines semaines ? Quelles activités de sondage ou de recherche proposées semblent les plus précieuses ?</w:t>
      </w:r>
    </w:p>
    <w:p>
      <w:pPr>
        <w:numPr>
          <w:ilvl w:val="0"/>
          <w:numId w:val="1001"/>
        </w:numPr>
      </w:pPr>
      <w:r>
        <w:t xml:space="preserve">Comment la campagne devrait-elle distinguer un véritable changement dans les attitudes des électeurs du bruit de sondage ou d'un changement dans les hypothèses de participation ?</w:t>
      </w:r>
    </w:p>
    <w:p>
      <w:pPr>
        <w:numPr>
          <w:ilvl w:val="0"/>
          <w:numId w:val="1001"/>
        </w:numPr>
      </w:pPr>
      <w:r>
        <w:t xml:space="preserve">La campagne devrait-elle se concentrer sur un chemin étroit vers 270 ou maintenir des opérations crédibles dans les sept États contestés ?</w:t>
      </w:r>
    </w:p>
    <w:p>
      <w:pPr>
        <w:numPr>
          <w:ilvl w:val="0"/>
          <w:numId w:val="1001"/>
        </w:numPr>
      </w:pPr>
      <w:r>
        <w:t xml:space="preserve">Quels indicateurs devraient déclencher l'expansion, la réduction ou la fermeture d'une opération d'État ?</w:t>
      </w:r>
    </w:p>
    <w:p>
      <w:pPr>
        <w:numPr>
          <w:ilvl w:val="0"/>
          <w:numId w:val="1001"/>
        </w:numPr>
      </w:pPr>
      <w:r>
        <w:t xml:space="preserve">Comment la campagne devrait-elle se préparer à des événements d'actualité majeurs, aux dépenses de l'adversaire, aux préoccupations de santé du candidat, à la désinformation, ou aux perturbations de l'administration électorale ?</w:t>
      </w:r>
    </w:p>
    <w:bookmarkEnd w:id="23"/>
    <w:bookmarkStart w:id="29" w:name="questions-de-cadrage-de-la-décision"/>
    <w:p>
      <w:pPr>
        <w:pStyle w:val="Heading1"/>
      </w:pPr>
      <w:r>
        <w:t xml:space="preserve">Questions de Cadrage de la Décision</w:t>
      </w:r>
    </w:p>
    <w:p>
      <w:pPr>
        <w:numPr>
          <w:ilvl w:val="0"/>
          <w:numId w:val="1002"/>
        </w:numPr>
      </w:pPr>
      <w:r>
        <w:t xml:space="preserve">Identifiez et décrivez les responsabilités du décideur. Cela devrait déterminer la portée du problème.</w:t>
      </w:r>
    </w:p>
    <w:p>
      <w:pPr>
        <w:numPr>
          <w:ilvl w:val="0"/>
          <w:numId w:val="1002"/>
        </w:numPr>
      </w:pPr>
      <w:r>
        <w:t xml:space="preserve">Utilisez l'</w:t>
      </w:r>
      <w:hyperlink r:id="rId24">
        <w:r>
          <w:rPr>
            <w:rStyle w:val="Hyperlink"/>
          </w:rPr>
          <w:t xml:space="preserve">outil de pyramide des métriques</w:t>
        </w:r>
      </w:hyperlink>
      <w:r>
        <w:t xml:space="preserve"> </w:t>
      </w:r>
      <w:r>
        <w:t xml:space="preserve">pour identifier et prioriser les différentes métriques de performance. Cliquez sur l'ovale contenant la métrique pour indiquer s'il s'agit d'une métrique à maximiser (vert), à minimiser (rouge), d'une cible constituant un plancher (vert clair) ou un plafond (rouge clair), ou enfin d'une cible (violet).</w:t>
      </w:r>
    </w:p>
    <w:p>
      <w:pPr>
        <w:numPr>
          <w:ilvl w:val="0"/>
          <w:numId w:val="1002"/>
        </w:numPr>
      </w:pPr>
      <w:r>
        <w:t xml:space="preserve">Utilisez l'</w:t>
      </w:r>
      <w:hyperlink r:id="rId25">
        <w:r>
          <w:rPr>
            <w:rStyle w:val="Hyperlink"/>
          </w:rPr>
          <w:t xml:space="preserve">outil de priorisation des décisions</w:t>
        </w:r>
      </w:hyperlink>
      <w:r>
        <w:t xml:space="preserve"> </w:t>
      </w:r>
      <w:r>
        <w:t xml:space="preserve">pour d'abord lister les différents types de décisions (utilisez les</w:t>
      </w:r>
      <w:r>
        <w:t xml:space="preserve"> </w:t>
      </w:r>
      <w:hyperlink r:id="rId26">
        <w:r>
          <w:rPr>
            <w:rStyle w:val="Hyperlink"/>
          </w:rPr>
          <w:t xml:space="preserve">types de décisions</w:t>
        </w:r>
      </w:hyperlink>
      <w:r>
        <w:t xml:space="preserve"> </w:t>
      </w:r>
      <w:r>
        <w:t xml:space="preserve">comme guide). Celles-ci peupleront ensuite les lignes de la matrice à droite, où les colonnes sont les métriques de performance triées de gauche à droite selon la priorité dans la pyramide ci-dessus. Cliquez sur chaque cellule pour indiquer si l'impact de la décision sur chaque métrique est élevé (rouge), moyen (orange), faible (jaune) ou nul (blanc).</w:t>
      </w:r>
    </w:p>
    <w:p>
      <w:pPr>
        <w:numPr>
          <w:ilvl w:val="0"/>
          <w:numId w:val="1002"/>
        </w:numPr>
      </w:pPr>
      <w:r>
        <w:t xml:space="preserve">Vous pouvez saisir la poignée (trois barres) la plus à gauche sur chaque ligne pour la déplacer vers le haut ou le bas. Triez les lignes de sorte que les décisions ayant le plus grand impact sur les métriques les plus importantes soient en haut. Les cellules du coin supérieur gauche devraient avoir la plus grande concentration de cellules rouges et orange. À ce stade, identifiez les décisions qui devraient recevoir le plus d'attention dans votre étude. Si vous n'avez aucune décision ayant un impact moyen ou élevé sur les métriques les plus importantes, révisez votre liste de décisions.</w:t>
      </w:r>
    </w:p>
    <w:p>
      <w:pPr>
        <w:numPr>
          <w:ilvl w:val="0"/>
          <w:numId w:val="1002"/>
        </w:numPr>
      </w:pPr>
      <w:r>
        <w:t xml:space="preserve">Répétez le processus pour lister et prioriser les incertitudes en utilisant l'</w:t>
      </w:r>
      <w:hyperlink r:id="rId27">
        <w:r>
          <w:rPr>
            <w:rStyle w:val="Hyperlink"/>
          </w:rPr>
          <w:t xml:space="preserve">outil de priorisation des incertitudes</w:t>
        </w:r>
      </w:hyperlink>
      <w:r>
        <w:t xml:space="preserve">. Utilisez les</w:t>
      </w:r>
      <w:r>
        <w:t xml:space="preserve"> </w:t>
      </w:r>
      <w:hyperlink r:id="rId28">
        <w:r>
          <w:rPr>
            <w:rStyle w:val="Hyperlink"/>
          </w:rPr>
          <w:t xml:space="preserve">catégories d'incertitude</w:t>
        </w:r>
      </w:hyperlink>
      <w:r>
        <w:t xml:space="preserve"> </w:t>
      </w:r>
      <w:r>
        <w:t xml:space="preserve">pour vous aider à les identifier.</w:t>
      </w:r>
    </w:p>
    <w:p>
      <w:pPr>
        <w:numPr>
          <w:ilvl w:val="0"/>
          <w:numId w:val="1002"/>
        </w:numPr>
      </w:pPr>
      <w:r>
        <w:t xml:space="preserve">Il est important de différencier les incertitudes qui peuvent être évaluées en moyenne, ou comme des événements de risque :</w:t>
      </w:r>
    </w:p>
    <w:p>
      <w:pPr>
        <w:numPr>
          <w:ilvl w:val="1"/>
          <w:numId w:val="1003"/>
        </w:numPr>
      </w:pPr>
      <w:r>
        <w:t xml:space="preserve">Quelles sources d'incertitude seraient captées en utilisant la performance moyenne dans le temps ?</w:t>
      </w:r>
    </w:p>
    <w:p>
      <w:pPr>
        <w:numPr>
          <w:ilvl w:val="1"/>
          <w:numId w:val="1003"/>
        </w:numPr>
      </w:pPr>
      <w:r>
        <w:t xml:space="preserve">Quelles sources d'incertitude représentent des formes de risque qui ne sont pas correctement captées en utilisant des moyennes ?</w:t>
      </w:r>
    </w:p>
    <w:p>
      <w:pPr>
        <w:numPr>
          <w:ilvl w:val="0"/>
          <w:numId w:val="1002"/>
        </w:numPr>
      </w:pPr>
      <w:r>
        <w:t xml:space="preserve">Choisissez la décision unique qui semble avoir l'impact le plus élevé sur la métrique la plus importante.</w:t>
      </w:r>
    </w:p>
    <w:p>
      <w:pPr>
        <w:numPr>
          <w:ilvl w:val="1"/>
          <w:numId w:val="1004"/>
        </w:numPr>
      </w:pPr>
      <w:r>
        <w:t xml:space="preserve">Quelle approche pensez-vous utiliser pour prendre cette décision ?</w:t>
      </w:r>
    </w:p>
    <w:p>
      <w:pPr>
        <w:numPr>
          <w:ilvl w:val="1"/>
          <w:numId w:val="1004"/>
        </w:numPr>
      </w:pPr>
      <w:r>
        <w:t xml:space="preserve">Quelles données semblent nécessaires pour prendre cette décision, y compris le calcul de toute métrique de performance sur laquelle la décision aurait un impact élevé ou moyen.</w:t>
      </w:r>
    </w:p>
    <w:p>
      <w:pPr>
        <w:numPr>
          <w:ilvl w:val="0"/>
          <w:numId w:val="1002"/>
        </w:numPr>
      </w:pPr>
      <w:r>
        <w:t xml:space="preserve">En utilisant la même décision que vous avez identifiée en (7), identifiez les personnes, départements, groupes ou organisations avec lesquels vous devriez travailler pour mettre en œuvre la décision.</w:t>
      </w:r>
    </w:p>
    <w:bookmarkEnd w:id="29"/>
    <w:bookmarkStart w:id="30" w:name="note-source"/>
    <w:p>
      <w:pPr>
        <w:pStyle w:val="Heading1"/>
      </w:pPr>
      <w:r>
        <w:t xml:space="preserve">Note Source</w:t>
      </w:r>
    </w:p>
    <w:p>
      <w:pPr>
        <w:pStyle w:val="FirstParagraph"/>
      </w:pPr>
      <w:r>
        <w:t xml:space="preserve">La campagne, les candidats, les partis, le personnel, les estimations de sondages, les prévisions financières et les exhibits sont fictifs. Le fondement conceptuel est la section « Running a presidential election » de Warren B. Powell, Bridging Decision Problems, Volume I, Chapitre 2. Cette section décrit la campagne présidentielle comme un problème opérationnel contraint par le budget impliquant le déploiement du candidat et du personnel, la collecte d'information, la diffusion de messages, la publicité, les bureaux de terrain, les sondages, les dons, les dépenses, l'évolution de la favorabilité, le biais des sondages, les événements d'actualité, les attaques de l'adversaire, les dépenses extérieures et la santé du candidat.</w:t>
      </w:r>
    </w:p>
    <w:p>
      <w:pPr>
        <w:pStyle w:val="BodyText"/>
      </w:pPr>
      <w:r>
        <w:t xml:space="preserve">Contexte public : Le Bureau du recensement des États-Unis a rapporté que 174 millions de citoyens en âge de voter étaient inscrits et que 154 millions ont voté lors de l'élection présidentielle de 2024, pour un taux de participation de 65,3 pour cent ; 39,6 pour cent ont voté en personne le jour de l'élection, 30,7 pour cent ont voté tôt en personne, et 29,0 pour cent ont voté par correspondance. La Commission électorale fédérale a rapporté un résultat officiel de 2024 de 312 contre 226 votes électoraux et 155 238 302 votes totaux exprimés pour les candidats présidentiels. Les résumés de la FEC montrent aussi que les candidats fédéraux, les partis et les comités politiques ont manié plusieurs milliards de dollars durant le cycle 2023-2024. Sources : U.S. Census Bureau, « 2024 Presidential Election Voting and Registration Tables Now Available » (30 avril 2025) ; Federal Election Commission, « Official 2024 Presidential General Election Results » ; et FEC, « Statistical Summary of 24-Month Campaign Activity of the 2023-2024 Election Cycle » (23 avril 2025).</w:t>
      </w:r>
    </w:p>
    <w:bookmarkEnd w:id="30"/>
    <w:bookmarkStart w:id="33" w:name="notes-chatgpt"/>
    <w:p>
      <w:pPr>
        <w:pStyle w:val="Heading1"/>
      </w:pPr>
      <w:r>
        <w:t xml:space="preserve">Notes ChatGPT</w:t>
      </w:r>
    </w:p>
    <w:bookmarkStart w:id="31" w:name="invite"/>
    <w:p>
      <w:pPr>
        <w:pStyle w:val="Heading2"/>
      </w:pPr>
      <w:r>
        <w:t xml:space="preserve">Invite</w:t>
      </w:r>
    </w:p>
    <w:p>
      <w:pPr>
        <w:pStyle w:val="FirstParagraph"/>
      </w:pPr>
      <w:r>
        <w:t xml:space="preserve">Rédigez une étude de cas de 4 à 6 pages basée sur le matériel de la section à https://warrenpowell.org/bridging-vol1/chapter-2/#presidentialelection. Créez un contexte basé sur les métriques, décisions et incertitudes de la section, mais sans attirer explicitement l'attention sur elles. Motivez votre problème de cas avec des données.</w:t>
      </w:r>
    </w:p>
    <w:bookmarkEnd w:id="31"/>
    <w:bookmarkStart w:id="32" w:name="résumé"/>
    <w:p>
      <w:pPr>
        <w:pStyle w:val="Heading2"/>
      </w:pPr>
      <w:r>
        <w:t xml:space="preserve">Résumé</w:t>
      </w:r>
    </w:p>
    <w:p>
      <w:pPr>
        <w:pStyle w:val="FirstParagraph"/>
      </w:pPr>
      <w:r>
        <w:t xml:space="preserve">Le cas place une campagne présidentielle fictive onze semaines avant le jour de l'élection, avec 93 votes électoraux répartis entre sept États contestés. Il explore les demandes concurrentes concernant les déplacements du candidat, la publicité, les bureaux de terrain, les sondages, la collecte de fonds, la mobilisation des électeurs et les réserves financières sans identifier de stratégie préférée.</w:t>
      </w:r>
    </w:p>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5" Target="https://warrenpowell.org/decision-framing-tool/#decision-prioritization-tool" TargetMode="External" /><Relationship Type="http://schemas.openxmlformats.org/officeDocument/2006/relationships/hyperlink" Id="rId24" Target="https://warrenpowell.org/decision-framing-tool/#metrics-pyramid-tool" TargetMode="External" /><Relationship Type="http://schemas.openxmlformats.org/officeDocument/2006/relationships/hyperlink" Id="rId27" Target="https://warrenpowell.org/decision-framing-tool/#uncertainty-prioritization-tool" TargetMode="External" /><Relationship Type="http://schemas.openxmlformats.org/officeDocument/2006/relationships/hyperlink" Id="rId26" Target="https://warrenpowell.org/decisionsdecisions/#types-of-decision-settings" TargetMode="External" /><Relationship Type="http://schemas.openxmlformats.org/officeDocument/2006/relationships/hyperlink" Id="rId28" Target="https://warrenpowell.org/modeling-uncertainty/#categories" TargetMode="External" /></Relationships>
</file>

<file path=word/_rels/footnotes.xml.rels><?xml version="1.0" encoding="UTF-8"?><Relationships xmlns="http://schemas.openxmlformats.org/package/2006/relationships"><Relationship Type="http://schemas.openxmlformats.org/officeDocument/2006/relationships/hyperlink" Id="rId25" Target="https://warrenpowell.org/decision-framing-tool/#decision-prioritization-tool" TargetMode="External" /><Relationship Type="http://schemas.openxmlformats.org/officeDocument/2006/relationships/hyperlink" Id="rId24" Target="https://warrenpowell.org/decision-framing-tool/#metrics-pyramid-tool" TargetMode="External" /><Relationship Type="http://schemas.openxmlformats.org/officeDocument/2006/relationships/hyperlink" Id="rId27" Target="https://warrenpowell.org/decision-framing-tool/#uncertainty-prioritization-tool" TargetMode="External" /><Relationship Type="http://schemas.openxmlformats.org/officeDocument/2006/relationships/hyperlink" Id="rId26" Target="https://warrenpowell.org/decisionsdecisions/#types-of-decision-settings" TargetMode="External" /><Relationship Type="http://schemas.openxmlformats.org/officeDocument/2006/relationships/hyperlink" Id="rId28" Target="https://warrenpowell.org/modeling-uncertainty/#categori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2026-09-11T15:48:38Z</dcterms:created>
  <dcterms:modified xsi:type="dcterms:W3CDTF">2026-09-11T15:48:38Z</dcterms:modified>
</cp:coreProperties>
</file>

<file path=docProps/custom.xml><?xml version="1.0" encoding="utf-8"?>
<Properties xmlns="http://schemas.openxmlformats.org/officeDocument/2006/custom-properties" xmlns:vt="http://schemas.openxmlformats.org/officeDocument/2006/docPropsVTypes"/>
</file>