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NORTHBRIDGE INDUSTRIAL SYSTEMS</w:t>
      </w:r>
    </w:p>
    <w:p>
      <w:pPr>
        <w:pStyle w:val="BodyText"/>
      </w:pPr>
      <w:r>
        <w:t xml:space="preserve">La décision de paiement à quatre-vingt-dix jours</w:t>
      </w:r>
    </w:p>
    <w:p>
      <w:pPr>
        <w:pStyle w:val="BodyText"/>
      </w:pPr>
      <w:r>
        <w:t xml:space="preserve">Une étude de cas de finance de la chaîne d’approvisionnement sur la protection de la liquidité sans déstabiliser les fournisseurs critiques</w:t>
      </w:r>
    </w:p>
    <w:p>
      <w:pPr>
        <w:pStyle w:val="BodyText"/>
      </w:pPr>
      <w:r>
        <w:t xml:space="preserve">Cette étude de cas est fictive et destinée à la discussion pédagogique. Les noms, événements, organisations et données opérationnelles sont inventés, bien que le contexte sectoriel s’appuie sur des sources publiques.</w:t>
      </w:r>
    </w:p>
    <w:tbl>
      <w:tblPr>
        <w:tblStyle w:val="Table"/>
        <w:tblW w:type="auto" w:w="0"/>
        <w:tblLook w:firstRow="0" w:lastRow="0" w:firstColumn="0" w:lastColumn="0" w:noHBand="0" w:noVBand="0" w:val="0000"/>
      </w:tblPr>
      <w:tblGrid>
        <w:gridCol w:w="7920"/>
      </w:tblGrid>
      <w:tr>
        <w:tc>
          <w:tcPr/>
          <w:p>
            <w:pPr>
              <w:pStyle w:val="Compact"/>
            </w:pPr>
            <w:r>
              <w:t xml:space="preserve">Northbridge dispose de suffisamment de trésorerie pour honorer ses propres obligations à court terme, mais pas assez pour absorber les achats de stocks liés aux tarifs douaniers, préserver sa notation de crédit et accélérer le paiement de chaque fournisseur qui se dit en difficulté. Un programme proposé de financement des fournisseurs pourrait aider, mais il prolongerait également les délais de paiement de Northbridge et créerait de nouvelles dépendances envers les banques, les assureurs et les données de transaction.</w:t>
            </w:r>
          </w:p>
        </w:tc>
      </w:tr>
    </w:tbl>
    <w:p>
      <w:r>
        <w:pict>
          <v:rect style="width:0;height:1.5pt" o:hralign="center" o:hrstd="t" o:hr="t"/>
        </w:pict>
      </w:r>
    </w:p>
    <w:bookmarkStart w:id="10" w:name="X18fa4d41f07ebc7b7f38b7b73d00f4e5c78be18"/>
    <w:p>
      <w:pPr>
        <w:pStyle w:val="Heading1"/>
      </w:pPr>
      <w:r>
        <w:t xml:space="preserve">Un carnet de commandes solide, un cycle de trésorerie qui se resserre</w:t>
      </w:r>
    </w:p>
    <w:p>
      <w:pPr>
        <w:pStyle w:val="FirstParagraph"/>
      </w:pPr>
      <w:r>
        <w:t xml:space="preserve">À 7 h 10, un mardi matin de septembre 2026, Maya Chen, directrice financière de Northbridge Industrial Systems, ouvrit un courriel du propriétaire d’AlloyWorks Precision, un fournisseur d’usinage familial situé dans l’Ohio. AlloyWorks fabriquait un boîtier de vanne petit mais essentiel, utilisé dans les systèmes de refroidissement industriels de Northbridge. Le message du fournisseur était bref : à moins que Northbridge ne réduise le délai de paiement de 75 jours à 30 jours, AlloyWorks devrait réduire sa production ou chercher un acheteur.</w:t>
      </w:r>
    </w:p>
    <w:p>
      <w:pPr>
        <w:pStyle w:val="BodyText"/>
      </w:pPr>
      <w:r>
        <w:t xml:space="preserve">Northbridge fabriquait des pompes, des systèmes de contrôle et des ensembles de gestion thermique pour les centres de données, les transformateurs alimentaires, les hôpitaux et les usines de fabrication avancée. Le chiffre d’affaires annuel avait atteint 2,8 milliards de dollars, et son carnet de commandes était le plus élevé de l’histoire de l’entreprise. Pourtant, la conversion de trésorerie s’était détériorée. Les clients demandaient des délais de paiement plus longs, les stocks avaient augmenté pour se prémunir contre les perturbations d’expédition, et de nouveaux tarifs douaniers avaient fait grimper le coût des moteurs importés, des contrôles électroniques et des métaux spéciaux. L’entreprise était restée rentable, mais la trésorerie était absorbée plus rapidement que ne le suggéraient les bénéfices.</w:t>
      </w:r>
    </w:p>
    <w:p>
      <w:pPr>
        <w:pStyle w:val="BodyText"/>
      </w:pPr>
      <w:r>
        <w:t xml:space="preserve">Le problème dépassait un seul fournisseur. Les achats avaient identifié 47 fournisseurs comme étant à la fois critiques sur le plan opérationnel et vulnérables sur le plan financier. Ensemble, ils ne représentaient que 18 % des achats annuels, mais ils fournissaient des pièces pour 63 % des produits finis de Northbridge. Plusieurs n’avaient pas accès à un crédit bancaire peu coûteux. D’autres utilisaient des lignes de crédit renouvelables à taux variable, des garanties personnelles ou des prêteurs en ligne. Lorsque Northbridge avait prolongé ses conditions standard de 60 à 75 jours l’année précédente, de nombreux fournisseurs avaient accepté ce changement sans protester. Aujourd’hui, les responsables des achats signalaient des retards dans les achats d’outillage, une réduction des heures supplémentaires et des demandes d’augmentation de prix.</w:t>
      </w:r>
    </w:p>
    <w:p>
      <w:pPr>
        <w:pStyle w:val="BodyText"/>
      </w:pPr>
      <w:r>
        <w:t xml:space="preserve">Le marché dans son ensemble n’offrait guère de réconfort. L’enquête 2026 des banques de la Réserve fédérale auprès des petites entreprises a révélé que 60 % des entreprises avaient demandé un financement au cours de l’année précédente, souvent pour couvrir des dépenses d’exploitation, et que seulement 42 % des demandeurs avaient reçu le montant total sollicité. Les entreprises manufacturières figuraient également parmi celles les plus susceptibles de signaler des pressions de coûts liées aux tarifs douaniers. Parallèlement, le financement de la chaîne d’approvisionnement se développait rapidement : une étude de 2025 du Secured Finance Network estimait qu’environ 12 % des créances commerciales américaines étaient financées par de tels dispositifs, représentant environ 2 560 milliards de dollars d’activité annuelle.</w:t>
      </w:r>
    </w:p>
    <w:bookmarkStart w:id="9" w:name="Xf7a5f78212aa18deb25040685fa4e4888a88348"/>
    <w:p>
      <w:pPr>
        <w:pStyle w:val="Heading2"/>
      </w:pPr>
      <w:r>
        <w:t xml:space="preserve">Exhibit 1. Position de fonds de roulement de Northbridge</w:t>
      </w:r>
    </w:p>
    <w:tbl>
      <w:tblPr>
        <w:tblStyle w:val="Table"/>
        <w:tblW w:type="pct" w:w="4878"/>
        <w:tblLayout w:type="fixed"/>
        <w:tblLook w:firstRow="1" w:lastRow="0" w:firstColumn="0" w:lastColumn="0" w:noHBand="0" w:noVBand="0" w:val="0020"/>
      </w:tblPr>
      <w:tblGrid>
        <w:gridCol w:w="2994"/>
        <w:gridCol w:w="1448"/>
        <w:gridCol w:w="1448"/>
        <w:gridCol w:w="1835"/>
      </w:tblGrid>
      <w:tr>
        <w:trPr>
          <w:tblHeader w:val="on"/>
        </w:trPr>
        <w:tc>
          <w:tcPr/>
          <w:p>
            <w:pPr>
              <w:pStyle w:val="Compact"/>
            </w:pPr>
            <w:r>
              <w:t xml:space="preserve">Mesure E</w:t>
            </w:r>
          </w:p>
        </w:tc>
        <w:tc>
          <w:tcPr/>
          <w:p>
            <w:pPr>
              <w:pStyle w:val="Compact"/>
            </w:pPr>
            <w:r>
              <w:t xml:space="preserve">xercice 2024 E</w:t>
            </w:r>
          </w:p>
        </w:tc>
        <w:tc>
          <w:tcPr/>
          <w:p>
            <w:pPr>
              <w:pStyle w:val="Compact"/>
            </w:pPr>
            <w:r>
              <w:t xml:space="preserve">xercice 2025 P</w:t>
            </w:r>
          </w:p>
        </w:tc>
        <w:tc>
          <w:tcPr/>
          <w:p>
            <w:pPr>
              <w:pStyle w:val="Compact"/>
              <w:jc w:val="left"/>
            </w:pPr>
            <w:r>
              <w:t xml:space="preserve">révision actuelle</w:t>
            </w:r>
          </w:p>
        </w:tc>
      </w:tr>
      <w:tr>
        <w:tc>
          <w:tcPr/>
          <w:p>
            <w:pPr>
              <w:pStyle w:val="Compact"/>
            </w:pPr>
            <w:r>
              <w:t xml:space="preserve">Chiffre d’affaires 2</w:t>
            </w:r>
          </w:p>
        </w:tc>
        <w:tc>
          <w:tcPr/>
          <w:p>
            <w:pPr>
              <w:pStyle w:val="Compact"/>
            </w:pPr>
            <w:r>
              <w:t xml:space="preserve">,42 Md$ 2</w:t>
            </w:r>
          </w:p>
        </w:tc>
        <w:tc>
          <w:tcPr/>
          <w:p>
            <w:pPr>
              <w:pStyle w:val="Compact"/>
            </w:pPr>
            <w:r>
              <w:t xml:space="preserve">,61 Md$ 2</w:t>
            </w:r>
          </w:p>
        </w:tc>
        <w:tc>
          <w:tcPr/>
          <w:p>
            <w:pPr>
              <w:pStyle w:val="Compact"/>
              <w:jc w:val="left"/>
            </w:pPr>
            <w:r>
              <w:t xml:space="preserve">,80 Md$</w:t>
            </w:r>
          </w:p>
        </w:tc>
      </w:tr>
      <w:tr>
        <w:tc>
          <w:tcPr/>
          <w:p>
            <w:pPr>
              <w:pStyle w:val="Compact"/>
            </w:pPr>
            <w:r>
              <w:t xml:space="preserve">Marge d’EBITDA 1</w:t>
            </w:r>
          </w:p>
        </w:tc>
        <w:tc>
          <w:tcPr/>
          <w:p>
            <w:pPr>
              <w:pStyle w:val="Compact"/>
            </w:pPr>
            <w:r>
              <w:t xml:space="preserve">3,8 % 1</w:t>
            </w:r>
          </w:p>
        </w:tc>
        <w:tc>
          <w:tcPr/>
          <w:p>
            <w:pPr>
              <w:pStyle w:val="Compact"/>
            </w:pPr>
            <w:r>
              <w:t xml:space="preserve">3,2 % 1</w:t>
            </w:r>
          </w:p>
        </w:tc>
        <w:tc>
          <w:tcPr/>
          <w:p>
            <w:pPr>
              <w:pStyle w:val="Compact"/>
              <w:jc w:val="left"/>
            </w:pPr>
            <w:r>
              <w:t xml:space="preserve">2,6 %</w:t>
            </w:r>
          </w:p>
        </w:tc>
      </w:tr>
      <w:tr>
        <w:tc>
          <w:tcPr/>
          <w:p>
            <w:pPr>
              <w:pStyle w:val="Compact"/>
            </w:pPr>
            <w:r>
              <w:t xml:space="preserve">Délai moyen de recouvrement</w:t>
            </w:r>
            <w:r>
              <w:t xml:space="preserve"> </w:t>
            </w:r>
            <w:r>
              <w:t xml:space="preserve">clients (jours)</w:t>
            </w:r>
          </w:p>
        </w:tc>
        <w:tc>
          <w:tcPr/>
          <w:p>
            <w:pPr>
              <w:pStyle w:val="Compact"/>
            </w:pPr>
            <w:r>
              <w:t xml:space="preserve">51</w:t>
            </w:r>
          </w:p>
        </w:tc>
        <w:tc>
          <w:tcPr/>
          <w:p>
            <w:pPr>
              <w:pStyle w:val="Compact"/>
            </w:pPr>
            <w:r>
              <w:t xml:space="preserve">57</w:t>
            </w:r>
          </w:p>
        </w:tc>
        <w:tc>
          <w:tcPr/>
          <w:p>
            <w:pPr>
              <w:pStyle w:val="Compact"/>
              <w:jc w:val="left"/>
            </w:pPr>
            <w:r>
              <w:t xml:space="preserve">64</w:t>
            </w:r>
          </w:p>
        </w:tc>
      </w:tr>
      <w:tr>
        <w:tc>
          <w:tcPr/>
          <w:p>
            <w:pPr>
              <w:pStyle w:val="Compact"/>
            </w:pPr>
            <w:r>
              <w:t xml:space="preserve">Délai moyen de rotation des</w:t>
            </w:r>
            <w:r>
              <w:t xml:space="preserve"> </w:t>
            </w:r>
            <w:r>
              <w:t xml:space="preserve">stocks (jours)</w:t>
            </w:r>
          </w:p>
        </w:tc>
        <w:tc>
          <w:tcPr/>
          <w:p>
            <w:pPr>
              <w:pStyle w:val="Compact"/>
            </w:pPr>
            <w:r>
              <w:t xml:space="preserve">72</w:t>
            </w:r>
          </w:p>
        </w:tc>
        <w:tc>
          <w:tcPr/>
          <w:p>
            <w:pPr>
              <w:pStyle w:val="Compact"/>
            </w:pPr>
            <w:r>
              <w:t xml:space="preserve">84</w:t>
            </w:r>
          </w:p>
        </w:tc>
        <w:tc>
          <w:tcPr/>
          <w:p>
            <w:pPr>
              <w:pStyle w:val="Compact"/>
              <w:jc w:val="left"/>
            </w:pPr>
            <w:r>
              <w:t xml:space="preserve">96</w:t>
            </w:r>
          </w:p>
        </w:tc>
      </w:tr>
      <w:tr>
        <w:tc>
          <w:tcPr/>
          <w:p>
            <w:pPr>
              <w:pStyle w:val="Compact"/>
            </w:pPr>
            <w:r>
              <w:t xml:space="preserve">Délai moyen de paiement des</w:t>
            </w:r>
            <w:r>
              <w:t xml:space="preserve"> </w:t>
            </w:r>
            <w:r>
              <w:t xml:space="preserve">fournisseurs (jours)</w:t>
            </w:r>
          </w:p>
        </w:tc>
        <w:tc>
          <w:tcPr/>
          <w:p>
            <w:pPr>
              <w:pStyle w:val="Compact"/>
            </w:pPr>
            <w:r>
              <w:t xml:space="preserve">58</w:t>
            </w:r>
          </w:p>
        </w:tc>
        <w:tc>
          <w:tcPr/>
          <w:p>
            <w:pPr>
              <w:pStyle w:val="Compact"/>
            </w:pPr>
            <w:r>
              <w:t xml:space="preserve">69</w:t>
            </w:r>
          </w:p>
        </w:tc>
        <w:tc>
          <w:tcPr/>
          <w:p>
            <w:pPr>
              <w:pStyle w:val="Compact"/>
              <w:jc w:val="left"/>
            </w:pPr>
            <w:r>
              <w:t xml:space="preserve">75</w:t>
            </w:r>
          </w:p>
        </w:tc>
      </w:tr>
      <w:tr>
        <w:tc>
          <w:tcPr/>
          <w:p>
            <w:pPr>
              <w:pStyle w:val="Compact"/>
            </w:pPr>
            <w:r>
              <w:t xml:space="preserve">Flux de trésorerie disponible</w:t>
            </w:r>
          </w:p>
        </w:tc>
        <w:tc>
          <w:tcPr/>
          <w:p>
            <w:pPr>
              <w:pStyle w:val="Compact"/>
            </w:pPr>
            <w:r>
              <w:t xml:space="preserve">146 M$</w:t>
            </w:r>
          </w:p>
        </w:tc>
        <w:tc>
          <w:tcPr/>
          <w:p>
            <w:pPr>
              <w:pStyle w:val="Compact"/>
            </w:pPr>
            <w:r>
              <w:t xml:space="preserve">82 M$</w:t>
            </w:r>
          </w:p>
        </w:tc>
        <w:tc>
          <w:tcPr/>
          <w:p>
            <w:pPr>
              <w:pStyle w:val="Compact"/>
              <w:jc w:val="left"/>
            </w:pPr>
            <w:r>
              <w:t xml:space="preserve">31 M$</w:t>
            </w:r>
          </w:p>
        </w:tc>
      </w:tr>
      <w:tr>
        <w:tc>
          <w:tcPr/>
          <w:p>
            <w:pPr>
              <w:pStyle w:val="Compact"/>
            </w:pPr>
            <w:r>
              <w:t xml:space="preserve">Trésorerie et équivalents</w:t>
            </w:r>
          </w:p>
        </w:tc>
        <w:tc>
          <w:tcPr/>
          <w:p>
            <w:pPr>
              <w:pStyle w:val="Compact"/>
            </w:pPr>
            <w:r>
              <w:t xml:space="preserve">238 M$</w:t>
            </w:r>
          </w:p>
        </w:tc>
        <w:tc>
          <w:tcPr/>
          <w:p>
            <w:pPr>
              <w:pStyle w:val="Compact"/>
            </w:pPr>
            <w:r>
              <w:t xml:space="preserve">201 M$</w:t>
            </w:r>
          </w:p>
        </w:tc>
        <w:tc>
          <w:tcPr/>
          <w:p>
            <w:pPr>
              <w:pStyle w:val="Compact"/>
              <w:jc w:val="left"/>
            </w:pPr>
            <w:r>
              <w:t xml:space="preserve">167 M$</w:t>
            </w:r>
          </w:p>
        </w:tc>
      </w:tr>
      <w:tr>
        <w:tc>
          <w:tcPr/>
          <w:p>
            <w:pPr>
              <w:pStyle w:val="Compact"/>
            </w:pPr>
            <w:r>
              <w:t xml:space="preserve">Crédit renouvelable disponible</w:t>
            </w:r>
          </w:p>
        </w:tc>
        <w:tc>
          <w:tcPr/>
          <w:p>
            <w:pPr>
              <w:pStyle w:val="Compact"/>
            </w:pPr>
            <w:r>
              <w:t xml:space="preserve">420 M$</w:t>
            </w:r>
          </w:p>
        </w:tc>
        <w:tc>
          <w:tcPr/>
          <w:p>
            <w:pPr>
              <w:pStyle w:val="Compact"/>
            </w:pPr>
            <w:r>
              <w:t xml:space="preserve">335 M$</w:t>
            </w:r>
          </w:p>
        </w:tc>
        <w:tc>
          <w:tcPr/>
          <w:p>
            <w:pPr>
              <w:pStyle w:val="Compact"/>
              <w:jc w:val="left"/>
            </w:pPr>
            <w:r>
              <w:t xml:space="preserve">280 M$</w:t>
            </w:r>
          </w:p>
        </w:tc>
      </w:tr>
    </w:tbl>
    <w:bookmarkEnd w:id="9"/>
    <w:bookmarkEnd w:id="10"/>
    <w:bookmarkStart w:id="12" w:name="le-programme-proposé"/>
    <w:p>
      <w:pPr>
        <w:pStyle w:val="Heading1"/>
      </w:pPr>
      <w:r>
        <w:t xml:space="preserve">Le programme proposé</w:t>
      </w:r>
    </w:p>
    <w:p>
      <w:pPr>
        <w:pStyle w:val="FirstParagraph"/>
      </w:pPr>
      <w:r>
        <w:t xml:space="preserve">La banque principale de Northbridge a proposé un programme de financement des fournisseurs piloté par l’acheteur. Une fois qu’une facture était approuvée par Northbridge dans son système d’entreprise, un fournisseur éligible pouvait demander un paiement anticipé auprès de la banque. La banque paierait le fournisseur avec une décote fondée principalement sur la qualité de crédit de Northbridge ; Northbridge paierait la banque à l’échéance contractuelle de la facture. La participation serait volontaire.</w:t>
      </w:r>
    </w:p>
    <w:p>
      <w:pPr>
        <w:pStyle w:val="BodyText"/>
      </w:pPr>
      <w:r>
        <w:t xml:space="preserve">La banque a fait valoir que le programme pourrait améliorer les deux volets de la relation. Les fournisseurs pourraient recevoir leur trésorerie en quelques jours plutôt que d’attendre 75 ou 90 jours. Northbridge pourrait préserver, voire allonger, ses délais de paiement sans forcer les fournisseurs à financer ce délai à leur propre taux d’emprunt. L’approbation automatisée des factures pourrait également réduire les litiges et la charge administrative. La banque a proposé une limite initiale de 350 millions de dollars de factures approuvées et a estimé les frais annuels du programme pour Northbridge à 2,4 millions de dollars, hors décote payée par les fournisseurs participants.</w:t>
      </w:r>
    </w:p>
    <w:p>
      <w:pPr>
        <w:pStyle w:val="BodyText"/>
      </w:pPr>
      <w:r>
        <w:t xml:space="preserve">Chen a identifié plusieurs complications. La banque n’accepterait que les fournisseurs passant les filtres de connaissance du client, de sanctions, de fraude et de crédit. Les petits fournisseurs ayant un dossier faible pourraient être exclus alors même qu’ils sont les plus dans le besoin. Les fournisseurs pourraient interpréter le programme comme une pression visant à accepter des délais plus longs. Northbridge devrait fournir des données sur les factures et les fournisseurs via une nouvelle plateforme, créant des risques de cybersécurité et de mise en œuvre. Les règles comptables exigeaient une divulgation supplémentaire des obligations liées au financement des fournisseurs, et les analystes pourraient considérer un programme croissant comme s’apparentant à de la dette, même s’il restait classé dans les comptes fournisseurs commerciaux.</w:t>
      </w:r>
    </w:p>
    <w:p>
      <w:pPr>
        <w:pStyle w:val="BodyText"/>
      </w:pPr>
      <w:r>
        <w:t xml:space="preserve">Se posait également la question de savoir qui devrait payer. Selon la proposition de la banque, un fournisseur demandant un paiement 60 jours à l’avance paierait une décote équivalant à un taux annualisé d’environ 6,4 %. Pour certains fournisseurs, ce taux était bien inférieur à leur coût de crédit actuel. Pour d’autres, en particulier les grands fournisseurs multinationaux, il n’était pas attractif. Northbridge pourrait subventionner tout ou partie de la décote pour certains fournisseurs sélectionnés, mais cela réduirait le bénéfice en fonds de roulement et susciterait des arguments sur l’équité.</w:t>
      </w:r>
    </w:p>
    <w:bookmarkStart w:id="11" w:name="Xe6244b9a3f6c6a9f5fc8e6dac5f10ce262f8fca"/>
    <w:p>
      <w:pPr>
        <w:pStyle w:val="Heading2"/>
      </w:pPr>
      <w:r>
        <w:t xml:space="preserve">Exhibit 2. Économie illustrative des fournisseurs</w:t>
      </w:r>
    </w:p>
    <w:tbl>
      <w:tblPr>
        <w:tblStyle w:val="Table"/>
        <w:tblW w:type="pct" w:w="4936"/>
        <w:tblLayout w:type="fixed"/>
        <w:tblLook w:firstRow="1" w:lastRow="0" w:firstColumn="0" w:lastColumn="0" w:noHBand="0" w:noVBand="0" w:val="0020"/>
      </w:tblPr>
      <w:tblGrid>
        <w:gridCol w:w="1664"/>
        <w:gridCol w:w="1362"/>
        <w:gridCol w:w="908"/>
        <w:gridCol w:w="1261"/>
        <w:gridCol w:w="1311"/>
        <w:gridCol w:w="1311"/>
      </w:tblGrid>
      <w:tr>
        <w:trPr>
          <w:tblHeader w:val="on"/>
        </w:trPr>
        <w:tc>
          <w:tcPr/>
          <w:p>
            <w:pPr>
              <w:pStyle w:val="Compact"/>
              <w:jc w:val="left"/>
            </w:pPr>
            <w:r>
              <w:t xml:space="preserve">Groupe de fournisseurs</w:t>
            </w:r>
          </w:p>
        </w:tc>
        <w:tc>
          <w:tcPr/>
          <w:p>
            <w:pPr>
              <w:pStyle w:val="Compact"/>
              <w:jc w:val="right"/>
            </w:pPr>
            <w:r>
              <w:t xml:space="preserve">Ventes annuelles à Dél</w:t>
            </w:r>
            <w:r>
              <w:t xml:space="preserve"> </w:t>
            </w:r>
            <w:r>
              <w:t xml:space="preserve">Northbridge a</w:t>
            </w:r>
          </w:p>
        </w:tc>
        <w:tc>
          <w:tcPr/>
          <w:p>
            <w:pPr>
              <w:pStyle w:val="Compact"/>
              <w:jc w:val="left"/>
            </w:pPr>
            <w:r>
              <w:t xml:space="preserve">ai de paiement Co</w:t>
            </w:r>
            <w:r>
              <w:t xml:space="preserve"> </w:t>
            </w:r>
            <w:r>
              <w:t xml:space="preserve">ctuel</w:t>
            </w:r>
          </w:p>
        </w:tc>
        <w:tc>
          <w:tcPr/>
          <w:p>
            <w:pPr>
              <w:pStyle w:val="Compact"/>
            </w:pPr>
            <w:r>
              <w:t xml:space="preserve">ût d’emprunt typique Co</w:t>
            </w:r>
          </w:p>
        </w:tc>
        <w:tc>
          <w:tcPr/>
          <w:p>
            <w:pPr>
              <w:pStyle w:val="Compact"/>
              <w:jc w:val="left"/>
            </w:pPr>
            <w:r>
              <w:t xml:space="preserve">ût de paiement Criti</w:t>
            </w:r>
            <w:r>
              <w:t xml:space="preserve"> </w:t>
            </w:r>
            <w:r>
              <w:t xml:space="preserve">anticipé proposé</w:t>
            </w:r>
          </w:p>
        </w:tc>
        <w:tc>
          <w:tcPr/>
          <w:p>
            <w:pPr>
              <w:pStyle w:val="Compact"/>
              <w:jc w:val="left"/>
            </w:pPr>
            <w:r>
              <w:t xml:space="preserve">cité opérationnelle</w:t>
            </w:r>
          </w:p>
        </w:tc>
      </w:tr>
      <w:tr>
        <w:tc>
          <w:tcPr/>
          <w:p>
            <w:pPr>
              <w:pStyle w:val="Compact"/>
              <w:jc w:val="left"/>
            </w:pPr>
            <w:r>
              <w:t xml:space="preserve">Électronique stratégique</w:t>
            </w:r>
          </w:p>
        </w:tc>
        <w:tc>
          <w:tcPr/>
          <w:p>
            <w:pPr>
              <w:pStyle w:val="Compact"/>
              <w:jc w:val="right"/>
            </w:pPr>
            <w:r>
              <w:t xml:space="preserve">310 M$</w:t>
            </w:r>
          </w:p>
        </w:tc>
        <w:tc>
          <w:tcPr/>
          <w:p>
            <w:pPr>
              <w:pStyle w:val="Compact"/>
              <w:jc w:val="left"/>
            </w:pPr>
            <w:r>
              <w:t xml:space="preserve">75 jours</w:t>
            </w:r>
          </w:p>
        </w:tc>
        <w:tc>
          <w:tcPr/>
          <w:p>
            <w:pPr>
              <w:pStyle w:val="Compact"/>
            </w:pPr>
            <w:r>
              <w:t xml:space="preserve">7 %–9 %</w:t>
            </w:r>
          </w:p>
        </w:tc>
        <w:tc>
          <w:tcPr/>
          <w:p>
            <w:pPr>
              <w:pStyle w:val="Compact"/>
              <w:jc w:val="left"/>
            </w:pPr>
            <w:r>
              <w:t xml:space="preserve">6,0 %–6,8 %</w:t>
            </w:r>
          </w:p>
        </w:tc>
        <w:tc>
          <w:tcPr/>
          <w:p>
            <w:pPr>
              <w:pStyle w:val="Compact"/>
              <w:jc w:val="left"/>
            </w:pPr>
            <w:r>
              <w:t xml:space="preserve">Élevée</w:t>
            </w:r>
          </w:p>
        </w:tc>
      </w:tr>
      <w:tr>
        <w:tc>
          <w:tcPr/>
          <w:p>
            <w:pPr>
              <w:pStyle w:val="Compact"/>
              <w:jc w:val="left"/>
            </w:pPr>
            <w:r>
              <w:t xml:space="preserve">Usinage régional</w:t>
            </w:r>
          </w:p>
        </w:tc>
        <w:tc>
          <w:tcPr/>
          <w:p>
            <w:pPr>
              <w:pStyle w:val="Compact"/>
              <w:jc w:val="right"/>
            </w:pPr>
            <w:r>
              <w:t xml:space="preserve">185 M$</w:t>
            </w:r>
          </w:p>
        </w:tc>
        <w:tc>
          <w:tcPr/>
          <w:p>
            <w:pPr>
              <w:pStyle w:val="Compact"/>
              <w:jc w:val="left"/>
            </w:pPr>
            <w:r>
              <w:t xml:space="preserve">75 jours</w:t>
            </w:r>
          </w:p>
        </w:tc>
        <w:tc>
          <w:tcPr/>
          <w:p>
            <w:pPr>
              <w:pStyle w:val="Compact"/>
            </w:pPr>
            <w:r>
              <w:t xml:space="preserve">10 %–15 %</w:t>
            </w:r>
          </w:p>
        </w:tc>
        <w:tc>
          <w:tcPr/>
          <w:p>
            <w:pPr>
              <w:pStyle w:val="Compact"/>
              <w:jc w:val="left"/>
            </w:pPr>
            <w:r>
              <w:t xml:space="preserve">6,0 %–6,8 %</w:t>
            </w:r>
          </w:p>
        </w:tc>
        <w:tc>
          <w:tcPr/>
          <w:p>
            <w:pPr>
              <w:pStyle w:val="Compact"/>
              <w:jc w:val="left"/>
            </w:pPr>
            <w:r>
              <w:t xml:space="preserve">Très élevée</w:t>
            </w:r>
          </w:p>
        </w:tc>
      </w:tr>
      <w:tr>
        <w:tc>
          <w:tcPr/>
          <w:p>
            <w:pPr>
              <w:pStyle w:val="Compact"/>
              <w:jc w:val="left"/>
            </w:pPr>
            <w:r>
              <w:t xml:space="preserve">Emballage et indirect</w:t>
            </w:r>
          </w:p>
        </w:tc>
        <w:tc>
          <w:tcPr/>
          <w:p>
            <w:pPr>
              <w:pStyle w:val="Compact"/>
              <w:jc w:val="right"/>
            </w:pPr>
            <w:r>
              <w:t xml:space="preserve">92 M$</w:t>
            </w:r>
          </w:p>
        </w:tc>
        <w:tc>
          <w:tcPr/>
          <w:p>
            <w:pPr>
              <w:pStyle w:val="Compact"/>
              <w:jc w:val="left"/>
            </w:pPr>
            <w:r>
              <w:t xml:space="preserve">60 jours</w:t>
            </w:r>
          </w:p>
        </w:tc>
        <w:tc>
          <w:tcPr/>
          <w:p>
            <w:pPr>
              <w:pStyle w:val="Compact"/>
            </w:pPr>
            <w:r>
              <w:t xml:space="preserve">9 %–18 %</w:t>
            </w:r>
          </w:p>
        </w:tc>
        <w:tc>
          <w:tcPr/>
          <w:p>
            <w:pPr>
              <w:pStyle w:val="Compact"/>
              <w:jc w:val="left"/>
            </w:pPr>
            <w:r>
              <w:t xml:space="preserve">5,8 %–6,5 %</w:t>
            </w:r>
          </w:p>
        </w:tc>
        <w:tc>
          <w:tcPr/>
          <w:p>
            <w:pPr>
              <w:pStyle w:val="Compact"/>
              <w:jc w:val="left"/>
            </w:pPr>
            <w:r>
              <w:t xml:space="preserve">Moyenne</w:t>
            </w:r>
          </w:p>
        </w:tc>
      </w:tr>
      <w:tr>
        <w:tc>
          <w:tcPr/>
          <w:p>
            <w:pPr>
              <w:pStyle w:val="Compact"/>
              <w:jc w:val="left"/>
            </w:pPr>
            <w:r>
              <w:t xml:space="preserve">Moteurs mondiaux</w:t>
            </w:r>
          </w:p>
        </w:tc>
        <w:tc>
          <w:tcPr/>
          <w:p>
            <w:pPr>
              <w:pStyle w:val="Compact"/>
              <w:jc w:val="right"/>
            </w:pPr>
            <w:r>
              <w:t xml:space="preserve">420 M$</w:t>
            </w:r>
          </w:p>
        </w:tc>
        <w:tc>
          <w:tcPr/>
          <w:p>
            <w:pPr>
              <w:pStyle w:val="Compact"/>
              <w:jc w:val="left"/>
            </w:pPr>
            <w:r>
              <w:t xml:space="preserve">90 jours</w:t>
            </w:r>
          </w:p>
        </w:tc>
        <w:tc>
          <w:tcPr/>
          <w:p>
            <w:pPr>
              <w:pStyle w:val="Compact"/>
            </w:pPr>
            <w:r>
              <w:t xml:space="preserve">4 %–6 %</w:t>
            </w:r>
          </w:p>
        </w:tc>
        <w:tc>
          <w:tcPr/>
          <w:p>
            <w:pPr>
              <w:pStyle w:val="Compact"/>
              <w:jc w:val="left"/>
            </w:pPr>
            <w:r>
              <w:t xml:space="preserve">6,2 %–7,0 %</w:t>
            </w:r>
          </w:p>
        </w:tc>
        <w:tc>
          <w:tcPr/>
          <w:p>
            <w:pPr>
              <w:pStyle w:val="Compact"/>
              <w:jc w:val="left"/>
            </w:pPr>
            <w:r>
              <w:t xml:space="preserve">Élevée</w:t>
            </w:r>
          </w:p>
        </w:tc>
      </w:tr>
      <w:tr>
        <w:tc>
          <w:tcPr/>
          <w:p>
            <w:pPr>
              <w:pStyle w:val="Compact"/>
              <w:jc w:val="left"/>
            </w:pPr>
            <w:r>
              <w:t xml:space="preserve">Petits fournisseurs appartenant</w:t>
            </w:r>
            <w:r>
              <w:t xml:space="preserve"> </w:t>
            </w:r>
            <w:r>
              <w:t xml:space="preserve">à des minorités</w:t>
            </w:r>
          </w:p>
        </w:tc>
        <w:tc>
          <w:tcPr/>
          <w:p>
            <w:pPr>
              <w:pStyle w:val="Compact"/>
              <w:jc w:val="right"/>
            </w:pPr>
            <w:r>
              <w:t xml:space="preserve">76 M$</w:t>
            </w:r>
          </w:p>
        </w:tc>
        <w:tc>
          <w:tcPr/>
          <w:p>
            <w:pPr>
              <w:pStyle w:val="Compact"/>
              <w:jc w:val="left"/>
            </w:pPr>
            <w:r>
              <w:t xml:space="preserve">60–75 jours</w:t>
            </w:r>
          </w:p>
        </w:tc>
        <w:tc>
          <w:tcPr/>
          <w:p>
            <w:pPr>
              <w:pStyle w:val="Compact"/>
            </w:pPr>
            <w:r>
              <w:t xml:space="preserve">12 %–24 %</w:t>
            </w:r>
          </w:p>
        </w:tc>
        <w:tc>
          <w:tcPr/>
          <w:p>
            <w:pPr>
              <w:pStyle w:val="Compact"/>
              <w:jc w:val="left"/>
            </w:pPr>
            <w:r>
              <w:t xml:space="preserve">6,0 %–7,2 %</w:t>
            </w:r>
          </w:p>
        </w:tc>
        <w:tc>
          <w:tcPr/>
          <w:p>
            <w:pPr>
              <w:pStyle w:val="Compact"/>
              <w:jc w:val="left"/>
            </w:pPr>
            <w:r>
              <w:t xml:space="preserve">Mixte</w:t>
            </w:r>
          </w:p>
        </w:tc>
      </w:tr>
    </w:tbl>
    <w:bookmarkEnd w:id="11"/>
    <w:bookmarkEnd w:id="12"/>
    <w:bookmarkStart w:id="14" w:name="X0cf28c25290dd8b77a36bcad2550995a76d418d"/>
    <w:p>
      <w:pPr>
        <w:pStyle w:val="Heading1"/>
      </w:pPr>
      <w:r>
        <w:t xml:space="preserve">La trésorerie n’était pas la seule exposition</w:t>
      </w:r>
    </w:p>
    <w:p>
      <w:pPr>
        <w:pStyle w:val="FirstParagraph"/>
      </w:pPr>
      <w:r>
        <w:t xml:space="preserve">La trésorerie considérait la proposition de financement des fournisseurs comme un élément d’un problème de risque financier plus large. Northbridge achetait des composants en euros, en yens, en pesos mexicains et en dollars américains. Elle détenait environ 410 millions de dollars de stocks en transit ou dans des entrepôts tiers. Les ventes à deux grands clients internationaux étaient assurées contre le non-paiement, mais la plupart des créances clients nationales ne l’étaient pas. L’entreprise disposait d’une couverture cargo maritime, d’une couverture de biens et d’une police limitée de risque politique pour un couloir d’approvisionnement asiatique. La couverture avait été constituée au fil du temps par différentes unités opérationnelles, et personne ne pouvait dire si le portefeuille correspondait à l’exposition actuelle de l’entreprise.</w:t>
      </w:r>
    </w:p>
    <w:p>
      <w:pPr>
        <w:pStyle w:val="BodyText"/>
      </w:pPr>
      <w:r>
        <w:t xml:space="preserve">Les récents changements tarifaires avaient modifié le profil de trésorerie des achats importés. Les droits de douane devaient être payés à l’entrée des marchandises dans le pays, souvent des semaines avant que Northbridge ne perçoive la trésorerie de ses clients. Les achats pouvaient déplacer une partie des approvisionnements vers le Mexique ou des fournisseurs nationaux, mais la qualification pouvait prendre de six à dix-huit mois et nécessiter un nouvel outillage. Acheter des stocks supplémentaires avant de futures hausses tarifaires pourrait protéger les marges et la production, mais cela consommerait de la trésorerie et augmenterait le risque d’obsolescence.</w:t>
      </w:r>
    </w:p>
    <w:p>
      <w:pPr>
        <w:pStyle w:val="BodyText"/>
      </w:pPr>
      <w:r>
        <w:t xml:space="preserve">Les couvertures de change créaient un autre débat. La trésorerie couvrait généralement 60 % des achats en devises prévus pour les six prochains mois et 30 % pour les mois sept à douze. Les achats souhaitaient désormais une couverture plus élevée, car des mouvements de change soudains pourraient amplifier les hausses tarifaires. Les responsables des ventes objectaient qu’une couverture agressive pourrait figer les coûts au moment même où la demande faiblirait. Les ventes européennes de l’entreprise créaient également une couverture naturelle partielle, mais le calendrier et le montant de ces encaissements demeuraient incertains.</w:t>
      </w:r>
    </w:p>
    <w:bookmarkStart w:id="13" w:name="X019c871840fe896c3570dd4e03743bbaef6f40a"/>
    <w:p>
      <w:pPr>
        <w:pStyle w:val="Heading2"/>
      </w:pPr>
      <w:r>
        <w:t xml:space="preserve">Exhibit 3. Expositions financières sélectionnées</w:t>
      </w:r>
    </w:p>
    <w:tbl>
      <w:tblPr>
        <w:tblStyle w:val="Table"/>
        <w:tblW w:type="pct" w:w="4927"/>
        <w:tblLayout w:type="fixed"/>
        <w:tblLook w:firstRow="1" w:lastRow="0" w:firstColumn="0" w:lastColumn="0" w:noHBand="0" w:noVBand="0" w:val="0020"/>
      </w:tblPr>
      <w:tblGrid>
        <w:gridCol w:w="2601"/>
        <w:gridCol w:w="1098"/>
        <w:gridCol w:w="1676"/>
        <w:gridCol w:w="2428"/>
      </w:tblGrid>
      <w:tr>
        <w:trPr>
          <w:tblHeader w:val="on"/>
        </w:trPr>
        <w:tc>
          <w:tcPr/>
          <w:p>
            <w:pPr>
              <w:pStyle w:val="Compact"/>
              <w:jc w:val="left"/>
            </w:pPr>
            <w:r>
              <w:t xml:space="preserve">Exposition</w:t>
            </w:r>
          </w:p>
        </w:tc>
        <w:tc>
          <w:tcPr/>
          <w:p>
            <w:pPr>
              <w:pStyle w:val="Compact"/>
              <w:jc w:val="center"/>
            </w:pPr>
            <w:r>
              <w:t xml:space="preserve">Montant estimé</w:t>
            </w:r>
          </w:p>
        </w:tc>
        <w:tc>
          <w:tcPr/>
          <w:p>
            <w:pPr>
              <w:pStyle w:val="Compact"/>
              <w:jc w:val="center"/>
            </w:pPr>
            <w:r>
              <w:t xml:space="preserve">Protection actuelle</w:t>
            </w:r>
          </w:p>
        </w:tc>
        <w:tc>
          <w:tcPr/>
          <w:p>
            <w:pPr>
              <w:pStyle w:val="Compact"/>
              <w:jc w:val="center"/>
            </w:pPr>
            <w:r>
              <w:t xml:space="preserve">Préoccupation de gestion</w:t>
            </w:r>
          </w:p>
        </w:tc>
      </w:tr>
      <w:tr>
        <w:tc>
          <w:tcPr/>
          <w:p>
            <w:pPr>
              <w:pStyle w:val="Compact"/>
              <w:jc w:val="left"/>
            </w:pPr>
            <w:r>
              <w:t xml:space="preserve">Factures fournisseurs approuvées</w:t>
            </w:r>
          </w:p>
        </w:tc>
        <w:tc>
          <w:tcPr/>
          <w:p>
            <w:pPr>
              <w:pStyle w:val="Compact"/>
              <w:jc w:val="center"/>
            </w:pPr>
            <w:r>
              <w:t xml:space="preserve">485 M$</w:t>
            </w:r>
          </w:p>
        </w:tc>
        <w:tc>
          <w:tcPr/>
          <w:p>
            <w:pPr>
              <w:pStyle w:val="Compact"/>
              <w:jc w:val="center"/>
            </w:pPr>
            <w:r>
              <w:t xml:space="preserve">Aucun programme dédié</w:t>
            </w:r>
          </w:p>
        </w:tc>
        <w:tc>
          <w:tcPr/>
          <w:p>
            <w:pPr>
              <w:pStyle w:val="Compact"/>
              <w:jc w:val="center"/>
            </w:pPr>
            <w:r>
              <w:t xml:space="preserve">Liquidité des fournisseurs et calendrier de paiement</w:t>
            </w:r>
          </w:p>
        </w:tc>
      </w:tr>
      <w:tr>
        <w:tc>
          <w:tcPr/>
          <w:p>
            <w:pPr>
              <w:pStyle w:val="Compact"/>
              <w:jc w:val="left"/>
            </w:pPr>
            <w:r>
              <w:t xml:space="preserve">Achats en devises étrangères,</w:t>
            </w:r>
            <w:r>
              <w:t xml:space="preserve"> </w:t>
            </w:r>
            <w:r>
              <w:t xml:space="preserve">12 prochains mois</w:t>
            </w:r>
          </w:p>
        </w:tc>
        <w:tc>
          <w:tcPr/>
          <w:p>
            <w:pPr>
              <w:pStyle w:val="Compact"/>
              <w:jc w:val="center"/>
            </w:pPr>
            <w:r>
              <w:t xml:space="preserve">690 M$</w:t>
            </w:r>
          </w:p>
        </w:tc>
        <w:tc>
          <w:tcPr/>
          <w:p>
            <w:pPr>
              <w:pStyle w:val="Compact"/>
              <w:jc w:val="center"/>
            </w:pPr>
            <w:r>
              <w:t xml:space="preserve">47 % couverts</w:t>
            </w:r>
          </w:p>
        </w:tc>
        <w:tc>
          <w:tcPr/>
          <w:p>
            <w:pPr>
              <w:pStyle w:val="Compact"/>
              <w:jc w:val="center"/>
            </w:pPr>
            <w:r>
              <w:t xml:space="preserve">Taux, erreur de prévision, coût de couverture</w:t>
            </w:r>
          </w:p>
        </w:tc>
      </w:tr>
      <w:tr>
        <w:tc>
          <w:tcPr/>
          <w:p>
            <w:pPr>
              <w:pStyle w:val="Compact"/>
              <w:jc w:val="left"/>
            </w:pPr>
            <w:r>
              <w:t xml:space="preserve">Stocks en transit et sur sites tiers</w:t>
            </w:r>
          </w:p>
        </w:tc>
        <w:tc>
          <w:tcPr/>
          <w:p>
            <w:pPr>
              <w:pStyle w:val="Compact"/>
              <w:jc w:val="center"/>
            </w:pPr>
            <w:r>
              <w:t xml:space="preserve">410 M$</w:t>
            </w:r>
          </w:p>
        </w:tc>
        <w:tc>
          <w:tcPr/>
          <w:p>
            <w:pPr>
              <w:pStyle w:val="Compact"/>
              <w:jc w:val="center"/>
            </w:pPr>
            <w:r>
              <w:t xml:space="preserve">Assurance cargo/biens</w:t>
            </w:r>
          </w:p>
        </w:tc>
        <w:tc>
          <w:tcPr/>
          <w:p>
            <w:pPr>
              <w:pStyle w:val="Compact"/>
              <w:jc w:val="center"/>
            </w:pPr>
            <w:r>
              <w:t xml:space="preserve">Perte, retard, franchise, lacunes de couverture</w:t>
            </w:r>
          </w:p>
        </w:tc>
      </w:tr>
      <w:tr>
        <w:tc>
          <w:tcPr/>
          <w:p>
            <w:pPr>
              <w:pStyle w:val="Compact"/>
              <w:jc w:val="left"/>
            </w:pPr>
            <w:r>
              <w:t xml:space="preserve">Créances clients</w:t>
            </w:r>
          </w:p>
        </w:tc>
        <w:tc>
          <w:tcPr/>
          <w:p>
            <w:pPr>
              <w:pStyle w:val="Compact"/>
              <w:jc w:val="center"/>
            </w:pPr>
            <w:r>
              <w:t xml:space="preserve">612 M$</w:t>
            </w:r>
          </w:p>
        </w:tc>
        <w:tc>
          <w:tcPr/>
          <w:p>
            <w:pPr>
              <w:pStyle w:val="Compact"/>
              <w:jc w:val="center"/>
            </w:pPr>
            <w:r>
              <w:t xml:space="preserve">Assurance-crédit sélectiv</w:t>
            </w:r>
          </w:p>
        </w:tc>
        <w:tc>
          <w:tcPr/>
          <w:p>
            <w:pPr>
              <w:pStyle w:val="Compact"/>
              <w:jc w:val="center"/>
            </w:pPr>
            <w:r>
              <w:t xml:space="preserve">e Défaut client et paiement retardé</w:t>
            </w:r>
          </w:p>
        </w:tc>
      </w:tr>
      <w:tr>
        <w:tc>
          <w:tcPr/>
          <w:p>
            <w:pPr>
              <w:pStyle w:val="Compact"/>
              <w:jc w:val="left"/>
            </w:pPr>
            <w:r>
              <w:t xml:space="preserve">Décaissement tarifaire, 12 prochains mois</w:t>
            </w:r>
          </w:p>
        </w:tc>
        <w:tc>
          <w:tcPr/>
          <w:p>
            <w:pPr>
              <w:pStyle w:val="Compact"/>
              <w:jc w:val="center"/>
            </w:pPr>
            <w:r>
              <w:t xml:space="preserve">96 M$</w:t>
            </w:r>
          </w:p>
        </w:tc>
        <w:tc>
          <w:tcPr/>
          <w:p>
            <w:pPr>
              <w:pStyle w:val="Compact"/>
              <w:jc w:val="center"/>
            </w:pPr>
            <w:r>
              <w:t xml:space="preserve">Aucune</w:t>
            </w:r>
          </w:p>
        </w:tc>
        <w:tc>
          <w:tcPr/>
          <w:p>
            <w:pPr>
              <w:pStyle w:val="Compact"/>
              <w:jc w:val="center"/>
            </w:pPr>
            <w:r>
              <w:t xml:space="preserve">Calendrier, changements de politique, tarification des produits</w:t>
            </w:r>
          </w:p>
        </w:tc>
      </w:tr>
    </w:tbl>
    <w:bookmarkEnd w:id="13"/>
    <w:bookmarkEnd w:id="14"/>
    <w:bookmarkStart w:id="16" w:name="X1691f8d9fb7042a197598d54dfd65f466cc53a1"/>
    <w:p>
      <w:pPr>
        <w:pStyle w:val="Heading1"/>
      </w:pPr>
      <w:r>
        <w:t xml:space="preserve">Fonctions différentes, définitions différentes du succès</w:t>
      </w:r>
    </w:p>
    <w:p>
      <w:pPr>
        <w:pStyle w:val="FirstParagraph"/>
      </w:pPr>
      <w:r>
        <w:t xml:space="preserve">Les achats étaient favorables à une mise en œuvre rapide. Leurs dirigeants faisaient valoir que le coût de la défaillance d’un seul fournisseur pourrait dépasser des années de frais de programme. Un arrêt chez AlloyWorks, par exemple, pourrait interrompre la production d’une famille de produits générant 8,6 millions de dollars de chiffre d’affaires hebdomadaire. Les achats proposaient d’inscrire d’abord les 100 plus grands fournisseurs, puis d’étendre l’éligibilité aux petites entreprises une fois la plateforme stabilisée.</w:t>
      </w:r>
    </w:p>
    <w:p>
      <w:pPr>
        <w:pStyle w:val="BodyText"/>
      </w:pPr>
      <w:r>
        <w:t xml:space="preserve">Les opérations n’étaient pas d’accord avec un déploiement fondé sur la taille. Certains des plus grands fournisseurs avaient de nombreux clients et un accès facile au capital, tandis que les petites entreprises spécialisées créaient le risque de continuité le plus sérieux. Les opérations souhaitaient un score de vulnérabilité combinant la santé financière, l’unicité des pièces, la couverture des stocks, le délai de qualification et le chiffre d’affaires à risque. Elles souhaitaient également que Northbridge maintienne un fonds d’urgence distinct pour l’outillage, les matières premières ou les paiements anticipés temporaires lorsqu’un fournisseur critique ne pouvait pas se qualifier pour le programme bancaire.</w:t>
      </w:r>
    </w:p>
    <w:p>
      <w:pPr>
        <w:pStyle w:val="BodyText"/>
      </w:pPr>
      <w:r>
        <w:t xml:space="preserve">La trésorerie souhaitait protéger la propre liquidité de Northbridge. L’entreprise planifiait une expansion d’usine de 240 millions de dollars et avait promis au conseil d’administration que la dette nette resterait inférieure à 2,0 fois l’EBITDA. La trésorerie proposait d’étendre les conditions standard à 90 jours pour tous les fournisseurs éligibles au paiement anticipé, tout en maintenant des conditions de 45 ou 60 jours pour les fournisseurs vulnérables ne pouvant pas participer. Cela maximiserait la rétention de trésorerie, mais les achats avertissaient que les fournisseurs pourraient y voir une utilisation de la banque pour imposer des délais encore plus longs.</w:t>
      </w:r>
    </w:p>
    <w:p>
      <w:pPr>
        <w:pStyle w:val="BodyText"/>
      </w:pPr>
      <w:r>
        <w:t xml:space="preserve">Les équipes de durabilité et de diversité des fournisseurs ont soulevé une autre préoccupation. Un filtre purement financier pourrait exclure systématiquement les jeunes entreprises, les entreprises rurales, appartenant à des minorités, ou récemment créées. Ces fournisseurs manquaient souvent d’états financiers audités ou d’historiques de crédit longs, même lorsque leur performance opérationnelle était solide. Un programme conçu pour stabiliser le réseau pourrait donc diriger le financement le moins cher vers les fournisseurs qui avaient déjà le meilleur accès au capital.</w:t>
      </w:r>
    </w:p>
    <w:bookmarkStart w:id="15" w:name="X7666298c09dd4a884e7051a6d8dcb1a4902c026"/>
    <w:p>
      <w:pPr>
        <w:pStyle w:val="Heading2"/>
      </w:pPr>
      <w:r>
        <w:t xml:space="preserve">Exhibit 4. Trois conceptions de programme en discussion</w:t>
      </w:r>
    </w:p>
    <w:tbl>
      <w:tblPr>
        <w:tblStyle w:val="Table"/>
        <w:tblW w:type="pct" w:w="4952"/>
        <w:tblLayout w:type="fixed"/>
        <w:tblLook w:firstRow="1" w:lastRow="0" w:firstColumn="0" w:lastColumn="0" w:noHBand="0" w:noVBand="0" w:val="0020"/>
      </w:tblPr>
      <w:tblGrid>
        <w:gridCol w:w="829"/>
        <w:gridCol w:w="1244"/>
        <w:gridCol w:w="1621"/>
        <w:gridCol w:w="1320"/>
        <w:gridCol w:w="1357"/>
        <w:gridCol w:w="1470"/>
      </w:tblGrid>
      <w:tr>
        <w:trPr>
          <w:tblHeader w:val="on"/>
        </w:trPr>
        <w:tc>
          <w:tcPr/>
          <w:p>
            <w:pPr>
              <w:pStyle w:val="Compact"/>
              <w:jc w:val="left"/>
            </w:pPr>
            <w:r>
              <w:t xml:space="preserve">Conception</w:t>
            </w:r>
          </w:p>
        </w:tc>
        <w:tc>
          <w:tcPr/>
          <w:p>
            <w:pPr>
              <w:pStyle w:val="Compact"/>
              <w:jc w:val="center"/>
            </w:pPr>
            <w:r>
              <w:t xml:space="preserve">Délais de paiement</w:t>
            </w:r>
          </w:p>
        </w:tc>
        <w:tc>
          <w:tcPr/>
          <w:p>
            <w:pPr>
              <w:pStyle w:val="Compact"/>
              <w:jc w:val="center"/>
            </w:pPr>
            <w:r>
              <w:t xml:space="preserve">Financement du Portée initiale</w:t>
            </w:r>
            <w:r>
              <w:t xml:space="preserve"> </w:t>
            </w:r>
            <w:r>
              <w:t xml:space="preserve">paiement anticipé</w:t>
            </w:r>
          </w:p>
        </w:tc>
        <w:tc>
          <w:tcPr/>
          <w:p>
            <w:pPr>
              <w:pStyle w:val="Compact"/>
              <w:jc w:val="right"/>
            </w:pPr>
            <w:r>
              <w:t xml:space="preserve">Bénéfice de tr</w:t>
            </w:r>
            <w:r>
              <w:t xml:space="preserve"> </w:t>
            </w:r>
            <w:r>
              <w:t xml:space="preserve">pour la prem</w:t>
            </w:r>
          </w:p>
        </w:tc>
        <w:tc>
          <w:tcPr/>
          <w:p>
            <w:pPr>
              <w:pStyle w:val="Compact"/>
              <w:jc w:val="left"/>
            </w:pPr>
            <w:r>
              <w:t xml:space="preserve">ésorerie estimé Préoccupation princ</w:t>
            </w:r>
            <w:r>
              <w:t xml:space="preserve"> </w:t>
            </w:r>
            <w:r>
              <w:t xml:space="preserve">ière année</w:t>
            </w:r>
          </w:p>
        </w:tc>
        <w:tc>
          <w:tcPr/>
          <w:p>
            <w:pPr>
              <w:pStyle w:val="Compact"/>
              <w:jc w:val="left"/>
            </w:pPr>
            <w:r>
              <w:t xml:space="preserve">ipale</w:t>
            </w:r>
          </w:p>
        </w:tc>
      </w:tr>
      <w:tr>
        <w:tc>
          <w:tcPr/>
          <w:p>
            <w:pPr>
              <w:pStyle w:val="Compact"/>
              <w:jc w:val="left"/>
            </w:pPr>
            <w:r>
              <w:t xml:space="preserve">Extension large</w:t>
            </w:r>
          </w:p>
        </w:tc>
        <w:tc>
          <w:tcPr/>
          <w:p>
            <w:pPr>
              <w:pStyle w:val="Compact"/>
              <w:jc w:val="center"/>
            </w:pPr>
            <w:r>
              <w:t xml:space="preserve">90 jours pour les fournisseurs</w:t>
            </w:r>
            <w:r>
              <w:t xml:space="preserve"> </w:t>
            </w:r>
            <w:r>
              <w:t xml:space="preserve">éligibles</w:t>
            </w:r>
          </w:p>
        </w:tc>
        <w:tc>
          <w:tcPr/>
          <w:p>
            <w:pPr>
              <w:pStyle w:val="Compact"/>
              <w:jc w:val="center"/>
            </w:pPr>
            <w:r>
              <w:t xml:space="preserve">Financé par la banque ;</w:t>
            </w:r>
            <w:r>
              <w:t xml:space="preserve"> </w:t>
            </w:r>
            <w:r>
              <w:t xml:space="preserve">le fournisseur paie la décote</w:t>
            </w:r>
          </w:p>
        </w:tc>
        <w:tc>
          <w:tcPr/>
          <w:p>
            <w:pPr>
              <w:pStyle w:val="Compact"/>
              <w:jc w:val="right"/>
            </w:pPr>
            <w:r>
              <w:t xml:space="preserve">250 principaux fournisseurs</w:t>
            </w:r>
          </w:p>
        </w:tc>
        <w:tc>
          <w:tcPr/>
          <w:p>
            <w:pPr>
              <w:pStyle w:val="Compact"/>
              <w:jc w:val="left"/>
            </w:pPr>
            <w:r>
              <w:t xml:space="preserve">118 M$</w:t>
            </w:r>
          </w:p>
        </w:tc>
        <w:tc>
          <w:tcPr/>
          <w:p>
            <w:pPr>
              <w:pStyle w:val="Compact"/>
              <w:jc w:val="left"/>
            </w:pPr>
            <w:r>
              <w:t xml:space="preserve">Résistance des fournisseurs</w:t>
            </w:r>
            <w:r>
              <w:t xml:space="preserve"> </w:t>
            </w:r>
            <w:r>
              <w:t xml:space="preserve">et perception</w:t>
            </w:r>
          </w:p>
        </w:tc>
      </w:tr>
      <w:tr>
        <w:tc>
          <w:tcPr/>
          <w:p>
            <w:pPr>
              <w:pStyle w:val="Compact"/>
              <w:jc w:val="left"/>
            </w:pPr>
            <w:r>
              <w:t xml:space="preserve">Résilience ciblée</w:t>
            </w:r>
          </w:p>
        </w:tc>
        <w:tc>
          <w:tcPr/>
          <w:p>
            <w:pPr>
              <w:pStyle w:val="Compact"/>
              <w:jc w:val="center"/>
            </w:pPr>
            <w:r>
              <w:t xml:space="preserve">Conditions actuelles maintenues</w:t>
            </w:r>
          </w:p>
        </w:tc>
        <w:tc>
          <w:tcPr/>
          <w:p>
            <w:pPr>
              <w:pStyle w:val="Compact"/>
              <w:jc w:val="center"/>
            </w:pPr>
            <w:r>
              <w:t xml:space="preserve">Banque plus subvention limitée</w:t>
            </w:r>
            <w:r>
              <w:t xml:space="preserve"> </w:t>
            </w:r>
            <w:r>
              <w:t xml:space="preserve">de l’entreprise</w:t>
            </w:r>
          </w:p>
        </w:tc>
        <w:tc>
          <w:tcPr/>
          <w:p>
            <w:pPr>
              <w:pStyle w:val="Compact"/>
              <w:jc w:val="right"/>
            </w:pPr>
            <w:r>
              <w:t xml:space="preserve">47 fournisseurs critiques</w:t>
            </w:r>
            <w:r>
              <w:t xml:space="preserve"> </w:t>
            </w:r>
            <w:r>
              <w:t xml:space="preserve">et vulnérables</w:t>
            </w:r>
          </w:p>
        </w:tc>
        <w:tc>
          <w:tcPr/>
          <w:p>
            <w:pPr>
              <w:pStyle w:val="Compact"/>
              <w:jc w:val="left"/>
            </w:pPr>
            <w:r>
              <w:t xml:space="preserve">34 M$</w:t>
            </w:r>
          </w:p>
        </w:tc>
        <w:tc>
          <w:tcPr/>
          <w:p>
            <w:pPr>
              <w:pStyle w:val="Compact"/>
              <w:jc w:val="left"/>
            </w:pPr>
            <w:r>
              <w:t xml:space="preserve">Bénéfice de trésorerie moindre ;</w:t>
            </w:r>
            <w:r>
              <w:t xml:space="preserve"> </w:t>
            </w:r>
            <w:r>
              <w:t xml:space="preserve">sélection complexe</w:t>
            </w:r>
          </w:p>
        </w:tc>
      </w:tr>
      <w:tr>
        <w:tc>
          <w:tcPr/>
          <w:p>
            <w:pPr>
              <w:pStyle w:val="Compact"/>
              <w:jc w:val="left"/>
            </w:pPr>
            <w:r>
              <w:t xml:space="preserve">Portefeuille échelonné</w:t>
            </w:r>
          </w:p>
        </w:tc>
        <w:tc>
          <w:tcPr/>
          <w:p>
            <w:pPr>
              <w:pStyle w:val="Compact"/>
              <w:jc w:val="center"/>
            </w:pPr>
            <w:r>
              <w:t xml:space="preserve">60–90 jours selon le segment</w:t>
            </w:r>
          </w:p>
        </w:tc>
        <w:tc>
          <w:tcPr/>
          <w:p>
            <w:pPr>
              <w:pStyle w:val="Compact"/>
              <w:jc w:val="center"/>
            </w:pPr>
            <w:r>
              <w:t xml:space="preserve">Banque, trésorerie de l’entreprise</w:t>
            </w:r>
            <w:r>
              <w:t xml:space="preserve"> </w:t>
            </w:r>
            <w:r>
              <w:t xml:space="preserve">ou soutien d’urgence</w:t>
            </w:r>
          </w:p>
        </w:tc>
        <w:tc>
          <w:tcPr/>
          <w:p>
            <w:pPr>
              <w:pStyle w:val="Compact"/>
              <w:jc w:val="right"/>
            </w:pPr>
            <w:r>
              <w:t xml:space="preserve">Environ 160 fournisseurs</w:t>
            </w:r>
          </w:p>
        </w:tc>
        <w:tc>
          <w:tcPr/>
          <w:p>
            <w:pPr>
              <w:pStyle w:val="Compact"/>
              <w:jc w:val="left"/>
            </w:pPr>
            <w:r>
              <w:t xml:space="preserve">72 M$</w:t>
            </w:r>
          </w:p>
        </w:tc>
        <w:tc>
          <w:tcPr/>
          <w:p>
            <w:pPr>
              <w:pStyle w:val="Compact"/>
              <w:jc w:val="left"/>
            </w:pPr>
            <w:r>
              <w:t xml:space="preserve">Charge de gouvernance et</w:t>
            </w:r>
            <w:r>
              <w:t xml:space="preserve"> </w:t>
            </w:r>
            <w:r>
              <w:t xml:space="preserve">administrative</w:t>
            </w:r>
          </w:p>
        </w:tc>
      </w:tr>
    </w:tbl>
    <w:bookmarkEnd w:id="15"/>
    <w:bookmarkEnd w:id="16"/>
    <w:bookmarkStart w:id="18" w:name="le-problème-de-linformation"/>
    <w:p>
      <w:pPr>
        <w:pStyle w:val="Heading1"/>
      </w:pPr>
      <w:r>
        <w:t xml:space="preserve">Le problème de l’information</w:t>
      </w:r>
    </w:p>
    <w:p>
      <w:pPr>
        <w:pStyle w:val="FirstParagraph"/>
      </w:pPr>
      <w:r>
        <w:t xml:space="preserve">Le programme dépendait de factures approuvées, mais le processus de facturation de Northbridge était incohérent. La facture médiane était approuvée en huit jours, tandis que 17 % prenaient plus de 20 jours. Les causes courantes incluaient des litiges de quantité, des registres de réception manquants, des discordances de prix et des factures envoyées à la mauvaise entité. Un fournisseur ne pouvait pas demander un paiement anticipé avant l’approbation, de sorte qu’un processus lent pouvait annuler une grande partie du bénéfice.</w:t>
      </w:r>
    </w:p>
    <w:p>
      <w:pPr>
        <w:pStyle w:val="BodyText"/>
      </w:pPr>
      <w:r>
        <w:t xml:space="preserve">L’entreprise manquait également d’une mesure fiable de la santé financière des fournisseurs. Les achats recueillaient des questionnaires annuels, des scores de crédit commercial, des résultats de qualité, des performances de livraison et des observations informelles des acheteurs. Ces sources se contredisaient parfois. Un fournisseur avec un score de crédit faible n’avait jamais manqué une expédition en douze ans. Un autre avec des états financiers solides avait récemment perdu son directeur d’usine et connaissait un fort roulement de personnel. Chen se demandait si Northbridge devrait interroger directement les fournisseurs sur leurs besoins de trésorerie, mais les achats craignaient que les fournisseurs ne cachent leur détresse ou ne l’exagèrent pour obtenir un traitement favorable.</w:t>
      </w:r>
    </w:p>
    <w:p>
      <w:pPr>
        <w:pStyle w:val="BodyText"/>
      </w:pPr>
      <w:r>
        <w:t xml:space="preserve">La banque proposait d’intégrer les données de compte, l’historique des factures, les registres d’expédition et les scores de risque externes. La plateforme pourrait signaler des factures en double inhabituelles, une concentration ou des changements rapides de comportement de paiement. Le service juridique avertissait que de fausses alertes pourraient nuire aux relations avec les fournisseurs, tandis que des alertes manquées pourraient créer un faux sentiment de sécurité. Le personnel de cybersécurité estimait une mise en œuvre de neuf mois si le programme utilisait une intégration complète, contre quatre mois pour un lancement plus limité basé sur des fichiers.</w:t>
      </w:r>
    </w:p>
    <w:bookmarkStart w:id="17" w:name="X589c3df5af138cb315e867f5de6077a716d8b31"/>
    <w:p>
      <w:pPr>
        <w:pStyle w:val="Heading2"/>
      </w:pPr>
      <w:r>
        <w:t xml:space="preserve">Exhibit 5. Indicateurs de facturation et de risque fournisseur</w:t>
      </w:r>
    </w:p>
    <w:tbl>
      <w:tblPr>
        <w:tblStyle w:val="Table"/>
        <w:tblW w:type="pct" w:w="4898"/>
        <w:tblLayout w:type="fixed"/>
        <w:tblLook w:firstRow="1" w:lastRow="0" w:firstColumn="0" w:lastColumn="0" w:noHBand="0" w:noVBand="0" w:val="0020"/>
      </w:tblPr>
      <w:tblGrid>
        <w:gridCol w:w="4202"/>
        <w:gridCol w:w="1373"/>
        <w:gridCol w:w="2182"/>
      </w:tblGrid>
      <w:tr>
        <w:trPr>
          <w:tblHeader w:val="on"/>
        </w:trPr>
        <w:tc>
          <w:tcPr/>
          <w:p>
            <w:pPr>
              <w:pStyle w:val="Compact"/>
              <w:jc w:val="left"/>
            </w:pPr>
            <w:r>
              <w:t xml:space="preserve">Indicateur</w:t>
            </w:r>
          </w:p>
        </w:tc>
        <w:tc>
          <w:tcPr/>
          <w:p>
            <w:pPr>
              <w:pStyle w:val="Compact"/>
              <w:jc w:val="right"/>
            </w:pPr>
            <w:r>
              <w:t xml:space="preserve">Résultat actuel</w:t>
            </w:r>
          </w:p>
        </w:tc>
        <w:tc>
          <w:tcPr/>
          <w:p>
            <w:pPr>
              <w:pStyle w:val="Compact"/>
              <w:jc w:val="right"/>
            </w:pPr>
            <w:r>
              <w:t xml:space="preserve">Objectif proposé pour la première année</w:t>
            </w:r>
          </w:p>
        </w:tc>
      </w:tr>
      <w:tr>
        <w:tc>
          <w:tcPr/>
          <w:p>
            <w:pPr>
              <w:pStyle w:val="Compact"/>
              <w:jc w:val="left"/>
            </w:pPr>
            <w:r>
              <w:t xml:space="preserve">Délai médian d’approbation des factures</w:t>
            </w:r>
          </w:p>
        </w:tc>
        <w:tc>
          <w:tcPr/>
          <w:p>
            <w:pPr>
              <w:pStyle w:val="Compact"/>
              <w:jc w:val="right"/>
            </w:pPr>
            <w:r>
              <w:t xml:space="preserve">8 jours</w:t>
            </w:r>
          </w:p>
        </w:tc>
        <w:tc>
          <w:tcPr/>
          <w:p>
            <w:pPr>
              <w:pStyle w:val="Compact"/>
              <w:jc w:val="right"/>
            </w:pPr>
            <w:r>
              <w:t xml:space="preserve">3 jours</w:t>
            </w:r>
          </w:p>
        </w:tc>
      </w:tr>
      <w:tr>
        <w:tc>
          <w:tcPr/>
          <w:p>
            <w:pPr>
              <w:pStyle w:val="Compact"/>
              <w:jc w:val="left"/>
            </w:pPr>
            <w:r>
              <w:t xml:space="preserve">Factures approuvées après 20 jours</w:t>
            </w:r>
          </w:p>
        </w:tc>
        <w:tc>
          <w:tcPr/>
          <w:p>
            <w:pPr>
              <w:pStyle w:val="Compact"/>
              <w:jc w:val="right"/>
            </w:pPr>
            <w:r>
              <w:t xml:space="preserve">17 %</w:t>
            </w:r>
          </w:p>
        </w:tc>
        <w:tc>
          <w:tcPr/>
          <w:p>
            <w:pPr>
              <w:pStyle w:val="Compact"/>
              <w:jc w:val="right"/>
            </w:pPr>
            <w:r>
              <w:t xml:space="preserve">Inférieur à 5 %</w:t>
            </w:r>
          </w:p>
        </w:tc>
      </w:tr>
      <w:tr>
        <w:tc>
          <w:tcPr/>
          <w:p>
            <w:pPr>
              <w:pStyle w:val="Compact"/>
              <w:jc w:val="left"/>
            </w:pPr>
            <w:r>
              <w:t xml:space="preserve">Factures contestées après approbation</w:t>
            </w:r>
          </w:p>
        </w:tc>
        <w:tc>
          <w:tcPr/>
          <w:p>
            <w:pPr>
              <w:pStyle w:val="Compact"/>
              <w:jc w:val="right"/>
            </w:pPr>
            <w:r>
              <w:t xml:space="preserve">2,8 %</w:t>
            </w:r>
          </w:p>
        </w:tc>
        <w:tc>
          <w:tcPr/>
          <w:p>
            <w:pPr>
              <w:pStyle w:val="Compact"/>
              <w:jc w:val="right"/>
            </w:pPr>
            <w:r>
              <w:t xml:space="preserve">Inférieur à 1 %</w:t>
            </w:r>
          </w:p>
        </w:tc>
      </w:tr>
      <w:tr>
        <w:tc>
          <w:tcPr/>
          <w:p>
            <w:pPr>
              <w:pStyle w:val="Compact"/>
              <w:jc w:val="left"/>
            </w:pPr>
            <w:r>
              <w:t xml:space="preserve">Fournisseurs critiques avec données financières</w:t>
            </w:r>
            <w:r>
              <w:t xml:space="preserve"> </w:t>
            </w:r>
            <w:r>
              <w:t xml:space="preserve">actuelles</w:t>
            </w:r>
          </w:p>
        </w:tc>
        <w:tc>
          <w:tcPr/>
          <w:p>
            <w:pPr>
              <w:pStyle w:val="Compact"/>
              <w:jc w:val="right"/>
            </w:pPr>
            <w:r>
              <w:t xml:space="preserve">61 %</w:t>
            </w:r>
          </w:p>
        </w:tc>
        <w:tc>
          <w:tcPr/>
          <w:p>
            <w:pPr>
              <w:pStyle w:val="Compact"/>
              <w:jc w:val="right"/>
            </w:pPr>
            <w:r>
              <w:t xml:space="preserve">90 %</w:t>
            </w:r>
          </w:p>
        </w:tc>
      </w:tr>
      <w:tr>
        <w:tc>
          <w:tcPr/>
          <w:p>
            <w:pPr>
              <w:pStyle w:val="Compact"/>
              <w:jc w:val="left"/>
            </w:pPr>
            <w:r>
              <w:t xml:space="preserve">Fournisseurs critiques avec qualification</w:t>
            </w:r>
            <w:r>
              <w:t xml:space="preserve"> </w:t>
            </w:r>
            <w:r>
              <w:t xml:space="preserve">de double source</w:t>
            </w:r>
          </w:p>
        </w:tc>
        <w:tc>
          <w:tcPr/>
          <w:p>
            <w:pPr>
              <w:pStyle w:val="Compact"/>
              <w:jc w:val="right"/>
            </w:pPr>
            <w:r>
              <w:t xml:space="preserve">38 %</w:t>
            </w:r>
          </w:p>
        </w:tc>
        <w:tc>
          <w:tcPr/>
          <w:p>
            <w:pPr>
              <w:pStyle w:val="Compact"/>
              <w:jc w:val="right"/>
            </w:pPr>
            <w:r>
              <w:t xml:space="preserve">50 %</w:t>
            </w:r>
          </w:p>
        </w:tc>
      </w:tr>
      <w:tr>
        <w:tc>
          <w:tcPr/>
          <w:p>
            <w:pPr>
              <w:pStyle w:val="Compact"/>
              <w:jc w:val="left"/>
            </w:pPr>
            <w:r>
              <w:t xml:space="preserve">Fournisseurs signalant une tension de trésorerie</w:t>
            </w:r>
            <w:r>
              <w:t xml:space="preserve"> </w:t>
            </w:r>
            <w:r>
              <w:t xml:space="preserve">lors du dernier examen</w:t>
            </w:r>
          </w:p>
        </w:tc>
        <w:tc>
          <w:tcPr/>
          <w:p>
            <w:pPr>
              <w:pStyle w:val="Compact"/>
              <w:jc w:val="right"/>
            </w:pPr>
            <w:r>
              <w:t xml:space="preserve">29 %</w:t>
            </w:r>
          </w:p>
        </w:tc>
        <w:tc>
          <w:tcPr/>
          <w:p>
            <w:pPr>
              <w:pStyle w:val="Compact"/>
              <w:jc w:val="right"/>
            </w:pPr>
            <w:r>
              <w:t xml:space="preserve">Non établi</w:t>
            </w:r>
          </w:p>
        </w:tc>
      </w:tr>
    </w:tbl>
    <w:bookmarkEnd w:id="17"/>
    <w:bookmarkEnd w:id="18"/>
    <w:bookmarkStart w:id="19" w:name="X4e19ab340b895b6f42095cb7cb130f6dc96410d"/>
    <w:p>
      <w:pPr>
        <w:pStyle w:val="Heading1"/>
      </w:pPr>
      <w:r>
        <w:t xml:space="preserve">Une décision avant la réunion du conseil d’administration</w:t>
      </w:r>
    </w:p>
    <w:p>
      <w:pPr>
        <w:pStyle w:val="FirstParagraph"/>
      </w:pPr>
      <w:r>
        <w:t xml:space="preserve">Le comité des finances du conseil se réunirait dans neuf jours. Chen devait recommander si Northbridge devait lancer le programme de financement des fournisseurs, dans quelle mesure il devait s’appliquer, si les délais de paiement devaient changer, et quelles actions complémentaires étaient nécessaires. La banque souhaitait une lettre d’intention signée avant la fin du mois pour réserver une capacité de mise en œuvre. AlloyWorks souhaitait une réponse dans les deux semaines.</w:t>
      </w:r>
    </w:p>
    <w:p>
      <w:pPr>
        <w:pStyle w:val="BodyText"/>
      </w:pPr>
      <w:r>
        <w:t xml:space="preserve">L’équipe de Chen a produit un scénario défavorable dans lequel la demande des clients diminuait de 12 %, un client majeur payait avec 45 jours de retard, et les coûts tarifaires augmentaient de 38 millions de dollars supplémentaires. Dans ce scénario, la liquidité disponible de Northbridge pourrait tomber en dessous du minimum interne, à moins qu’elle ne retarde l’expansion de l’usine, ne tire sur son crédit renouvelable, ou n’étende les délais de paiement des fournisseurs. Un autre scénario supposait une forte demande mais la défaillance de deux fournisseurs critiques, provoquant des retards de production et du fret premium. Dans ce cas, préserver la trésorerie de Northbridge offrirait peu de réconfort si l’entreprise ne pouvait pas expédier ses produits finis.</w:t>
      </w:r>
    </w:p>
    <w:p>
      <w:pPr>
        <w:pStyle w:val="BodyText"/>
      </w:pPr>
      <w:r>
        <w:t xml:space="preserve">Aucune option ne séparait la performance financière des conséquences opérationnelles. Payer les fournisseurs plus rapidement pourrait renforcer le réseau mais affaiblir la propre position de trésorerie de Northbridge. Étendre les délais pourrait améliorer le fonds de roulement déclaré mais transférer le risque vers des entreprises ayant moins accès au crédit. L’assurance et la couverture pourraient réduire certaines expositions sélectionnées tout en introduisant des primes, des franchises, un risque de base et une complexité contractuelle. Détenir plus de trésorerie améliorerait la résilience mais entrerait en concurrence avec les dividendes, la réduction de la dette, l’automatisation et l’investissement dans les usines.</w:t>
      </w:r>
    </w:p>
    <w:p>
      <w:pPr>
        <w:pStyle w:val="BodyText"/>
      </w:pPr>
      <w:r>
        <w:t xml:space="preserve">À 18 h 30 ce soir-là, Chen révisa les diapositives préliminaires du conseil. Une page montrait le bénéfice de trésorerie projeté d’un programme à 90 jours. Une autre montrait le chiffre d’affaires dépendant des fournisseurs vulnérables. Une troisième listait les lacunes d’assurance et les expositions de change. Chaque page était convaincante en elle-même ; ensemble, elles ne produisaient pas de réponse évidente. Elle supprima la diapositive de recommandation et recommença.</w:t>
      </w:r>
    </w:p>
    <w:bookmarkEnd w:id="19"/>
    <w:bookmarkStart w:id="20" w:name="questions-de-discussion"/>
    <w:p>
      <w:pPr>
        <w:pStyle w:val="Heading1"/>
      </w:pPr>
      <w:r>
        <w:t xml:space="preserve">Questions de discussion</w:t>
      </w:r>
    </w:p>
    <w:p>
      <w:pPr>
        <w:numPr>
          <w:ilvl w:val="0"/>
          <w:numId w:val="1001"/>
        </w:numPr>
      </w:pPr>
      <w:r>
        <w:t xml:space="preserve">Quel est le problème central auquel Northbridge est confronté, et pourquoi est-il plus large que le simple choix d’adopter une plateforme de financement des fournisseurs ?</w:t>
      </w:r>
    </w:p>
    <w:p>
      <w:pPr>
        <w:numPr>
          <w:ilvl w:val="0"/>
          <w:numId w:val="1001"/>
        </w:numPr>
      </w:pPr>
      <w:r>
        <w:t xml:space="preserve">Quels fournisseurs devraient recevoir la priorité, et quelles informations devraient déterminer l’éligibilité ou le soutien de l’entreprise ?</w:t>
      </w:r>
    </w:p>
    <w:p>
      <w:pPr>
        <w:numPr>
          <w:ilvl w:val="0"/>
          <w:numId w:val="1001"/>
        </w:numPr>
      </w:pPr>
      <w:r>
        <w:t xml:space="preserve">Comment Northbridge devrait-elle comparer la valeur de la rétention de trésorerie avec le risque d’affaiblir des fournisseurs financièrement vulnérables ?</w:t>
      </w:r>
    </w:p>
    <w:p>
      <w:pPr>
        <w:numPr>
          <w:ilvl w:val="0"/>
          <w:numId w:val="1001"/>
        </w:numPr>
      </w:pPr>
      <w:r>
        <w:t xml:space="preserve">Les délais de paiement devraient-ils être étendus pour les fournisseurs pouvant obtenir un paiement anticipé via la banque ? Pourquoi ou pourquoi pas ?</w:t>
      </w:r>
    </w:p>
    <w:p>
      <w:pPr>
        <w:numPr>
          <w:ilvl w:val="0"/>
          <w:numId w:val="1001"/>
        </w:numPr>
      </w:pPr>
      <w:r>
        <w:t xml:space="preserve">Comment la rapidité d’approbation des factures devrait-elle influencer la conception et le calendrier du programme ?</w:t>
      </w:r>
    </w:p>
    <w:p>
      <w:pPr>
        <w:numPr>
          <w:ilvl w:val="0"/>
          <w:numId w:val="1001"/>
        </w:numPr>
      </w:pPr>
      <w:r>
        <w:t xml:space="preserve">Quels risques financiers Northbridge devrait-elle assurer ou couvrir, et lesquels devrait-elle conserver ?</w:t>
      </w:r>
    </w:p>
    <w:p>
      <w:pPr>
        <w:numPr>
          <w:ilvl w:val="0"/>
          <w:numId w:val="1001"/>
        </w:numPr>
      </w:pPr>
      <w:r>
        <w:t xml:space="preserve">Comment l’entreprise devrait-elle traiter les fournisseurs qui sont opérationnellement critiques mais échouent aux filtres financiers ou de conformité de la banque ?</w:t>
      </w:r>
    </w:p>
    <w:p>
      <w:pPr>
        <w:numPr>
          <w:ilvl w:val="0"/>
          <w:numId w:val="1001"/>
        </w:numPr>
      </w:pPr>
      <w:r>
        <w:t xml:space="preserve">Que pourrait-il se passer si Northbridge dépend fortement d’une seule banque ou d’une seule plateforme numérique ?</w:t>
      </w:r>
    </w:p>
    <w:p>
      <w:pPr>
        <w:numPr>
          <w:ilvl w:val="0"/>
          <w:numId w:val="1001"/>
        </w:numPr>
      </w:pPr>
      <w:r>
        <w:t xml:space="preserve">Quelles données ou quel projet pilote supplémentaires seraient les plus précieux avant de prendre un engagement plus large ?</w:t>
      </w:r>
    </w:p>
    <w:p>
      <w:pPr>
        <w:numPr>
          <w:ilvl w:val="0"/>
          <w:numId w:val="1001"/>
        </w:numPr>
      </w:pPr>
      <w:r>
        <w:t xml:space="preserve">Quelles actions Chen devrait-elle recommander immédiatement, et quelles décisions devraient rester conditionnelles à des événements futurs ?</w:t>
      </w:r>
    </w:p>
    <w:bookmarkEnd w:id="20"/>
    <w:bookmarkStart w:id="26"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définir la portée du problème.</w:t>
      </w:r>
    </w:p>
    <w:p>
      <w:pPr>
        <w:numPr>
          <w:ilvl w:val="0"/>
          <w:numId w:val="1002"/>
        </w:numPr>
      </w:pPr>
      <w:r>
        <w:t xml:space="preserve">Utilisez l’</w:t>
      </w:r>
      <w:hyperlink r:id="rId21">
        <w:r>
          <w:rPr>
            <w:rStyle w:val="Hyperlink"/>
          </w:rPr>
          <w:t xml:space="preserve">outil de pyramide des métriques</w:t>
        </w:r>
      </w:hyperlink>
      <w:r>
        <w:t xml:space="preserve"> </w:t>
      </w:r>
      <w:r>
        <w:t xml:space="preserve">pour identifier et prioriser les différentes métriques de performance. Cliquez sur l’ovale contenant la métrique pour indiquer s’il s’agit d’une métrique à maximiser (vert), à minimiser (rouge), d’une cible qui est un plancher (vert clair) ou un plafond (rouge clair), ou enfin d’une cible (violet).</w:t>
      </w:r>
    </w:p>
    <w:p>
      <w:pPr>
        <w:numPr>
          <w:ilvl w:val="0"/>
          <w:numId w:val="1002"/>
        </w:numPr>
      </w:pPr>
      <w:r>
        <w:t xml:space="preserve">Utilisez l’</w:t>
      </w:r>
      <w:hyperlink r:id="rId22">
        <w:r>
          <w:rPr>
            <w:rStyle w:val="Hyperlink"/>
          </w:rPr>
          <w:t xml:space="preserve">outil de priorisation des décisions</w:t>
        </w:r>
      </w:hyperlink>
      <w:r>
        <w:t xml:space="preserve"> </w:t>
      </w:r>
      <w:r>
        <w:t xml:space="preserve">pour d’abord lister les différents types de décisions (utilisez les</w:t>
      </w:r>
      <w:r>
        <w:t xml:space="preserve"> </w:t>
      </w:r>
      <w:hyperlink r:id="rId23">
        <w:r>
          <w:rPr>
            <w:rStyle w:val="Hyperlink"/>
          </w:rPr>
          <w:t xml:space="preserve">types de décisions</w:t>
        </w:r>
      </w:hyperlink>
      <w:r>
        <w:t xml:space="preserve"> </w:t>
      </w:r>
      <w:r>
        <w:t xml:space="preserve">comme guide). Celles-ci alimenteront ensuite les lignes de la matrice à droite, où les colonnes sont les métriques de performance triées de gauche à droite selon la priorité dans la pyramide ci-dessus. Cliquez sur chaque cellule pour indiquer si l’impact de la décision sur chaque métrique est élevé (rouge), moyen (orange), faible (jaune) ou nul (blanc).</w:t>
      </w:r>
    </w:p>
    <w:p>
      <w:pPr>
        <w:numPr>
          <w:ilvl w:val="0"/>
          <w:numId w:val="1002"/>
        </w:numPr>
      </w:pPr>
      <w:r>
        <w:t xml:space="preserve">Vous pouvez saisir la poignée (trois barres) la plus à gauche sur chaque ligne pour la déplacer vers le haut ou vers le bas. Triez les lignes de manière à ce que les décisions ayant le plus grand impact sur les métriques les plus importantes se trouvent vers le haut. Les cellules du coin supérieur gauche devraient avoir la plus grande concentration de cellules rouges et orange. À ce stade, identifiez les décisions qui devraient recevoir le plus d’attention dans votre étude. Si vous n’avez aucune décision ayant un impact moyen ou élevé sur les métriques les plus importantes, révisez votre liste de décisions.</w:t>
      </w:r>
    </w:p>
    <w:p>
      <w:pPr>
        <w:numPr>
          <w:ilvl w:val="0"/>
          <w:numId w:val="1002"/>
        </w:numPr>
      </w:pPr>
      <w:r>
        <w:t xml:space="preserve">Répétez le processus pour lister et prioriser les incertitudes en utilisant l’</w:t>
      </w:r>
      <w:hyperlink r:id="rId24">
        <w:r>
          <w:rPr>
            <w:rStyle w:val="Hyperlink"/>
          </w:rPr>
          <w:t xml:space="preserve">outil de priorisation des incertitudes</w:t>
        </w:r>
      </w:hyperlink>
      <w:r>
        <w:t xml:space="preserve">. Utilisez les</w:t>
      </w:r>
      <w:r>
        <w:t xml:space="preserve"> </w:t>
      </w:r>
      <w:hyperlink r:id="rId25">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comme des événements de risque :</w:t>
      </w:r>
    </w:p>
    <w:p>
      <w:pPr>
        <w:numPr>
          <w:ilvl w:val="1"/>
          <w:numId w:val="1003"/>
        </w:numPr>
      </w:pPr>
      <w:r>
        <w:t xml:space="preserve">Quelles sources d’incertitude seraient saisies en utilisant la performance moyenne dans le temps ?</w:t>
      </w:r>
    </w:p>
    <w:p>
      <w:pPr>
        <w:numPr>
          <w:ilvl w:val="1"/>
          <w:numId w:val="1003"/>
        </w:numPr>
      </w:pPr>
      <w:r>
        <w:t xml:space="preserve">Quelles sources d’incertitude représentent des formes de risque qui ne sont pas correctement saisies en utilisant des moyennes ?</w:t>
      </w:r>
    </w:p>
    <w:p>
      <w:pPr>
        <w:numPr>
          <w:ilvl w:val="0"/>
          <w:numId w:val="1002"/>
        </w:numPr>
      </w:pPr>
      <w:r>
        <w:t xml:space="preserve">Choisissez la seule décision qui semble avoir l’impact le plus élevé sur la métrique la plus importante.</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toute métrique de performance pour laquelle la décision aurait un impact élevé ou moyen.</w:t>
      </w:r>
    </w:p>
    <w:p>
      <w:pPr>
        <w:numPr>
          <w:ilvl w:val="0"/>
          <w:numId w:val="1002"/>
        </w:numPr>
      </w:pPr>
      <w:r>
        <w:t xml:space="preserve">En utilisant la même décision que celle identifiée en (7), identifiez les personnes, départements, groupes ou organisations avec lesquels vous devriez travailler pour mettre en œuvre la décision.</w:t>
      </w:r>
    </w:p>
    <w:bookmarkEnd w:id="26"/>
    <w:bookmarkStart w:id="27" w:name="notes-de-source"/>
    <w:p>
      <w:pPr>
        <w:pStyle w:val="Heading1"/>
      </w:pPr>
      <w:r>
        <w:t xml:space="preserve">Notes de source</w:t>
      </w:r>
    </w:p>
    <w:p>
      <w:pPr>
        <w:pStyle w:val="FirstParagraph"/>
      </w:pPr>
      <w:r>
        <w:t xml:space="preserve">Warren B. Powell, « Supply Chain Finance », Chapitre 2, Bridging Decision Problems, Volume I : Framing the Problem. La section décrit l’approbation des factures, le paiement anticipé, le paiement à échéance, les choix de financement et d’assurance, la gestion de trésorerie, l’allocation de capital, et l’incertitude impliquant les défauts, les devises, les tarifs douaniers, les ventes, les taux d’intérêt et les marchés du crédit.</w:t>
      </w:r>
    </w:p>
    <w:p>
      <w:pPr>
        <w:pStyle w:val="BodyText"/>
      </w:pPr>
      <w:r>
        <w:t xml:space="preserve">Federal Reserve Banks, 2026 Report on Employer Firms: Findings from the 2025 Small Business Credit Survey, 3 mars 2026. L’enquête a révélé que 60 % des entreprises avaient demandé un financement, que 42 % avaient reçu le montant total sollicité, et que les difficultés de coûts liées aux tarifs douaniers étaient particulièrement courantes chez les fabricants.</w:t>
      </w:r>
    </w:p>
    <w:p>
      <w:pPr>
        <w:pStyle w:val="BodyText"/>
      </w:pPr>
      <w:r>
        <w:t xml:space="preserve">Secured Finance Network, « The Growing Impact of Supply Chain Finance: Insights from SFNet’s 2025 Market Sizing Study ». L’étude a estimé qu’environ 12 % des créances commerciales américaines étaient financées par des dispositifs de financement de la chaîne d’approvisionnement en 2024, représentant un marché annuel d’environ 2 560 milliards de dollars.</w:t>
      </w:r>
    </w:p>
    <w:p>
      <w:pPr>
        <w:pStyle w:val="BodyText"/>
      </w:pPr>
      <w:r>
        <w:t xml:space="preserve">International Finance Corporation, « Scaling Up Supply Chain Finance Could Unlock Billions for SMEs », septembre 2025. L’IFC a estimé que l’écart mondial de financement du commerce avait atteint 2 500 milliards de dollars et a souligné les contraintes de fonds de roulement auxquelles sont confrontés les fournisseurs plus petits.</w:t>
      </w:r>
    </w:p>
    <w:bookmarkEnd w:id="27"/>
    <w:bookmarkStart w:id="30" w:name="notes-chatgpt"/>
    <w:p>
      <w:pPr>
        <w:pStyle w:val="Heading1"/>
      </w:pPr>
      <w:r>
        <w:t xml:space="preserve">Notes ChatGPT</w:t>
      </w:r>
    </w:p>
    <w:bookmarkStart w:id="28" w:name="invite"/>
    <w:p>
      <w:pPr>
        <w:pStyle w:val="Heading2"/>
      </w:pPr>
      <w:r>
        <w:t xml:space="preserve">Invite</w:t>
      </w:r>
    </w:p>
    <w:p>
      <w:pPr>
        <w:pStyle w:val="FirstParagraph"/>
      </w:pPr>
      <w:r>
        <w:t xml:space="preserve">Rédigez une étude de cas de 4 à 6 pages basée sur le contenu de la section à l’adresse https://warrenpowell.org/bridging-vol1/chapter-2/#supplychainfinance. Créez un contexte fondé sur les métriques, les décisions et les incertitudes présentes dans la section, mais sans attirer explicitement l’attention sur elles. Motivez votre problème d’étude de cas avec des données.</w:t>
      </w:r>
    </w:p>
    <w:bookmarkEnd w:id="28"/>
    <w:bookmarkStart w:id="29" w:name="résumé"/>
    <w:p>
      <w:pPr>
        <w:pStyle w:val="Heading2"/>
      </w:pPr>
      <w:r>
        <w:t xml:space="preserve">Résumé</w:t>
      </w:r>
    </w:p>
    <w:p>
      <w:pPr>
        <w:pStyle w:val="FirstParagraph"/>
      </w:pPr>
      <w:r>
        <w:t xml:space="preserve">L’étude de cas suit un fabricant fictif dont les fournisseurs demandent un paiement plus rapide, tandis que l’entreprise tente de préserver sa trésorerie, d’absorber les coûts liés aux tarifs douaniers, de financer des stocks supplémentaires et de maintenir sa position de crédit. Elle examine le financement des fournisseurs, les décotes de paiement anticipé, les délais de paiement, l’approbation des factures, l’assurance, la couverture de change, les réserves de trésorerie et le soutien aux fournisseurs financièrement vulnérables, sans identifier de solution privilégiée.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2026-09-11T15:50:10Z</dcterms:created>
  <dcterms:modified xsi:type="dcterms:W3CDTF">2026-09-11T15:50:10Z</dcterms:modified>
</cp:coreProperties>
</file>

<file path=docProps/custom.xml><?xml version="1.0" encoding="utf-8"?>
<Properties xmlns="http://schemas.openxmlformats.org/officeDocument/2006/custom-properties" xmlns:vt="http://schemas.openxmlformats.org/officeDocument/2006/docPropsVTypes"/>
</file>