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Northstar Living : Le Pari sur les Stocks</w:t>
      </w:r>
    </w:p>
    <w:p>
      <w:pPr>
        <w:pStyle w:val="BodyText"/>
      </w:pPr>
      <w:r>
        <w:t xml:space="preserve">Un cas pédagogique sur la planification des stocks à long délai d’approvisionnement</w:t>
      </w:r>
    </w:p>
    <w:p>
      <w:pPr>
        <w:pStyle w:val="BodyText"/>
      </w:pPr>
      <w:r>
        <w:t xml:space="preserve">Ce cas est fictif et destiné à des fins de discussion pédagogique. Les noms, événements, organisations et données opérationnelles sont inventés, bien que le contexte industriel s’appuie sur des sources publiques.</w:t>
      </w:r>
    </w:p>
    <w:p>
      <w:pPr>
        <w:pStyle w:val="BodyText"/>
      </w:pPr>
      <w:r>
        <w:t xml:space="preserve">Fin juillet 2026, Maya Chen, directrice des opérations de Northstar Living, faisait face à une décision qui paraissait simple sur un tableur et de plus en plus dangereuse en pratique. L’entreprise devait s’engager sur les achats de la saison des fêtes pour ses produits à la croissance la plus rapide avant de savoir si la demande des consommateurs serait forte, si les expéditions maritimes arriveraient à temps, ou avec quelle agressivité les concurrents allaient réduire les prix de produits similaires.</w:t>
      </w:r>
    </w:p>
    <w:p>
      <w:pPr>
        <w:pStyle w:val="BodyText"/>
      </w:pPr>
      <w:r>
        <w:t xml:space="preserve">Northstar vendait des appareils électroménagers compacts via son propre site web, les grandes places de marché en ligne, et 420 détaillants spécialisés. Ses produits — purificateurs d’air, machines à glaçons de comptoir, ventilateurs intelligents, et plaques de cuisson à induction compactes — étaient conçus aux États-Unis mais approvisionnés principalement auprès de fabricants sous contrat en Chine, au Vietnam et en Pologne. Les délais de réapprovisionnement typiques allaient de 7 à 11 semaines entre le bon de commande et la disponibilité du stock, et une perturbation dans un port ou une usine pouvait ajouter plusieurs semaines supplémentaires.</w:t>
      </w:r>
    </w:p>
    <w:p>
      <w:pPr>
        <w:pStyle w:val="BodyText"/>
      </w:pPr>
      <w:r>
        <w:t xml:space="preserve">Les enjeux ne cessaient de croître. Les ventes au détail américaines dans les magasins de meubles, d’articles d’ameublement, d’électronique et d’électroménager ont atteint environ 19,5 milliards de dollars en mai 2026, tandis que les stocks dans cette catégorie s’élevaient à environ 30,7 milliards de dollars. Le ratio stock/ventes désaisonnalisé correspondant était de 1,58. Dans l’ensemble de l’économie américaine, les fabricants et entreprises commerciales détenaient environ 2,74 billions de dollars de stocks en mai 2026. Ces chiffres suggéraient à la fois un marché de grande taille et le risque persistant d’immobiliser un capital important dans des biens qui pourraient ne pas se vendre comme prévu.</w:t>
      </w:r>
    </w:p>
    <w:bookmarkStart w:id="9" w:name="lengagement-des-fêtes"/>
    <w:p>
      <w:pPr>
        <w:pStyle w:val="Heading1"/>
      </w:pPr>
      <w:r>
        <w:t xml:space="preserve">L’engagement des fêtes</w:t>
      </w:r>
    </w:p>
    <w:p>
      <w:pPr>
        <w:pStyle w:val="FirstParagraph"/>
      </w:pPr>
      <w:r>
        <w:t xml:space="preserve">Northstar prévoyait que novembre et décembre génèreraient 31 pour cent du chiffre d’affaires annuel. Les partenaires de vente au détail voulaient des allocations fermes avant le 1er septembre, mais les fournisseurs exigeaient des engagements d’achat début août pour préserver les créneaux de production. L’équipe financière avait autorisé jusqu’à 42 millions de dollars de nouveaux achats de stocks, y compris le fret et les droits de douane. La proposition actuelle de la direction nécessitait 39,6 millions de dollars, laissant peu de marge pour le fret aérien d’urgence, des tarifs douaniers imprévus, ou une opportunité soudaine d’acheter auprès d’un fournisseur alternatif.</w:t>
      </w:r>
    </w:p>
    <w:p>
      <w:pPr>
        <w:pStyle w:val="BodyText"/>
      </w:pPr>
      <w:r>
        <w:t xml:space="preserve">L’entreprise avait terminé la saison des fêtes précédente avec deux résultats très différents. Elle s’est trouvée en rupture de stock de son purificateur d’air haut de gamme pendant une période de fumée intense d’incendies de forêt, perdant des ventes estimées et décevant plusieurs grands détaillants. Dans le même temps, elle a reporté 46 000 ventilateurs intelligents excédentaires en janvier et les a finalement soldés à 35 pour cent de réduction. La pénurie de purificateurs a aidé les concurrents à gagner de l’espace en rayon ; le surplus de ventilateurs a consommé de la capacité d’entrepôt et réduit la marge opérationnelle.</w:t>
      </w:r>
    </w:p>
    <w:tbl>
      <w:tblPr>
        <w:tblStyle w:val="Table"/>
        <w:tblW w:type="pct" w:w="4921"/>
        <w:tblLayout w:type="fixed"/>
        <w:tblLook w:firstRow="1" w:lastRow="0" w:firstColumn="0" w:lastColumn="0" w:noHBand="0" w:noVBand="0" w:val="0020"/>
      </w:tblPr>
      <w:tblGrid>
        <w:gridCol w:w="1697"/>
        <w:gridCol w:w="1005"/>
        <w:gridCol w:w="1194"/>
        <w:gridCol w:w="1005"/>
        <w:gridCol w:w="1634"/>
        <w:gridCol w:w="1257"/>
      </w:tblGrid>
      <w:tr>
        <w:trPr>
          <w:tblHeader w:val="on"/>
        </w:trPr>
        <w:tc>
          <w:tcPr/>
          <w:p>
            <w:pPr>
              <w:pStyle w:val="Compact"/>
              <w:jc w:val="left"/>
            </w:pPr>
            <w:r>
              <w:t xml:space="preserve">Produit</w:t>
            </w:r>
          </w:p>
        </w:tc>
        <w:tc>
          <w:tcPr/>
          <w:p>
            <w:pPr>
              <w:pStyle w:val="Compact"/>
              <w:jc w:val="right"/>
            </w:pPr>
            <w:r>
              <w:t xml:space="preserve">Commande prévue</w:t>
            </w:r>
          </w:p>
        </w:tc>
        <w:tc>
          <w:tcPr/>
          <w:p>
            <w:pPr>
              <w:pStyle w:val="Compact"/>
              <w:jc w:val="right"/>
            </w:pPr>
            <w:r>
              <w:t xml:space="preserve">Coût unitaire li</w:t>
            </w:r>
          </w:p>
        </w:tc>
        <w:tc>
          <w:tcPr/>
          <w:p>
            <w:pPr>
              <w:pStyle w:val="Compact"/>
            </w:pPr>
            <w:r>
              <w:t xml:space="preserve">vré Prix norma</w:t>
            </w:r>
          </w:p>
        </w:tc>
        <w:tc>
          <w:tcPr/>
          <w:p>
            <w:pPr>
              <w:pStyle w:val="Compact"/>
            </w:pPr>
            <w:r>
              <w:t xml:space="preserve">l Demande prévue pour le</w:t>
            </w:r>
          </w:p>
        </w:tc>
        <w:tc>
          <w:tcPr/>
          <w:p>
            <w:pPr>
              <w:pStyle w:val="Compact"/>
            </w:pPr>
            <w:r>
              <w:t xml:space="preserve">s fêtes Stock actuel</w:t>
            </w:r>
          </w:p>
        </w:tc>
      </w:tr>
      <w:tr>
        <w:tc>
          <w:tcPr/>
          <w:p>
            <w:pPr>
              <w:pStyle w:val="Compact"/>
              <w:jc w:val="left"/>
            </w:pPr>
            <w:r>
              <w:t xml:space="preserve">Purificateur PureAir Pro</w:t>
            </w:r>
          </w:p>
        </w:tc>
        <w:tc>
          <w:tcPr/>
          <w:p>
            <w:pPr>
              <w:pStyle w:val="Compact"/>
              <w:jc w:val="right"/>
            </w:pPr>
            <w:r>
              <w:t xml:space="preserve">92 000</w:t>
            </w:r>
          </w:p>
        </w:tc>
        <w:tc>
          <w:tcPr/>
          <w:p>
            <w:pPr>
              <w:pStyle w:val="Compact"/>
              <w:jc w:val="right"/>
            </w:pPr>
            <w:r>
              <w:t xml:space="preserve">142 $</w:t>
            </w:r>
          </w:p>
        </w:tc>
        <w:tc>
          <w:tcPr/>
          <w:p>
            <w:pPr>
              <w:pStyle w:val="Compact"/>
            </w:pPr>
            <w:r>
              <w:t xml:space="preserve">299 $</w:t>
            </w:r>
          </w:p>
        </w:tc>
        <w:tc>
          <w:tcPr/>
          <w:p>
            <w:pPr>
              <w:pStyle w:val="Compact"/>
            </w:pPr>
            <w:r>
              <w:t xml:space="preserve">105 000</w:t>
            </w:r>
          </w:p>
        </w:tc>
        <w:tc>
          <w:tcPr/>
          <w:p>
            <w:pPr>
              <w:pStyle w:val="Compact"/>
            </w:pPr>
            <w:r>
              <w:t xml:space="preserve">18 000</w:t>
            </w:r>
          </w:p>
        </w:tc>
      </w:tr>
      <w:tr>
        <w:tc>
          <w:tcPr/>
          <w:p>
            <w:pPr>
              <w:pStyle w:val="Compact"/>
              <w:jc w:val="left"/>
            </w:pPr>
            <w:r>
              <w:t xml:space="preserve">Machine à glaçons FrostBox</w:t>
            </w:r>
          </w:p>
        </w:tc>
        <w:tc>
          <w:tcPr/>
          <w:p>
            <w:pPr>
              <w:pStyle w:val="Compact"/>
              <w:jc w:val="right"/>
            </w:pPr>
            <w:r>
              <w:t xml:space="preserve">74 000</w:t>
            </w:r>
          </w:p>
        </w:tc>
        <w:tc>
          <w:tcPr/>
          <w:p>
            <w:pPr>
              <w:pStyle w:val="Compact"/>
              <w:jc w:val="right"/>
            </w:pPr>
            <w:r>
              <w:t xml:space="preserve">118 $</w:t>
            </w:r>
          </w:p>
        </w:tc>
        <w:tc>
          <w:tcPr/>
          <w:p>
            <w:pPr>
              <w:pStyle w:val="Compact"/>
            </w:pPr>
            <w:r>
              <w:t xml:space="preserve">249 $</w:t>
            </w:r>
          </w:p>
        </w:tc>
        <w:tc>
          <w:tcPr/>
          <w:p>
            <w:pPr>
              <w:pStyle w:val="Compact"/>
            </w:pPr>
            <w:r>
              <w:t xml:space="preserve">82 000</w:t>
            </w:r>
          </w:p>
        </w:tc>
        <w:tc>
          <w:tcPr/>
          <w:p>
            <w:pPr>
              <w:pStyle w:val="Compact"/>
            </w:pPr>
            <w:r>
              <w:t xml:space="preserve">13 500</w:t>
            </w:r>
          </w:p>
        </w:tc>
      </w:tr>
      <w:tr>
        <w:tc>
          <w:tcPr/>
          <w:p>
            <w:pPr>
              <w:pStyle w:val="Compact"/>
              <w:jc w:val="left"/>
            </w:pPr>
            <w:r>
              <w:t xml:space="preserve">Ventilateur intelligent Bre</w:t>
            </w:r>
          </w:p>
        </w:tc>
        <w:tc>
          <w:tcPr/>
          <w:p>
            <w:pPr>
              <w:pStyle w:val="Compact"/>
              <w:jc w:val="right"/>
            </w:pPr>
            <w:r>
              <w:t xml:space="preserve">ezeIQ 65 000</w:t>
            </w:r>
          </w:p>
        </w:tc>
        <w:tc>
          <w:tcPr/>
          <w:p>
            <w:pPr>
              <w:pStyle w:val="Compact"/>
              <w:jc w:val="right"/>
            </w:pPr>
            <w:r>
              <w:t xml:space="preserve">61 $</w:t>
            </w:r>
          </w:p>
        </w:tc>
        <w:tc>
          <w:tcPr/>
          <w:p>
            <w:pPr>
              <w:pStyle w:val="Compact"/>
            </w:pPr>
            <w:r>
              <w:t xml:space="preserve">139 $</w:t>
            </w:r>
          </w:p>
        </w:tc>
        <w:tc>
          <w:tcPr/>
          <w:p>
            <w:pPr>
              <w:pStyle w:val="Compact"/>
            </w:pPr>
            <w:r>
              <w:t xml:space="preserve">52 000</w:t>
            </w:r>
          </w:p>
        </w:tc>
        <w:tc>
          <w:tcPr/>
          <w:p>
            <w:pPr>
              <w:pStyle w:val="Compact"/>
            </w:pPr>
            <w:r>
              <w:t xml:space="preserve">21 000</w:t>
            </w:r>
          </w:p>
        </w:tc>
      </w:tr>
      <w:tr>
        <w:tc>
          <w:tcPr/>
          <w:p>
            <w:pPr>
              <w:pStyle w:val="Compact"/>
              <w:jc w:val="left"/>
            </w:pPr>
            <w:r>
              <w:t xml:space="preserve">Plaque à induction HeatPoin</w:t>
            </w:r>
          </w:p>
        </w:tc>
        <w:tc>
          <w:tcPr/>
          <w:p>
            <w:pPr>
              <w:pStyle w:val="Compact"/>
              <w:jc w:val="right"/>
            </w:pPr>
            <w:r>
              <w:t xml:space="preserve">t 48 000</w:t>
            </w:r>
          </w:p>
        </w:tc>
        <w:tc>
          <w:tcPr/>
          <w:p>
            <w:pPr>
              <w:pStyle w:val="Compact"/>
              <w:jc w:val="right"/>
            </w:pPr>
            <w:r>
              <w:t xml:space="preserve">87 $</w:t>
            </w:r>
          </w:p>
        </w:tc>
        <w:tc>
          <w:tcPr/>
          <w:p>
            <w:pPr>
              <w:pStyle w:val="Compact"/>
            </w:pPr>
            <w:r>
              <w:t xml:space="preserve">189 $</w:t>
            </w:r>
          </w:p>
        </w:tc>
        <w:tc>
          <w:tcPr/>
          <w:p>
            <w:pPr>
              <w:pStyle w:val="Compact"/>
            </w:pPr>
            <w:r>
              <w:t xml:space="preserve">55 000</w:t>
            </w:r>
          </w:p>
        </w:tc>
        <w:tc>
          <w:tcPr/>
          <w:p>
            <w:pPr>
              <w:pStyle w:val="Compact"/>
            </w:pPr>
            <w:r>
              <w:t xml:space="preserve">9 000</w:t>
            </w:r>
          </w:p>
        </w:tc>
      </w:tr>
    </w:tbl>
    <w:p>
      <w:pPr>
        <w:pStyle w:val="BodyText"/>
      </w:pPr>
      <w:r>
        <w:t xml:space="preserve">La prévision de demande n’était pas un chiffre unique. Le service des ventes estimait que le purificateur pourrait dépasser 125 000 unités si les conditions de fumée s’aggravaient ou si une campagne d’influenceurs prévue réussissait. Le service financier considérait 90 000 unités comme plausible si les dépenses de consommation s’affaiblissaient. Les détaillants pouvaient annuler jusqu’à 20 pour cent des commandes anticipées quatre semaines avant l’expédition. La demande en ligne arrivait sans avertissement préalable, et les clients attendaient rarement lorsqu’un article était indisponible.</w:t>
      </w:r>
    </w:p>
    <w:bookmarkEnd w:id="9"/>
    <w:bookmarkStart w:id="10" w:name="des-informations-qui-ne-saccordaient-pas"/>
    <w:p>
      <w:pPr>
        <w:pStyle w:val="Heading1"/>
      </w:pPr>
      <w:r>
        <w:t xml:space="preserve">Des informations qui ne s’accordaient pas</w:t>
      </w:r>
    </w:p>
    <w:p>
      <w:pPr>
        <w:pStyle w:val="FirstParagraph"/>
      </w:pPr>
      <w:r>
        <w:t xml:space="preserve">Le système de prévision de l’entreprise combinait les ventes historiques, les commandes des détaillants, le trafic web, les prix, les promotions, les indicateurs météorologiques, et le jugement des chefs de produit. La précision des prévisions s’était améliorée au niveau de la catégorie, mais les erreurs restaient élevées par produit et par semaine. Les responsables n’étaient pas d’accord sur la question de savoir si la prévision était erronée parce que le modèle était faible, parce que les plans marketing avaient changé après la production de la prévision, ou parce que les ruptures de stock avaient déformé l’historique des ventes utilisé pour l’entraîner.</w:t>
      </w:r>
    </w:p>
    <w:tbl>
      <w:tblPr>
        <w:tblStyle w:val="Table"/>
        <w:tblW w:type="pct" w:w="4896"/>
        <w:tblLayout w:type="fixed"/>
        <w:tblLook w:firstRow="1" w:lastRow="0" w:firstColumn="0" w:lastColumn="0" w:noHBand="0" w:noVBand="0" w:val="0020"/>
      </w:tblPr>
      <w:tblGrid>
        <w:gridCol w:w="2805"/>
        <w:gridCol w:w="1237"/>
        <w:gridCol w:w="1237"/>
        <w:gridCol w:w="1237"/>
        <w:gridCol w:w="1237"/>
      </w:tblGrid>
      <w:tr>
        <w:trPr>
          <w:tblHeader w:val="on"/>
        </w:trPr>
        <w:tc>
          <w:tcPr/>
          <w:p>
            <w:pPr>
              <w:pStyle w:val="Compact"/>
              <w:jc w:val="left"/>
            </w:pPr>
            <w:r>
              <w:t xml:space="preserve">Indicateur</w:t>
            </w:r>
          </w:p>
        </w:tc>
        <w:tc>
          <w:tcPr/>
          <w:p>
            <w:pPr>
              <w:pStyle w:val="Compact"/>
              <w:jc w:val="left"/>
            </w:pPr>
            <w:r>
              <w:t xml:space="preserve">PureAir</w:t>
            </w:r>
          </w:p>
        </w:tc>
        <w:tc>
          <w:tcPr/>
          <w:p>
            <w:pPr>
              <w:pStyle w:val="Compact"/>
              <w:jc w:val="left"/>
            </w:pPr>
            <w:r>
              <w:t xml:space="preserve">FrostBox</w:t>
            </w:r>
          </w:p>
        </w:tc>
        <w:tc>
          <w:tcPr/>
          <w:p>
            <w:pPr>
              <w:pStyle w:val="Compact"/>
              <w:jc w:val="left"/>
            </w:pPr>
            <w:r>
              <w:t xml:space="preserve">BreezeIQ</w:t>
            </w:r>
          </w:p>
        </w:tc>
        <w:tc>
          <w:tcPr/>
          <w:p>
            <w:pPr>
              <w:pStyle w:val="Compact"/>
              <w:jc w:val="left"/>
            </w:pPr>
            <w:r>
              <w:t xml:space="preserve">HeatPoint</w:t>
            </w:r>
          </w:p>
        </w:tc>
      </w:tr>
      <w:tr>
        <w:tc>
          <w:tcPr/>
          <w:p>
            <w:pPr>
              <w:pStyle w:val="Compact"/>
              <w:jc w:val="left"/>
            </w:pPr>
            <w:r>
              <w:t xml:space="preserve">Erreur de prévision, 12 derniers m</w:t>
            </w:r>
          </w:p>
        </w:tc>
        <w:tc>
          <w:tcPr/>
          <w:p>
            <w:pPr>
              <w:pStyle w:val="Compact"/>
              <w:jc w:val="left"/>
            </w:pPr>
            <w:r>
              <w:t xml:space="preserve">ois 24%</w:t>
            </w:r>
          </w:p>
        </w:tc>
        <w:tc>
          <w:tcPr/>
          <w:p>
            <w:pPr>
              <w:pStyle w:val="Compact"/>
              <w:jc w:val="left"/>
            </w:pPr>
            <w:r>
              <w:t xml:space="preserve">31%</w:t>
            </w:r>
          </w:p>
        </w:tc>
        <w:tc>
          <w:tcPr/>
          <w:p>
            <w:pPr>
              <w:pStyle w:val="Compact"/>
              <w:jc w:val="left"/>
            </w:pPr>
            <w:r>
              <w:t xml:space="preserve">38%</w:t>
            </w:r>
          </w:p>
        </w:tc>
        <w:tc>
          <w:tcPr/>
          <w:p>
            <w:pPr>
              <w:pStyle w:val="Compact"/>
              <w:jc w:val="left"/>
            </w:pPr>
            <w:r>
              <w:t xml:space="preserve">27%</w:t>
            </w:r>
          </w:p>
        </w:tc>
      </w:tr>
      <w:tr>
        <w:tc>
          <w:tcPr/>
          <w:p>
            <w:pPr>
              <w:pStyle w:val="Compact"/>
              <w:jc w:val="left"/>
            </w:pPr>
            <w:r>
              <w:t xml:space="preserve">Délai annoncé par le fournisseur</w:t>
            </w:r>
          </w:p>
        </w:tc>
        <w:tc>
          <w:tcPr/>
          <w:p>
            <w:pPr>
              <w:pStyle w:val="Compact"/>
              <w:jc w:val="left"/>
            </w:pPr>
            <w:r>
              <w:t xml:space="preserve">8 semaines</w:t>
            </w:r>
          </w:p>
        </w:tc>
        <w:tc>
          <w:tcPr/>
          <w:p>
            <w:pPr>
              <w:pStyle w:val="Compact"/>
              <w:jc w:val="left"/>
            </w:pPr>
            <w:r>
              <w:t xml:space="preserve">9 semaines</w:t>
            </w:r>
          </w:p>
        </w:tc>
        <w:tc>
          <w:tcPr/>
          <w:p>
            <w:pPr>
              <w:pStyle w:val="Compact"/>
              <w:jc w:val="left"/>
            </w:pPr>
            <w:r>
              <w:t xml:space="preserve">7 semaines</w:t>
            </w:r>
          </w:p>
        </w:tc>
        <w:tc>
          <w:tcPr/>
          <w:p>
            <w:pPr>
              <w:pStyle w:val="Compact"/>
              <w:jc w:val="left"/>
            </w:pPr>
            <w:r>
              <w:t xml:space="preserve">10 semaines</w:t>
            </w:r>
          </w:p>
        </w:tc>
      </w:tr>
      <w:tr>
        <w:tc>
          <w:tcPr/>
          <w:p>
            <w:pPr>
              <w:pStyle w:val="Compact"/>
              <w:jc w:val="left"/>
            </w:pPr>
            <w:r>
              <w:t xml:space="preserve">Plage observée l’année dernière</w:t>
            </w:r>
          </w:p>
        </w:tc>
        <w:tc>
          <w:tcPr/>
          <w:p>
            <w:pPr>
              <w:pStyle w:val="Compact"/>
              <w:jc w:val="left"/>
            </w:pPr>
            <w:r>
              <w:t xml:space="preserve">7-14 semaines</w:t>
            </w:r>
          </w:p>
        </w:tc>
        <w:tc>
          <w:tcPr/>
          <w:p>
            <w:pPr>
              <w:pStyle w:val="Compact"/>
              <w:jc w:val="left"/>
            </w:pPr>
            <w:r>
              <w:t xml:space="preserve">8-13 semaines</w:t>
            </w:r>
          </w:p>
        </w:tc>
        <w:tc>
          <w:tcPr/>
          <w:p>
            <w:pPr>
              <w:pStyle w:val="Compact"/>
              <w:jc w:val="left"/>
            </w:pPr>
            <w:r>
              <w:t xml:space="preserve">6-11 semaines</w:t>
            </w:r>
          </w:p>
        </w:tc>
        <w:tc>
          <w:tcPr/>
          <w:p>
            <w:pPr>
              <w:pStyle w:val="Compact"/>
              <w:jc w:val="left"/>
            </w:pPr>
            <w:r>
              <w:t xml:space="preserve">9-16 semaines</w:t>
            </w:r>
          </w:p>
        </w:tc>
      </w:tr>
      <w:tr>
        <w:tc>
          <w:tcPr/>
          <w:p>
            <w:pPr>
              <w:pStyle w:val="Compact"/>
              <w:jc w:val="left"/>
            </w:pPr>
            <w:r>
              <w:t xml:space="preserve">Marge brute au prix normal</w:t>
            </w:r>
          </w:p>
        </w:tc>
        <w:tc>
          <w:tcPr/>
          <w:p>
            <w:pPr>
              <w:pStyle w:val="Compact"/>
              <w:jc w:val="left"/>
            </w:pPr>
            <w:r>
              <w:t xml:space="preserve">52%</w:t>
            </w:r>
          </w:p>
        </w:tc>
        <w:tc>
          <w:tcPr/>
          <w:p>
            <w:pPr>
              <w:pStyle w:val="Compact"/>
              <w:jc w:val="left"/>
            </w:pPr>
            <w:r>
              <w:t xml:space="preserve">49%</w:t>
            </w:r>
          </w:p>
        </w:tc>
        <w:tc>
          <w:tcPr/>
          <w:p>
            <w:pPr>
              <w:pStyle w:val="Compact"/>
              <w:jc w:val="left"/>
            </w:pPr>
            <w:r>
              <w:t xml:space="preserve">56%</w:t>
            </w:r>
          </w:p>
        </w:tc>
        <w:tc>
          <w:tcPr/>
          <w:p>
            <w:pPr>
              <w:pStyle w:val="Compact"/>
              <w:jc w:val="left"/>
            </w:pPr>
            <w:r>
              <w:t xml:space="preserve">50%</w:t>
            </w:r>
          </w:p>
        </w:tc>
      </w:tr>
      <w:tr>
        <w:tc>
          <w:tcPr/>
          <w:p>
            <w:pPr>
              <w:pStyle w:val="Compact"/>
              <w:jc w:val="left"/>
            </w:pPr>
            <w:r>
              <w:t xml:space="preserve">Taux de retour attendu</w:t>
            </w:r>
          </w:p>
        </w:tc>
        <w:tc>
          <w:tcPr/>
          <w:p>
            <w:pPr>
              <w:pStyle w:val="Compact"/>
              <w:jc w:val="left"/>
            </w:pPr>
            <w:r>
              <w:t xml:space="preserve">5,1%</w:t>
            </w:r>
          </w:p>
        </w:tc>
        <w:tc>
          <w:tcPr/>
          <w:p>
            <w:pPr>
              <w:pStyle w:val="Compact"/>
              <w:jc w:val="left"/>
            </w:pPr>
            <w:r>
              <w:t xml:space="preserve">7,8%</w:t>
            </w:r>
          </w:p>
        </w:tc>
        <w:tc>
          <w:tcPr/>
          <w:p>
            <w:pPr>
              <w:pStyle w:val="Compact"/>
              <w:jc w:val="left"/>
            </w:pPr>
            <w:r>
              <w:t xml:space="preserve">4,2%</w:t>
            </w:r>
          </w:p>
        </w:tc>
        <w:tc>
          <w:tcPr/>
          <w:p>
            <w:pPr>
              <w:pStyle w:val="Compact"/>
              <w:jc w:val="left"/>
            </w:pPr>
            <w:r>
              <w:t xml:space="preserve">6,4%</w:t>
            </w:r>
          </w:p>
        </w:tc>
      </w:tr>
    </w:tbl>
    <w:p>
      <w:pPr>
        <w:pStyle w:val="BodyText"/>
      </w:pPr>
      <w:r>
        <w:t xml:space="preserve">Les registres de stocks contenaient également du bruit. Les inventaires physiques trimestriels avaient constaté des écarts allant de 1,3 à 3,8 pour cent selon l’entrepôt. Certaines unités étaient endommagées, retournées sans être correctement classées, ou réservées pour des promotions de détaillants qui furent ensuite annulées. Le groupe des opérations souhaitait installer une technologie supplémentaire de numérisation et de visibilité des expéditions, mais le projet de 1,2 million de dollars n’affecterait pas de manière significative la décision d’achat d’août.</w:t>
      </w:r>
    </w:p>
    <w:bookmarkEnd w:id="10"/>
    <w:bookmarkStart w:id="11" w:name="choix-dapprovisionnement"/>
    <w:p>
      <w:pPr>
        <w:pStyle w:val="Heading1"/>
      </w:pPr>
      <w:r>
        <w:t xml:space="preserve">Choix d’approvisionnement</w:t>
      </w:r>
    </w:p>
    <w:p>
      <w:pPr>
        <w:pStyle w:val="FirstParagraph"/>
      </w:pPr>
      <w:r>
        <w:t xml:space="preserve">Les fournisseurs principaux de Northstar offraient les coûts unitaires les plus bas mais exigeaient de grosses commandes en quantités de conteneurs complets. Un fabricant alternatif au Mexique pouvait produire deux produits avec un délai de quatre semaines, mais ses coûts étaient de 16 à 22 pour cent plus élevés et les rendements de qualité initiaux étaient incertains. Un fournisseur polonais proposait un purificateur haut de gamme avec de solides performances de qualité, mais les mouvements de devises et les perturbations du transport européen pouvaient modifier le coût rendu.</w:t>
      </w:r>
    </w:p>
    <w:p>
      <w:pPr>
        <w:pStyle w:val="BodyText"/>
      </w:pPr>
      <w:r>
        <w:t xml:space="preserve">Les choix de transport ajoutaient une couche supplémentaire. Le service maritime était le moins cher, mais la congestion portuaire, les tempêtes, les pannes d’équipement, les actions syndicales et les inspections douanières pouvaient retarder l’arrivée. Le rail depuis la côte ouest jusqu’au centre de distribution central de Northstar était moins coûteux que le service par camion complet mais plus lent et moins prévisible. Le fret aérien pouvait sauver une situation de pénurie, bien qu’il ajoutait de 34 $ à 57 $ par unité et n’était pas disponible en capacité suffisante pour une commande saisonnière entière.</w:t>
      </w:r>
    </w:p>
    <w:tbl>
      <w:tblPr>
        <w:tblStyle w:val="Table"/>
        <w:tblW w:type="pct" w:w="4920"/>
        <w:tblLayout w:type="fixed"/>
        <w:tblLook w:firstRow="1" w:lastRow="0" w:firstColumn="0" w:lastColumn="0" w:noHBand="0" w:noVBand="0" w:val="0020"/>
      </w:tblPr>
      <w:tblGrid>
        <w:gridCol w:w="1964"/>
        <w:gridCol w:w="1584"/>
        <w:gridCol w:w="1584"/>
        <w:gridCol w:w="2661"/>
      </w:tblGrid>
      <w:tr>
        <w:trPr>
          <w:tblHeader w:val="on"/>
        </w:trPr>
        <w:tc>
          <w:tcPr/>
          <w:p>
            <w:pPr>
              <w:pStyle w:val="Compact"/>
              <w:jc w:val="left"/>
            </w:pPr>
            <w:r>
              <w:t xml:space="preserve">Option</w:t>
            </w:r>
          </w:p>
        </w:tc>
        <w:tc>
          <w:tcPr/>
          <w:p>
            <w:pPr>
              <w:pStyle w:val="Compact"/>
              <w:jc w:val="center"/>
            </w:pPr>
            <w:r>
              <w:t xml:space="preserve">Coût supplémentaire</w:t>
            </w:r>
          </w:p>
        </w:tc>
        <w:tc>
          <w:tcPr/>
          <w:p>
            <w:pPr>
              <w:pStyle w:val="Compact"/>
              <w:jc w:val="center"/>
            </w:pPr>
            <w:r>
              <w:t xml:space="preserve">Délai typique</w:t>
            </w:r>
          </w:p>
        </w:tc>
        <w:tc>
          <w:tcPr/>
          <w:p>
            <w:pPr>
              <w:pStyle w:val="Compact"/>
              <w:jc w:val="center"/>
            </w:pPr>
            <w:r>
              <w:t xml:space="preserve">Principale préoccupation</w:t>
            </w:r>
          </w:p>
        </w:tc>
      </w:tr>
      <w:tr>
        <w:tc>
          <w:tcPr/>
          <w:p>
            <w:pPr>
              <w:pStyle w:val="Compact"/>
              <w:jc w:val="left"/>
            </w:pPr>
            <w:r>
              <w:t xml:space="preserve">Fournisseur asiatique principal</w:t>
            </w:r>
          </w:p>
        </w:tc>
        <w:tc>
          <w:tcPr/>
          <w:p>
            <w:pPr>
              <w:pStyle w:val="Compact"/>
              <w:jc w:val="center"/>
            </w:pPr>
            <w:r>
              <w:t xml:space="preserve">Référence</w:t>
            </w:r>
          </w:p>
        </w:tc>
        <w:tc>
          <w:tcPr/>
          <w:p>
            <w:pPr>
              <w:pStyle w:val="Compact"/>
              <w:jc w:val="center"/>
            </w:pPr>
            <w:r>
              <w:t xml:space="preserve">7-11 semaines</w:t>
            </w:r>
          </w:p>
        </w:tc>
        <w:tc>
          <w:tcPr/>
          <w:p>
            <w:pPr>
              <w:pStyle w:val="Compact"/>
              <w:jc w:val="center"/>
            </w:pPr>
            <w:r>
              <w:t xml:space="preserve">Engagement long et exposition aux perturbations</w:t>
            </w:r>
          </w:p>
        </w:tc>
      </w:tr>
      <w:tr>
        <w:tc>
          <w:tcPr/>
          <w:p>
            <w:pPr>
              <w:pStyle w:val="Compact"/>
              <w:jc w:val="left"/>
            </w:pPr>
            <w:r>
              <w:t xml:space="preserve">Fournisseur de secours mexicain</w:t>
            </w:r>
          </w:p>
        </w:tc>
        <w:tc>
          <w:tcPr/>
          <w:p>
            <w:pPr>
              <w:pStyle w:val="Compact"/>
              <w:jc w:val="center"/>
            </w:pPr>
            <w:r>
              <w:t xml:space="preserve">+16% à +22%</w:t>
            </w:r>
          </w:p>
        </w:tc>
        <w:tc>
          <w:tcPr/>
          <w:p>
            <w:pPr>
              <w:pStyle w:val="Compact"/>
              <w:jc w:val="center"/>
            </w:pPr>
            <w:r>
              <w:t xml:space="preserve">4-6 semaines</w:t>
            </w:r>
          </w:p>
        </w:tc>
        <w:tc>
          <w:tcPr/>
          <w:p>
            <w:pPr>
              <w:pStyle w:val="Compact"/>
              <w:jc w:val="center"/>
            </w:pPr>
            <w:r>
              <w:t xml:space="preserve">Rendement qualité et capacité limitée</w:t>
            </w:r>
          </w:p>
        </w:tc>
      </w:tr>
      <w:tr>
        <w:tc>
          <w:tcPr/>
          <w:p>
            <w:pPr>
              <w:pStyle w:val="Compact"/>
              <w:jc w:val="left"/>
            </w:pPr>
            <w:r>
              <w:t xml:space="preserve">Réserve de fret aérien</w:t>
            </w:r>
          </w:p>
        </w:tc>
        <w:tc>
          <w:tcPr/>
          <w:p>
            <w:pPr>
              <w:pStyle w:val="Compact"/>
              <w:jc w:val="center"/>
            </w:pPr>
            <w:r>
              <w:t xml:space="preserve">+34 $ à 57 $/unité</w:t>
            </w:r>
          </w:p>
        </w:tc>
        <w:tc>
          <w:tcPr/>
          <w:p>
            <w:pPr>
              <w:pStyle w:val="Compact"/>
              <w:jc w:val="center"/>
            </w:pPr>
            <w:r>
              <w:t xml:space="preserve">4-8 jours</w:t>
            </w:r>
          </w:p>
        </w:tc>
        <w:tc>
          <w:tcPr/>
          <w:p>
            <w:pPr>
              <w:pStyle w:val="Compact"/>
              <w:jc w:val="center"/>
            </w:pPr>
            <w:r>
              <w:t xml:space="preserve">Coût et capacité limitée</w:t>
            </w:r>
          </w:p>
        </w:tc>
      </w:tr>
      <w:tr>
        <w:tc>
          <w:tcPr/>
          <w:p>
            <w:pPr>
              <w:pStyle w:val="Compact"/>
              <w:jc w:val="left"/>
            </w:pPr>
            <w:r>
              <w:t xml:space="preserve">Stock tampon domestique supplém</w:t>
            </w:r>
          </w:p>
        </w:tc>
        <w:tc>
          <w:tcPr/>
          <w:p>
            <w:pPr>
              <w:pStyle w:val="Compact"/>
              <w:jc w:val="center"/>
            </w:pPr>
            <w:r>
              <w:t xml:space="preserve">entaire 5,8 M$ de fonds</w:t>
            </w:r>
          </w:p>
        </w:tc>
        <w:tc>
          <w:tcPr/>
          <w:p>
            <w:pPr>
              <w:pStyle w:val="Compact"/>
              <w:jc w:val="center"/>
            </w:pPr>
            <w:r>
              <w:t xml:space="preserve">de roulement Disponibi</w:t>
            </w:r>
          </w:p>
        </w:tc>
        <w:tc>
          <w:tcPr/>
          <w:p>
            <w:pPr>
              <w:pStyle w:val="Compact"/>
              <w:jc w:val="center"/>
            </w:pPr>
            <w:r>
              <w:t xml:space="preserve">lité immédiate Obsolescence et espace d’entrepôt</w:t>
            </w:r>
          </w:p>
        </w:tc>
      </w:tr>
      <w:tr>
        <w:tc>
          <w:tcPr/>
          <w:p>
            <w:pPr>
              <w:pStyle w:val="Compact"/>
              <w:jc w:val="left"/>
            </w:pPr>
            <w:r>
              <w:t xml:space="preserve">Plateforme de visibilité des ex</w:t>
            </w:r>
          </w:p>
        </w:tc>
        <w:tc>
          <w:tcPr/>
          <w:p>
            <w:pPr>
              <w:pStyle w:val="Compact"/>
              <w:jc w:val="center"/>
            </w:pPr>
            <w:r>
              <w:t xml:space="preserve">péditions 1,2 M$ de mis</w:t>
            </w:r>
          </w:p>
        </w:tc>
        <w:tc>
          <w:tcPr/>
          <w:p>
            <w:pPr>
              <w:pStyle w:val="Compact"/>
              <w:jc w:val="center"/>
            </w:pPr>
            <w:r>
              <w:t xml:space="preserve">e en place + frais Mise</w:t>
            </w:r>
          </w:p>
        </w:tc>
        <w:tc>
          <w:tcPr/>
          <w:p>
            <w:pPr>
              <w:pStyle w:val="Compact"/>
              <w:jc w:val="center"/>
            </w:pPr>
            <w:r>
              <w:t xml:space="preserve">en œuvre sur 6 mois Les bénéfices arrivent après la décision des fêtes</w:t>
            </w:r>
          </w:p>
        </w:tc>
      </w:tr>
    </w:tbl>
    <w:p>
      <w:pPr>
        <w:pStyle w:val="BodyText"/>
      </w:pPr>
      <w:r>
        <w:t xml:space="preserve">Le service des achats proposait de répartir les commandes entre les fournisseurs. Le responsable qualité a averti que l’ajout de fournisseurs créerait un travail d’inspection, des composants incohérents, et une probabilité plus élevée de retours. Le service financier a soutenu que la diversification n’avait de valeur que si la source alternative était véritablement disponible en cas de perturbation. L’équipe commerciale s’inquiétait que des coûts plus élevés forcent des hausses de prix juste au moment où les concurrents préparaient leurs promotions des fêtes.</w:t>
      </w:r>
    </w:p>
    <w:bookmarkEnd w:id="11"/>
    <w:bookmarkStart w:id="12" w:name="gérer-la-demande-ou-nuire-à-la-marque"/>
    <w:p>
      <w:pPr>
        <w:pStyle w:val="Heading1"/>
      </w:pPr>
      <w:r>
        <w:t xml:space="preserve">Gérer la demande — ou nuire à la marque</w:t>
      </w:r>
    </w:p>
    <w:p>
      <w:pPr>
        <w:pStyle w:val="FirstParagraph"/>
      </w:pPr>
      <w:r>
        <w:t xml:space="preserve">La directrice marketing a proposé d’utiliser les prix et les calendriers de promotion pour aider à équilibrer la disponibilité des produits. Si les stocks de purificateurs semblaient serrés, Northstar pouvait réduire la publicité, augmenter le prix en ligne, ou réserver des unités pour les détaillants ayant les relations à long terme les plus solides. Si les ventilateurs s’accumulaient, elle pouvait offrir des coupons, des offres groupées, ou des campagnes payantes sur les réseaux sociaux. Pourtant, chaque action avait des conséquences. Des prix plus élevés pourraient protéger le stock mais réduire la part de marché ; les remises pourraient écouler le stock tout en apprenant aux clients à attendre les promotions.</w:t>
      </w:r>
    </w:p>
    <w:p>
      <w:pPr>
        <w:pStyle w:val="BodyText"/>
      </w:pPr>
      <w:r>
        <w:t xml:space="preserve">Les contrats de vente au détail compliquaient l’allocation. Deux chaînes nationales exigeaient au moins 95 pour cent de livraison à temps et complète et pouvaient imposer des pénalités en cas de pénurie. Le site web de Northstar générait des marges plus élevées et une information immédiate sur la demande, mais détourner le stock vers les ventes directes pouvait nuire aux relations avec les détaillants. Les petits revendeurs soutenaient qu’ils étaient systématiquement privés des produits populaires parce que les grands comptes recevaient la priorité.</w:t>
      </w:r>
    </w:p>
    <w:tbl>
      <w:tblPr>
        <w:tblStyle w:val="Table"/>
        <w:tblW w:type="pct" w:w="4908"/>
        <w:tblLayout w:type="fixed"/>
        <w:tblLook w:firstRow="1" w:lastRow="0" w:firstColumn="0" w:lastColumn="0" w:noHBand="0" w:noVBand="0" w:val="0020"/>
      </w:tblPr>
      <w:tblGrid>
        <w:gridCol w:w="2906"/>
        <w:gridCol w:w="2107"/>
        <w:gridCol w:w="2761"/>
      </w:tblGrid>
      <w:tr>
        <w:trPr>
          <w:tblHeader w:val="on"/>
        </w:trPr>
        <w:tc>
          <w:tcPr/>
          <w:p>
            <w:pPr>
              <w:pStyle w:val="Compact"/>
              <w:jc w:val="left"/>
            </w:pPr>
            <w:r>
              <w:t xml:space="preserve">Action potentielle</w:t>
            </w:r>
          </w:p>
        </w:tc>
        <w:tc>
          <w:tcPr/>
          <w:p>
            <w:pPr>
              <w:pStyle w:val="Compact"/>
              <w:jc w:val="center"/>
            </w:pPr>
            <w:r>
              <w:t xml:space="preserve">Effet estimé à court terme</w:t>
            </w:r>
          </w:p>
        </w:tc>
        <w:tc>
          <w:tcPr/>
          <w:p>
            <w:pPr>
              <w:pStyle w:val="Compact"/>
              <w:jc w:val="right"/>
            </w:pPr>
            <w:r>
              <w:t xml:space="preserve">Préoccupation soulevée par la direction</w:t>
            </w:r>
          </w:p>
        </w:tc>
      </w:tr>
      <w:tr>
        <w:tc>
          <w:tcPr/>
          <w:p>
            <w:pPr>
              <w:pStyle w:val="Compact"/>
              <w:jc w:val="left"/>
            </w:pPr>
            <w:r>
              <w:t xml:space="preserve">Augmenter le prix du purificateur de 20</w:t>
            </w:r>
          </w:p>
        </w:tc>
        <w:tc>
          <w:tcPr/>
          <w:p>
            <w:pPr>
              <w:pStyle w:val="Compact"/>
              <w:jc w:val="center"/>
            </w:pPr>
            <w:r>
              <w:t xml:space="preserve">$ Demande en baisse de 7%-</w:t>
            </w:r>
          </w:p>
        </w:tc>
        <w:tc>
          <w:tcPr/>
          <w:p>
            <w:pPr>
              <w:pStyle w:val="Compact"/>
              <w:jc w:val="right"/>
            </w:pPr>
            <w:r>
              <w:t xml:space="preserve">15% Les concurrents pourraient gagner des clients</w:t>
            </w:r>
          </w:p>
        </w:tc>
      </w:tr>
      <w:tr>
        <w:tc>
          <w:tcPr/>
          <w:p>
            <w:pPr>
              <w:pStyle w:val="Compact"/>
              <w:jc w:val="left"/>
            </w:pPr>
            <w:r>
              <w:t xml:space="preserve">Offrir une promotion de 20% sur les vent</w:t>
            </w:r>
          </w:p>
        </w:tc>
        <w:tc>
          <w:tcPr/>
          <w:p>
            <w:pPr>
              <w:pStyle w:val="Compact"/>
              <w:jc w:val="center"/>
            </w:pPr>
            <w:r>
              <w:t xml:space="preserve">ilateurs Demande en hausse</w:t>
            </w:r>
          </w:p>
        </w:tc>
        <w:tc>
          <w:tcPr/>
          <w:p>
            <w:pPr>
              <w:pStyle w:val="Compact"/>
              <w:jc w:val="right"/>
            </w:pPr>
            <w:r>
              <w:t xml:space="preserve">de 18%-35% Perte de marge ; prix de référence futur</w:t>
            </w:r>
          </w:p>
        </w:tc>
      </w:tr>
      <w:tr>
        <w:tc>
          <w:tcPr/>
          <w:p>
            <w:pPr>
              <w:pStyle w:val="Compact"/>
              <w:jc w:val="left"/>
            </w:pPr>
            <w:r>
              <w:t xml:space="preserve">Réduire la publicité pour le purificateu</w:t>
            </w:r>
          </w:p>
        </w:tc>
        <w:tc>
          <w:tcPr/>
          <w:p>
            <w:pPr>
              <w:pStyle w:val="Compact"/>
              <w:jc w:val="center"/>
            </w:pPr>
            <w:r>
              <w:t xml:space="preserve">r Demande en baisse de 5%-1</w:t>
            </w:r>
          </w:p>
        </w:tc>
        <w:tc>
          <w:tcPr/>
          <w:p>
            <w:pPr>
              <w:pStyle w:val="Compact"/>
              <w:jc w:val="right"/>
            </w:pPr>
            <w:r>
              <w:t xml:space="preserve">2% Perte de dynamique de marque</w:t>
            </w:r>
          </w:p>
        </w:tc>
      </w:tr>
      <w:tr>
        <w:tc>
          <w:tcPr/>
          <w:p>
            <w:pPr>
              <w:pStyle w:val="Compact"/>
              <w:jc w:val="left"/>
            </w:pPr>
            <w:r>
              <w:t xml:space="preserve">Réserver le stock pour les grands détail</w:t>
            </w:r>
          </w:p>
        </w:tc>
        <w:tc>
          <w:tcPr/>
          <w:p>
            <w:pPr>
              <w:pStyle w:val="Compact"/>
              <w:jc w:val="center"/>
            </w:pPr>
            <w:r>
              <w:t xml:space="preserve">lants Moins de pénalités co</w:t>
            </w:r>
          </w:p>
        </w:tc>
        <w:tc>
          <w:tcPr/>
          <w:p>
            <w:pPr>
              <w:pStyle w:val="Compact"/>
              <w:jc w:val="right"/>
            </w:pPr>
            <w:r>
              <w:t xml:space="preserve">ntractuelles Marge plus faible sur le canal direct</w:t>
            </w:r>
          </w:p>
        </w:tc>
      </w:tr>
      <w:tr>
        <w:tc>
          <w:tcPr/>
          <w:p>
            <w:pPr>
              <w:pStyle w:val="Compact"/>
              <w:jc w:val="left"/>
            </w:pPr>
            <w:r>
              <w:t xml:space="preserve">Retarder une partie de la commande fourn</w:t>
            </w:r>
          </w:p>
        </w:tc>
        <w:tc>
          <w:tcPr/>
          <w:p>
            <w:pPr>
              <w:pStyle w:val="Compact"/>
              <w:jc w:val="center"/>
            </w:pPr>
            <w:r>
              <w:t xml:space="preserve">isseur Moins de risque de s</w:t>
            </w:r>
          </w:p>
        </w:tc>
        <w:tc>
          <w:tcPr/>
          <w:p>
            <w:pPr>
              <w:pStyle w:val="Compact"/>
              <w:jc w:val="right"/>
            </w:pPr>
            <w:r>
              <w:t xml:space="preserve">urplus Le créneau de production pourrait être perdu</w:t>
            </w:r>
          </w:p>
        </w:tc>
      </w:tr>
    </w:tbl>
    <w:bookmarkEnd w:id="12"/>
    <w:bookmarkStart w:id="13" w:name="Xf9f9da6b6b272d21439a18ea98a6b778f5b2b5e"/>
    <w:p>
      <w:pPr>
        <w:pStyle w:val="Heading1"/>
      </w:pPr>
      <w:r>
        <w:t xml:space="preserve">Liquidités, capacité et incitations organisationnelles</w:t>
      </w:r>
    </w:p>
    <w:p>
      <w:pPr>
        <w:pStyle w:val="FirstParagraph"/>
      </w:pPr>
      <w:r>
        <w:t xml:space="preserve">Northstar finançait ses stocks avec une ligne de crédit renouvelable à taux variable. Porter des stocks impliquait plus que des intérêts : entreposage, manutention, assurance, dommages, vol, retours, et le risque qu’un nouveau modèle rende les anciennes unités moins attrayantes. Le principal centre de distribution de l’entreprise devait atteindre 96 pour cent de sa capacité utilisable en novembre selon le plan proposé. Un espace de débordement était disponible, mais à un coût de manutention presque double du coût normal.</w:t>
      </w:r>
    </w:p>
    <w:p>
      <w:pPr>
        <w:pStyle w:val="BodyText"/>
      </w:pPr>
      <w:r>
        <w:t xml:space="preserve">Les mesures de performance internes ne pointaient pas dans la même direction. Les responsables des ventes étaient récompensés pour la croissance du chiffre d’affaires et les niveaux de service. Les achats étaient évalués en partie sur le coût unitaire. Les opérations devaient éviter les ruptures de stock tout en contrôlant les stocks. Le service financier mettait l’accent sur la conversion de trésorerie et la marge opérationnelle. Le marketing était mesuré sur le trafic, la conversion, et le rendement des campagnes. Chaque groupe pouvait défendre un plan de fêtes différent en utilisant son propre tableau de bord.</w:t>
      </w:r>
    </w:p>
    <w:tbl>
      <w:tblPr>
        <w:tblStyle w:val="Table"/>
        <w:tblW w:type="pct" w:w="4880"/>
        <w:tblLayout w:type="fixed"/>
        <w:tblLook w:firstRow="1" w:lastRow="0" w:firstColumn="0" w:lastColumn="0" w:noHBand="0" w:noVBand="0" w:val="0020"/>
      </w:tblPr>
      <w:tblGrid>
        <w:gridCol w:w="2576"/>
        <w:gridCol w:w="1717"/>
        <w:gridCol w:w="1717"/>
        <w:gridCol w:w="1717"/>
      </w:tblGrid>
      <w:tr>
        <w:trPr>
          <w:tblHeader w:val="on"/>
        </w:trPr>
        <w:tc>
          <w:tcPr/>
          <w:p>
            <w:pPr>
              <w:pStyle w:val="Compact"/>
              <w:jc w:val="left"/>
            </w:pPr>
            <w:r>
              <w:t xml:space="preserve">Mesure</w:t>
            </w:r>
          </w:p>
        </w:tc>
        <w:tc>
          <w:tcPr/>
          <w:p>
            <w:pPr>
              <w:pStyle w:val="Compact"/>
              <w:jc w:val="center"/>
            </w:pPr>
            <w:r>
              <w:t xml:space="preserve">2024</w:t>
            </w:r>
          </w:p>
        </w:tc>
        <w:tc>
          <w:tcPr/>
          <w:p>
            <w:pPr>
              <w:pStyle w:val="Compact"/>
              <w:jc w:val="center"/>
            </w:pPr>
            <w:r>
              <w:t xml:space="preserve">2025</w:t>
            </w:r>
          </w:p>
        </w:tc>
        <w:tc>
          <w:tcPr/>
          <w:p>
            <w:pPr>
              <w:pStyle w:val="Compact"/>
              <w:jc w:val="center"/>
            </w:pPr>
            <w:r>
              <w:t xml:space="preserve">Cible 2026</w:t>
            </w:r>
          </w:p>
        </w:tc>
      </w:tr>
      <w:tr>
        <w:tc>
          <w:tcPr/>
          <w:p>
            <w:pPr>
              <w:pStyle w:val="Compact"/>
              <w:jc w:val="left"/>
            </w:pPr>
            <w:r>
              <w:t xml:space="preserve">Chiffre d’affaires</w:t>
            </w:r>
          </w:p>
        </w:tc>
        <w:tc>
          <w:tcPr/>
          <w:p>
            <w:pPr>
              <w:pStyle w:val="Compact"/>
              <w:jc w:val="center"/>
            </w:pPr>
            <w:r>
              <w:t xml:space="preserve">286 M$</w:t>
            </w:r>
          </w:p>
        </w:tc>
        <w:tc>
          <w:tcPr/>
          <w:p>
            <w:pPr>
              <w:pStyle w:val="Compact"/>
              <w:jc w:val="center"/>
            </w:pPr>
            <w:r>
              <w:t xml:space="preserve">337 M$</w:t>
            </w:r>
          </w:p>
        </w:tc>
        <w:tc>
          <w:tcPr/>
          <w:p>
            <w:pPr>
              <w:pStyle w:val="Compact"/>
              <w:jc w:val="center"/>
            </w:pPr>
            <w:r>
              <w:t xml:space="preserve">392 M$</w:t>
            </w:r>
          </w:p>
        </w:tc>
      </w:tr>
      <w:tr>
        <w:tc>
          <w:tcPr/>
          <w:p>
            <w:pPr>
              <w:pStyle w:val="Compact"/>
              <w:jc w:val="left"/>
            </w:pPr>
            <w:r>
              <w:t xml:space="preserve">Stock de fin d’année</w:t>
            </w:r>
          </w:p>
        </w:tc>
        <w:tc>
          <w:tcPr/>
          <w:p>
            <w:pPr>
              <w:pStyle w:val="Compact"/>
              <w:jc w:val="center"/>
            </w:pPr>
            <w:r>
              <w:t xml:space="preserve">58 M$</w:t>
            </w:r>
          </w:p>
        </w:tc>
        <w:tc>
          <w:tcPr/>
          <w:p>
            <w:pPr>
              <w:pStyle w:val="Compact"/>
              <w:jc w:val="center"/>
            </w:pPr>
            <w:r>
              <w:t xml:space="preserve">76 M$</w:t>
            </w:r>
          </w:p>
        </w:tc>
        <w:tc>
          <w:tcPr/>
          <w:p>
            <w:pPr>
              <w:pStyle w:val="Compact"/>
              <w:jc w:val="center"/>
            </w:pPr>
            <w:r>
              <w:t xml:space="preserve">≤ 82 M$</w:t>
            </w:r>
          </w:p>
        </w:tc>
      </w:tr>
      <w:tr>
        <w:tc>
          <w:tcPr/>
          <w:p>
            <w:pPr>
              <w:pStyle w:val="Compact"/>
              <w:jc w:val="left"/>
            </w:pPr>
            <w:r>
              <w:t xml:space="preserve">Rotations de stock</w:t>
            </w:r>
          </w:p>
        </w:tc>
        <w:tc>
          <w:tcPr/>
          <w:p>
            <w:pPr>
              <w:pStyle w:val="Compact"/>
              <w:jc w:val="center"/>
            </w:pPr>
            <w:r>
              <w:t xml:space="preserve">4,7</w:t>
            </w:r>
          </w:p>
        </w:tc>
        <w:tc>
          <w:tcPr/>
          <w:p>
            <w:pPr>
              <w:pStyle w:val="Compact"/>
              <w:jc w:val="center"/>
            </w:pPr>
            <w:r>
              <w:t xml:space="preserve">4,2</w:t>
            </w:r>
          </w:p>
        </w:tc>
        <w:tc>
          <w:tcPr/>
          <w:p>
            <w:pPr>
              <w:pStyle w:val="Compact"/>
              <w:jc w:val="center"/>
            </w:pPr>
            <w:r>
              <w:t xml:space="preserve">4,8</w:t>
            </w:r>
          </w:p>
        </w:tc>
      </w:tr>
      <w:tr>
        <w:tc>
          <w:tcPr/>
          <w:p>
            <w:pPr>
              <w:pStyle w:val="Compact"/>
              <w:jc w:val="left"/>
            </w:pPr>
            <w:r>
              <w:t xml:space="preserve">Service à temps et complet</w:t>
            </w:r>
          </w:p>
        </w:tc>
        <w:tc>
          <w:tcPr/>
          <w:p>
            <w:pPr>
              <w:pStyle w:val="Compact"/>
              <w:jc w:val="center"/>
            </w:pPr>
            <w:r>
              <w:t xml:space="preserve">91,4%</w:t>
            </w:r>
          </w:p>
        </w:tc>
        <w:tc>
          <w:tcPr/>
          <w:p>
            <w:pPr>
              <w:pStyle w:val="Compact"/>
              <w:jc w:val="center"/>
            </w:pPr>
            <w:r>
              <w:t xml:space="preserve">89,7%</w:t>
            </w:r>
          </w:p>
        </w:tc>
        <w:tc>
          <w:tcPr/>
          <w:p>
            <w:pPr>
              <w:pStyle w:val="Compact"/>
              <w:jc w:val="center"/>
            </w:pPr>
            <w:r>
              <w:t xml:space="preserve">95,0%</w:t>
            </w:r>
          </w:p>
        </w:tc>
      </w:tr>
      <w:tr>
        <w:tc>
          <w:tcPr/>
          <w:p>
            <w:pPr>
              <w:pStyle w:val="Compact"/>
              <w:jc w:val="left"/>
            </w:pPr>
            <w:r>
              <w:t xml:space="preserve">Marge brute</w:t>
            </w:r>
          </w:p>
        </w:tc>
        <w:tc>
          <w:tcPr/>
          <w:p>
            <w:pPr>
              <w:pStyle w:val="Compact"/>
              <w:jc w:val="center"/>
            </w:pPr>
            <w:r>
              <w:t xml:space="preserve">47,8%</w:t>
            </w:r>
          </w:p>
        </w:tc>
        <w:tc>
          <w:tcPr/>
          <w:p>
            <w:pPr>
              <w:pStyle w:val="Compact"/>
              <w:jc w:val="center"/>
            </w:pPr>
            <w:r>
              <w:t xml:space="preserve">45,9%</w:t>
            </w:r>
          </w:p>
        </w:tc>
        <w:tc>
          <w:tcPr/>
          <w:p>
            <w:pPr>
              <w:pStyle w:val="Compact"/>
              <w:jc w:val="center"/>
            </w:pPr>
            <w:r>
              <w:t xml:space="preserve">47,0%</w:t>
            </w:r>
          </w:p>
        </w:tc>
      </w:tr>
      <w:tr>
        <w:tc>
          <w:tcPr/>
          <w:p>
            <w:pPr>
              <w:pStyle w:val="Compact"/>
              <w:jc w:val="left"/>
            </w:pPr>
            <w:r>
              <w:t xml:space="preserve">Fret d’urgence</w:t>
            </w:r>
          </w:p>
        </w:tc>
        <w:tc>
          <w:tcPr/>
          <w:p>
            <w:pPr>
              <w:pStyle w:val="Compact"/>
              <w:jc w:val="center"/>
            </w:pPr>
            <w:r>
              <w:t xml:space="preserve">2,1 M$</w:t>
            </w:r>
          </w:p>
        </w:tc>
        <w:tc>
          <w:tcPr/>
          <w:p>
            <w:pPr>
              <w:pStyle w:val="Compact"/>
              <w:jc w:val="center"/>
            </w:pPr>
            <w:r>
              <w:t xml:space="preserve">5,6 M$</w:t>
            </w:r>
          </w:p>
        </w:tc>
        <w:tc>
          <w:tcPr/>
          <w:p>
            <w:pPr>
              <w:pStyle w:val="Compact"/>
              <w:jc w:val="center"/>
            </w:pPr>
            <w:r>
              <w:t xml:space="preserve">≤ 3,0 M$</w:t>
            </w:r>
          </w:p>
        </w:tc>
      </w:tr>
    </w:tbl>
    <w:p>
      <w:pPr>
        <w:pStyle w:val="BodyText"/>
      </w:pPr>
      <w:r>
        <w:t xml:space="preserve">Le conseil d’administration avait également demandé à la direction d’examiner des événements rares mais lourds de conséquences. Une fermeture prolongée d’un fournisseur, une cyberattaque sur un prestataire logistique, une fermeture de port, un changement tarifaire soudain, un rappel majeur de produit, ou une variation brutale des taux de change pourrait submerger les hypothèses de planification normales. Certains dirigeants voulaient un stock de contingence explicite. D’autres soutenaient que se préparer à chaque perturbation rendrait Northstar durablement non compétitive.</w:t>
      </w:r>
    </w:p>
    <w:bookmarkEnd w:id="13"/>
    <w:bookmarkStart w:id="14" w:name="la-réunion-daoût"/>
    <w:p>
      <w:pPr>
        <w:pStyle w:val="Heading1"/>
      </w:pPr>
      <w:r>
        <w:t xml:space="preserve">La réunion d’août</w:t>
      </w:r>
    </w:p>
    <w:p>
      <w:pPr>
        <w:pStyle w:val="FirstParagraph"/>
      </w:pPr>
      <w:r>
        <w:t xml:space="preserve">Chen a programmé une réunion de quatre heures pour le 3 août. Le groupe devait recommander des quantités d’achat, des allocations de fournisseurs, des plans de transport, et une réserve pour les expéditions accélérées. Il devait également décider si les prix et les promotions devaient être fixés en même temps ou ajustés plus tard au fur et à mesure que l’information arriverait.</w:t>
      </w:r>
    </w:p>
    <w:p>
      <w:pPr>
        <w:pStyle w:val="BodyText"/>
      </w:pPr>
      <w:r>
        <w:t xml:space="preserve">La directrice financière préférait un engagement d’ouverture plus bas avec l’autorité de repasser commande depuis le Mexique. Le responsable des ventes voulait suffisamment de stock pour soutenir la prévision de détaillants la plus optimiste. Les opérations ont proposé des commandes plus importantes pour les purificateurs et les unités à induction, une commande plus petite pour les ventilateurs, et un budget de fret aérien protégé. Le marketing s’est opposé à la réduction de la commande de ventilateurs car un partenariat médiatique non annoncé pourrait augmenter sensiblement la demande. Les achats ont averti qu’attendre deux semaines pourrait éliminer entièrement plusieurs créneaux d’usine.</w:t>
      </w:r>
    </w:p>
    <w:p>
      <w:pPr>
        <w:pStyle w:val="BodyText"/>
      </w:pPr>
      <w:r>
        <w:t xml:space="preserve">Chen n’était pas convaincue que l’entreprise puisse identifier une seule commande « correcte ». La demande, les délais, la qualité des produits, les coûts, les actions des concurrents, les annulations des clients, et même les registres de stocks allaient évoluer après l’engagement. Pourtant, l’absence de certitude n’éliminait pas la nécessité d’agir. D’ici lundi soir, les fournisseurs attendaient les bons de commande.</w:t>
      </w:r>
    </w:p>
    <w:bookmarkEnd w:id="14"/>
    <w:bookmarkStart w:id="15" w:name="Xcde1d75506d383e8cbbbc9b041611e074d1cfcb"/>
    <w:p>
      <w:pPr>
        <w:pStyle w:val="Heading1"/>
      </w:pPr>
      <w:r>
        <w:t xml:space="preserve">Exhibit 1 : Scénarios de la direction pour les fêtes</w:t>
      </w:r>
    </w:p>
    <w:tbl>
      <w:tblPr>
        <w:tblStyle w:val="Table"/>
        <w:tblW w:type="pct" w:w="4923"/>
        <w:tblLayout w:type="fixed"/>
        <w:tblLook w:firstRow="1" w:lastRow="0" w:firstColumn="0" w:lastColumn="0" w:noHBand="0" w:noVBand="0" w:val="0020"/>
      </w:tblPr>
      <w:tblGrid>
        <w:gridCol w:w="974"/>
        <w:gridCol w:w="1523"/>
        <w:gridCol w:w="1644"/>
        <w:gridCol w:w="1340"/>
        <w:gridCol w:w="2315"/>
      </w:tblGrid>
      <w:tr>
        <w:trPr>
          <w:tblHeader w:val="on"/>
        </w:trPr>
        <w:tc>
          <w:tcPr/>
          <w:p>
            <w:pPr>
              <w:pStyle w:val="Compact"/>
              <w:jc w:val="left"/>
            </w:pPr>
            <w:r>
              <w:t xml:space="preserve">Scénario</w:t>
            </w:r>
          </w:p>
        </w:tc>
        <w:tc>
          <w:tcPr/>
          <w:p>
            <w:pPr>
              <w:pStyle w:val="Compact"/>
              <w:jc w:val="right"/>
            </w:pPr>
            <w:r>
              <w:t xml:space="preserve">Demande par rapport à la</w:t>
            </w:r>
          </w:p>
        </w:tc>
        <w:tc>
          <w:tcPr/>
          <w:p>
            <w:pPr>
              <w:pStyle w:val="Compact"/>
              <w:jc w:val="right"/>
            </w:pPr>
            <w:r>
              <w:t xml:space="preserve">prévision Variation moye</w:t>
            </w:r>
          </w:p>
        </w:tc>
        <w:tc>
          <w:tcPr/>
          <w:p>
            <w:pPr>
              <w:pStyle w:val="Compact"/>
            </w:pPr>
            <w:r>
              <w:t xml:space="preserve">nne du délai Prix co</w:t>
            </w:r>
          </w:p>
        </w:tc>
        <w:tc>
          <w:tcPr/>
          <w:p>
            <w:pPr>
              <w:pStyle w:val="Compact"/>
            </w:pPr>
            <w:r>
              <w:t xml:space="preserve">ncurrentiels Résultat opérationnel approximatif</w:t>
            </w:r>
          </w:p>
        </w:tc>
      </w:tr>
      <w:tr>
        <w:tc>
          <w:tcPr/>
          <w:p>
            <w:pPr>
              <w:pStyle w:val="Compact"/>
              <w:jc w:val="left"/>
            </w:pPr>
            <w:r>
              <w:t xml:space="preserve">Marché faible</w:t>
            </w:r>
          </w:p>
        </w:tc>
        <w:tc>
          <w:tcPr/>
          <w:p>
            <w:pPr>
              <w:pStyle w:val="Compact"/>
              <w:jc w:val="right"/>
            </w:pPr>
            <w:r>
              <w:t xml:space="preserve">−15%</w:t>
            </w:r>
          </w:p>
        </w:tc>
        <w:tc>
          <w:tcPr/>
          <w:p>
            <w:pPr>
              <w:pStyle w:val="Compact"/>
              <w:jc w:val="right"/>
            </w:pPr>
            <w:r>
              <w:t xml:space="preserve">Aucun changement</w:t>
            </w:r>
          </w:p>
        </w:tc>
        <w:tc>
          <w:tcPr/>
          <w:p>
            <w:pPr>
              <w:pStyle w:val="Compact"/>
            </w:pPr>
            <w:r>
              <w:t xml:space="preserve">Fortes remises</w:t>
            </w:r>
          </w:p>
        </w:tc>
        <w:tc>
          <w:tcPr/>
          <w:p>
            <w:pPr>
              <w:pStyle w:val="Compact"/>
            </w:pPr>
            <w:r>
              <w:t xml:space="preserve">9 M$ sous le plan</w:t>
            </w:r>
          </w:p>
        </w:tc>
      </w:tr>
      <w:tr>
        <w:tc>
          <w:tcPr/>
          <w:p>
            <w:pPr>
              <w:pStyle w:val="Compact"/>
              <w:jc w:val="left"/>
            </w:pPr>
            <w:r>
              <w:t xml:space="preserve">Cas de base</w:t>
            </w:r>
          </w:p>
        </w:tc>
        <w:tc>
          <w:tcPr/>
          <w:p>
            <w:pPr>
              <w:pStyle w:val="Compact"/>
              <w:jc w:val="right"/>
            </w:pPr>
            <w:r>
              <w:t xml:space="preserve">Prévision</w:t>
            </w:r>
          </w:p>
        </w:tc>
        <w:tc>
          <w:tcPr/>
          <w:p>
            <w:pPr>
              <w:pStyle w:val="Compact"/>
              <w:jc w:val="right"/>
            </w:pPr>
            <w:r>
              <w:t xml:space="preserve">+1 semaine</w:t>
            </w:r>
          </w:p>
        </w:tc>
        <w:tc>
          <w:tcPr/>
          <w:p>
            <w:pPr>
              <w:pStyle w:val="Compact"/>
            </w:pPr>
            <w:r>
              <w:t xml:space="preserve">Promotions normales</w:t>
            </w:r>
          </w:p>
        </w:tc>
        <w:tc>
          <w:tcPr/>
          <w:p>
            <w:pPr>
              <w:pStyle w:val="Compact"/>
            </w:pPr>
            <w:r>
              <w:t xml:space="preserve">Proche du plan</w:t>
            </w:r>
          </w:p>
        </w:tc>
      </w:tr>
      <w:tr>
        <w:tc>
          <w:tcPr/>
          <w:p>
            <w:pPr>
              <w:pStyle w:val="Compact"/>
              <w:jc w:val="left"/>
            </w:pPr>
            <w:r>
              <w:t xml:space="preserve">Saison forte</w:t>
            </w:r>
          </w:p>
        </w:tc>
        <w:tc>
          <w:tcPr/>
          <w:p>
            <w:pPr>
              <w:pStyle w:val="Compact"/>
              <w:jc w:val="right"/>
            </w:pPr>
            <w:r>
              <w:t xml:space="preserve">+18%</w:t>
            </w:r>
          </w:p>
        </w:tc>
        <w:tc>
          <w:tcPr/>
          <w:p>
            <w:pPr>
              <w:pStyle w:val="Compact"/>
              <w:jc w:val="right"/>
            </w:pPr>
            <w:r>
              <w:t xml:space="preserve">+2 semaines</w:t>
            </w:r>
          </w:p>
        </w:tc>
        <w:tc>
          <w:tcPr/>
          <w:p>
            <w:pPr>
              <w:pStyle w:val="Compact"/>
            </w:pPr>
            <w:r>
              <w:t xml:space="preserve">Prix stables</w:t>
            </w:r>
          </w:p>
        </w:tc>
        <w:tc>
          <w:tcPr/>
          <w:p>
            <w:pPr>
              <w:pStyle w:val="Compact"/>
            </w:pPr>
            <w:r>
              <w:t xml:space="preserve">13 M$ au-dessus du plan si approvisionné</w:t>
            </w:r>
          </w:p>
        </w:tc>
      </w:tr>
      <w:tr>
        <w:tc>
          <w:tcPr/>
          <w:p>
            <w:pPr>
              <w:pStyle w:val="Compact"/>
              <w:jc w:val="left"/>
            </w:pPr>
            <w:r>
              <w:t xml:space="preserve">Perturbation</w:t>
            </w:r>
          </w:p>
        </w:tc>
        <w:tc>
          <w:tcPr/>
          <w:p>
            <w:pPr>
              <w:pStyle w:val="Compact"/>
              <w:jc w:val="right"/>
            </w:pPr>
            <w:r>
              <w:t xml:space="preserve">−3% globalement</w:t>
            </w:r>
          </w:p>
        </w:tc>
        <w:tc>
          <w:tcPr/>
          <w:p>
            <w:pPr>
              <w:pStyle w:val="Compact"/>
              <w:jc w:val="right"/>
            </w:pPr>
            <w:r>
              <w:t xml:space="preserve">+5 semaines sur l’approvi</w:t>
            </w:r>
          </w:p>
        </w:tc>
        <w:tc>
          <w:tcPr/>
          <w:p>
            <w:pPr>
              <w:pStyle w:val="Compact"/>
            </w:pPr>
            <w:r>
              <w:t xml:space="preserve">sionnement asiatique</w:t>
            </w:r>
          </w:p>
        </w:tc>
        <w:tc>
          <w:tcPr/>
          <w:p>
            <w:pPr>
              <w:pStyle w:val="Compact"/>
            </w:pPr>
            <w:r>
              <w:t xml:space="preserve">Mixte 17 M$ sous le plan sans atténuation</w:t>
            </w:r>
          </w:p>
        </w:tc>
      </w:tr>
    </w:tbl>
    <w:bookmarkEnd w:id="15"/>
    <w:bookmarkStart w:id="16" w:name="questions-de-discussion"/>
    <w:p>
      <w:pPr>
        <w:pStyle w:val="Heading1"/>
      </w:pPr>
      <w:r>
        <w:t xml:space="preserve">Questions de discussion</w:t>
      </w:r>
    </w:p>
    <w:p>
      <w:pPr>
        <w:numPr>
          <w:ilvl w:val="0"/>
          <w:numId w:val="1001"/>
        </w:numPr>
      </w:pPr>
      <w:r>
        <w:t xml:space="preserve">Quel est le problème central auquel Northstar Living fait face début août ?</w:t>
      </w:r>
    </w:p>
    <w:p>
      <w:pPr>
        <w:numPr>
          <w:ilvl w:val="0"/>
          <w:numId w:val="1001"/>
        </w:numPr>
      </w:pPr>
      <w:r>
        <w:t xml:space="preserve">Quels faits du cas méritent la plus grande attention avant la publication des bons de commande ?</w:t>
      </w:r>
    </w:p>
    <w:p>
      <w:pPr>
        <w:numPr>
          <w:ilvl w:val="0"/>
          <w:numId w:val="1001"/>
        </w:numPr>
      </w:pPr>
      <w:r>
        <w:t xml:space="preserve">Comment Northstar devrait-elle équilibrer le coût des stocks excédentaires par rapport aux conséquences de ruptures de stock graves ?</w:t>
      </w:r>
    </w:p>
    <w:p>
      <w:pPr>
        <w:numPr>
          <w:ilvl w:val="0"/>
          <w:numId w:val="1001"/>
        </w:numPr>
      </w:pPr>
      <w:r>
        <w:t xml:space="preserve">L’entreprise devrait-elle diversifier ses fournisseurs malgré des coûts plus élevés et une qualité incertaine ?</w:t>
      </w:r>
    </w:p>
    <w:p>
      <w:pPr>
        <w:numPr>
          <w:ilvl w:val="0"/>
          <w:numId w:val="1001"/>
        </w:numPr>
      </w:pPr>
      <w:r>
        <w:t xml:space="preserve">Comment les modes de transport et la capacité de fret d’urgence devraient-ils être intégrés dans le plan ?</w:t>
      </w:r>
    </w:p>
    <w:p>
      <w:pPr>
        <w:numPr>
          <w:ilvl w:val="0"/>
          <w:numId w:val="1001"/>
        </w:numPr>
      </w:pPr>
      <w:r>
        <w:t xml:space="preserve">Quand Northstar devrait-elle utiliser les prix, les promotions et la publicité pour influencer la demande ?</w:t>
      </w:r>
    </w:p>
    <w:p>
      <w:pPr>
        <w:numPr>
          <w:ilvl w:val="0"/>
          <w:numId w:val="1001"/>
        </w:numPr>
      </w:pPr>
      <w:r>
        <w:t xml:space="preserve">Comment les stocks limités devraient-ils être répartis entre les grands détaillants, les petits revendeurs, et le canal direct ?</w:t>
      </w:r>
    </w:p>
    <w:p>
      <w:pPr>
        <w:numPr>
          <w:ilvl w:val="0"/>
          <w:numId w:val="1001"/>
        </w:numPr>
      </w:pPr>
      <w:r>
        <w:t xml:space="preserve">Quelles investigations ou investissements en information seraient les plus précieux pour la planification future ?</w:t>
      </w:r>
    </w:p>
    <w:p>
      <w:pPr>
        <w:numPr>
          <w:ilvl w:val="0"/>
          <w:numId w:val="1001"/>
        </w:numPr>
      </w:pPr>
      <w:r>
        <w:t xml:space="preserve">Comment l’entreprise devrait-elle se préparer aux perturbations peu fréquentes sans porter des stocks excessifs ?</w:t>
      </w:r>
    </w:p>
    <w:p>
      <w:pPr>
        <w:numPr>
          <w:ilvl w:val="0"/>
          <w:numId w:val="1001"/>
        </w:numPr>
      </w:pPr>
      <w:r>
        <w:t xml:space="preserve">Que devrait recommander Chen lors de la réunion du 3 août, et quelles conditions devraient déclencher des révisions ultérieures ?</w:t>
      </w:r>
    </w:p>
    <w:bookmarkEnd w:id="16"/>
    <w:bookmarkStart w:id="22" w:name="questions-de-cadrage-de-la-décision"/>
    <w:p>
      <w:pPr>
        <w:pStyle w:val="Heading1"/>
      </w:pPr>
      <w:r>
        <w:t xml:space="preserve">Questions de cadrage de la décision</w:t>
      </w:r>
    </w:p>
    <w:p>
      <w:pPr>
        <w:numPr>
          <w:ilvl w:val="0"/>
          <w:numId w:val="1002"/>
        </w:numPr>
      </w:pPr>
      <w:r>
        <w:t xml:space="preserve">Identifiez et décrivez les responsabilités du décideur. Cela devrait définir le périmètre du problème.</w:t>
      </w:r>
    </w:p>
    <w:p>
      <w:pPr>
        <w:numPr>
          <w:ilvl w:val="0"/>
          <w:numId w:val="1002"/>
        </w:numPr>
      </w:pPr>
      <w:r>
        <w:t xml:space="preserve">Utilisez l’</w:t>
      </w:r>
      <w:hyperlink r:id="rId17">
        <w:r>
          <w:rPr>
            <w:rStyle w:val="Hyperlink"/>
          </w:rPr>
          <w:t xml:space="preserve">outil de pyramide des métriques</w:t>
        </w:r>
      </w:hyperlink>
      <w:r>
        <w:t xml:space="preserve"> </w:t>
      </w:r>
      <w:r>
        <w:t xml:space="preserve">pour identifier et hiérarchiser les différentes métriques de performance. Cliquez sur l’ovale contenant la métrique pour indiquer s’il s’agit d’une métrique à maximiser (vert), à minimiser (rouge), d’une cible qui est un plancher (vert clair) ou un plafond (rouge clair), ou enfin d’une cible (violet).</w:t>
      </w:r>
    </w:p>
    <w:p>
      <w:pPr>
        <w:numPr>
          <w:ilvl w:val="0"/>
          <w:numId w:val="1002"/>
        </w:numPr>
      </w:pPr>
      <w:r>
        <w:t xml:space="preserve">Utilisez l’</w:t>
      </w:r>
      <w:hyperlink r:id="rId18">
        <w:r>
          <w:rPr>
            <w:rStyle w:val="Hyperlink"/>
          </w:rPr>
          <w:t xml:space="preserve">outil de priorisation des décisions</w:t>
        </w:r>
      </w:hyperlink>
      <w:r>
        <w:t xml:space="preserve"> </w:t>
      </w:r>
      <w:r>
        <w:t xml:space="preserve">pour d’abord lister les différents types de décisions (utilisez les</w:t>
      </w:r>
      <w:r>
        <w:t xml:space="preserve"> </w:t>
      </w:r>
      <w:hyperlink r:id="rId19">
        <w:r>
          <w:rPr>
            <w:rStyle w:val="Hyperlink"/>
          </w:rPr>
          <w:t xml:space="preserve">types de décisions</w:t>
        </w:r>
      </w:hyperlink>
      <w:r>
        <w:t xml:space="preserve"> </w:t>
      </w:r>
      <w:r>
        <w:t xml:space="preserve">comme guide). Celles-ci alimenteront ensuite les lignes de la matrice à droite, où les colonnes sont les métriques de performance triées de gauche à droite par priorité dans la pyramide ci-dessus. Cliquez sur chaque cellule pour indiquer si l’impact de la décision sur chaque métrique est élevé (rouge), moyen (orange), faible (jaune) ou nul (blanc).</w:t>
      </w:r>
    </w:p>
    <w:p>
      <w:pPr>
        <w:numPr>
          <w:ilvl w:val="0"/>
          <w:numId w:val="1002"/>
        </w:numPr>
      </w:pPr>
      <w:r>
        <w:t xml:space="preserve">Vous pouvez saisir la poignée (trois barres) la plus à gauche sur chaque ligne pour la déplacer vers le haut ou vers le bas. Triez les lignes de sorte que les décisions ayant l’impact le plus important sur les métriques les plus importantes se trouvent vers le haut. Les cellules dans le coin supérieur gauche devraient avoir la plus grande concentration de cellules rouges et orange. À ce stade, identifiez les décisions qui devraient recevoir le plus d’attention dans votre étude. Si vous n’avez aucune décision avec un impact moyen ou élevé sur les métriques les plus importantes, révisez votre liste de décisions.</w:t>
      </w:r>
    </w:p>
    <w:p>
      <w:pPr>
        <w:numPr>
          <w:ilvl w:val="0"/>
          <w:numId w:val="1002"/>
        </w:numPr>
      </w:pPr>
      <w:r>
        <w:t xml:space="preserve">Répétez le processus pour lister et hiérarchiser les incertitudes en utilisant l’</w:t>
      </w:r>
      <w:hyperlink r:id="rId20">
        <w:r>
          <w:rPr>
            <w:rStyle w:val="Hyperlink"/>
          </w:rPr>
          <w:t xml:space="preserve">outil de priorisation des incertitudes</w:t>
        </w:r>
      </w:hyperlink>
      <w:r>
        <w:t xml:space="preserve">. Utilisez les</w:t>
      </w:r>
      <w:r>
        <w:t xml:space="preserve"> </w:t>
      </w:r>
      <w:hyperlink r:id="rId21">
        <w:r>
          <w:rPr>
            <w:rStyle w:val="Hyperlink"/>
          </w:rPr>
          <w:t xml:space="preserve">catégories d’incertitude</w:t>
        </w:r>
      </w:hyperlink>
      <w:r>
        <w:t xml:space="preserve"> </w:t>
      </w:r>
      <w:r>
        <w:t xml:space="preserve">pour vous aider à les identifier.</w:t>
      </w:r>
    </w:p>
    <w:p>
      <w:pPr>
        <w:numPr>
          <w:ilvl w:val="0"/>
          <w:numId w:val="1002"/>
        </w:numPr>
      </w:pPr>
      <w:r>
        <w:t xml:space="preserve">Il est important de différencier les incertitudes qui peuvent être évaluées en moyenne, ou comme des événements de risque :</w:t>
      </w:r>
    </w:p>
    <w:p>
      <w:pPr>
        <w:numPr>
          <w:ilvl w:val="1"/>
          <w:numId w:val="1003"/>
        </w:numPr>
      </w:pPr>
      <w:r>
        <w:t xml:space="preserve">Quelles sources d’incertitude seraient captées en utilisant la performance moyenne dans le temps ?</w:t>
      </w:r>
    </w:p>
    <w:p>
      <w:pPr>
        <w:numPr>
          <w:ilvl w:val="1"/>
          <w:numId w:val="1003"/>
        </w:numPr>
      </w:pPr>
      <w:r>
        <w:t xml:space="preserve">Quelles sources d’incertitude représentent des formes de risque qui ne sont pas correctement captées en utilisant des moyennes ?</w:t>
      </w:r>
    </w:p>
    <w:p>
      <w:pPr>
        <w:numPr>
          <w:ilvl w:val="0"/>
          <w:numId w:val="1002"/>
        </w:numPr>
      </w:pPr>
      <w:r>
        <w:t xml:space="preserve">Choisissez la décision unique qui semble avoir l’impact le plus élevé sur la métrique la plus importante.</w:t>
      </w:r>
    </w:p>
    <w:p>
      <w:pPr>
        <w:numPr>
          <w:ilvl w:val="1"/>
          <w:numId w:val="1004"/>
        </w:numPr>
      </w:pPr>
      <w:r>
        <w:t xml:space="preserve">Quelle approche pensez-vous utiliser pour prendre cette décision ?</w:t>
      </w:r>
    </w:p>
    <w:p>
      <w:pPr>
        <w:numPr>
          <w:ilvl w:val="1"/>
          <w:numId w:val="1004"/>
        </w:numPr>
      </w:pPr>
      <w:r>
        <w:t xml:space="preserve">Quelles données semblent nécessaires pour prendre cette décision, y compris le calcul de toute métrique de performance sur laquelle la décision aurait un impact élevé ou moyen.</w:t>
      </w:r>
    </w:p>
    <w:p>
      <w:pPr>
        <w:numPr>
          <w:ilvl w:val="0"/>
          <w:numId w:val="1002"/>
        </w:numPr>
      </w:pPr>
      <w:r>
        <w:t xml:space="preserve">En utilisant la même décision que celle identifiée en (7), identifiez les personnes, départements, groupes ou organisations avec lesquels vous devriez travailler pour mettre en œuvre la décision.</w:t>
      </w:r>
    </w:p>
    <w:bookmarkEnd w:id="22"/>
    <w:bookmarkStart w:id="23" w:name="note-sur-les-données"/>
    <w:p>
      <w:pPr>
        <w:pStyle w:val="Heading1"/>
      </w:pPr>
      <w:r>
        <w:t xml:space="preserve">Note sur les données</w:t>
      </w:r>
    </w:p>
    <w:p>
      <w:pPr>
        <w:pStyle w:val="FirstParagraph"/>
      </w:pPr>
      <w:r>
        <w:t xml:space="preserve">Northstar Living, ses dirigeants, fournisseurs, produits, et données opérationnelles sont fictifs. Le contexte de marché est basé sur des données publiques américaines. Le U.S. Census Bureau a rapporté un total de stocks des fabricants et du commerce d’environ 2,736 billions de dollars et un ratio stock/ventes de 1,28 en mai 2026. Les données de vente au détail du Census ont rapporté environ 30,736 milliards de dollars de stocks, 19,508 milliards de dollars de ventes mensuelles, et un ratio stock/ventes de 1,58 pour les magasins de meubles, d’articles d’ameublement, d’électronique et d’électroménager en mai 2026. Le contexte commercial et les tensions de planification s’inspirent de la discussion sur la planification des stocks dans Warren B. Powell, Bridging Decision Problems, Volume I, Chapitre 2.</w:t>
      </w:r>
    </w:p>
    <w:p>
      <w:pPr>
        <w:pStyle w:val="BodyText"/>
      </w:pPr>
      <w:r>
        <w:t xml:space="preserve">Sources : U.S. Census Bureau, Manufacturing and Trade Inventories and Sales, mai 2026 ; données du U.S. Census Bureau sur le commerce de détail mensuel, mai 2026 ; Warren B. Powell, « Inventory Planning », Bridging Decision Problems, Volume I, Chapitre 2. Consulté le 30 juillet 2026.</w:t>
      </w:r>
    </w:p>
    <w:bookmarkEnd w:id="23"/>
    <w:bookmarkStart w:id="26" w:name="notes-chatgpt"/>
    <w:p>
      <w:pPr>
        <w:pStyle w:val="Heading1"/>
      </w:pPr>
      <w:r>
        <w:t xml:space="preserve">Notes ChatGPT</w:t>
      </w:r>
    </w:p>
    <w:bookmarkStart w:id="24" w:name="invite"/>
    <w:p>
      <w:pPr>
        <w:pStyle w:val="Heading2"/>
      </w:pPr>
      <w:r>
        <w:t xml:space="preserve">Invite :</w:t>
      </w:r>
    </w:p>
    <w:p>
      <w:pPr>
        <w:pStyle w:val="FirstParagraph"/>
      </w:pPr>
      <w:r>
        <w:t xml:space="preserve">Rédigez une étude de cas de 3 à 5 pages basée sur le contenu de la section sur la planification des stocks à https://warrenpowell.org/bridging-vol1/chapter-2/#inventoryplanning. Créez un contexte basé sur les métriques, décisions et incertitudes présentes dans la section, mais sans y attirer explicitement l’attention. Motivez votre problème d’affaires avec des données.</w:t>
      </w:r>
    </w:p>
    <w:bookmarkEnd w:id="24"/>
    <w:bookmarkStart w:id="25" w:name="résumé"/>
    <w:p>
      <w:pPr>
        <w:pStyle w:val="Heading2"/>
      </w:pPr>
      <w:r>
        <w:t xml:space="preserve">Résumé</w:t>
      </w:r>
    </w:p>
    <w:p>
      <w:pPr>
        <w:pStyle w:val="FirstParagraph"/>
      </w:pPr>
      <w:r>
        <w:t xml:space="preserve">Ce cas traduit le contenu sur la planification des stocks en une entreprise fictive d’appareils électroménagers compacts se préparant pour la saison des fêtes. Il intègre :</w:t>
      </w:r>
    </w:p>
    <w:p>
      <w:pPr>
        <w:numPr>
          <w:ilvl w:val="0"/>
          <w:numId w:val="1005"/>
        </w:numPr>
      </w:pPr>
      <w:r>
        <w:t xml:space="preserve">De longs délais de réapprovisionnement internationaux</w:t>
      </w:r>
    </w:p>
    <w:p>
      <w:pPr>
        <w:numPr>
          <w:ilvl w:val="0"/>
          <w:numId w:val="1005"/>
        </w:numPr>
      </w:pPr>
      <w:r>
        <w:t xml:space="preserve">Une demande produit incertaine et des erreurs de prévision</w:t>
      </w:r>
    </w:p>
    <w:p>
      <w:pPr>
        <w:numPr>
          <w:ilvl w:val="0"/>
          <w:numId w:val="1005"/>
        </w:numPr>
      </w:pPr>
      <w:r>
        <w:t xml:space="preserve">Les conséquences des ruptures de stock et les démarques de stocks excédentaires</w:t>
      </w:r>
    </w:p>
    <w:p>
      <w:pPr>
        <w:numPr>
          <w:ilvl w:val="0"/>
          <w:numId w:val="1005"/>
        </w:numPr>
      </w:pPr>
      <w:r>
        <w:t xml:space="preserve">La sélection et la diversification des fournisseurs</w:t>
      </w:r>
    </w:p>
    <w:p>
      <w:pPr>
        <w:numPr>
          <w:ilvl w:val="0"/>
          <w:numId w:val="1005"/>
        </w:numPr>
      </w:pPr>
      <w:r>
        <w:t xml:space="preserve">Les choix de fret maritime, ferroviaire, routier, et aérien d’urgence</w:t>
      </w:r>
    </w:p>
    <w:p>
      <w:pPr>
        <w:numPr>
          <w:ilvl w:val="0"/>
          <w:numId w:val="1005"/>
        </w:numPr>
      </w:pPr>
      <w:r>
        <w:t xml:space="preserve">La tarification, la publicité, les promotions, et l’allocation par canal</w:t>
      </w:r>
    </w:p>
    <w:p>
      <w:pPr>
        <w:numPr>
          <w:ilvl w:val="0"/>
          <w:numId w:val="1005"/>
        </w:numPr>
      </w:pPr>
      <w:r>
        <w:t xml:space="preserve">Les écarts dans les registres de stocks et la visibilité des expéditions</w:t>
      </w:r>
    </w:p>
    <w:p>
      <w:pPr>
        <w:numPr>
          <w:ilvl w:val="0"/>
          <w:numId w:val="1005"/>
        </w:numPr>
      </w:pPr>
      <w:r>
        <w:t xml:space="preserve">Les contraintes de fonds de roulement et de capacité d’entrepôt</w:t>
      </w:r>
    </w:p>
    <w:p>
      <w:pPr>
        <w:numPr>
          <w:ilvl w:val="0"/>
          <w:numId w:val="1005"/>
        </w:numPr>
      </w:pPr>
      <w:r>
        <w:t xml:space="preserve">Les perturbations rares, y compris les fermetures de ports, les changements tarifaires, les cyberattaques, et les fermetures de fournisseurs</w:t>
      </w:r>
    </w:p>
    <w:p>
      <w:pPr>
        <w:numPr>
          <w:ilvl w:val="0"/>
          <w:numId w:val="1005"/>
        </w:numPr>
      </w:pPr>
      <w:r>
        <w:t xml:space="preserve">Des exhibits quantitatifs et des questions de discussion non résolues</w:t>
      </w:r>
    </w:p>
    <w:p>
      <w:pPr>
        <w:pStyle w:val="FirstParagraph"/>
      </w:pPr>
      <w:r>
        <w:t xml:space="preserve">Le cas s’appuie sur les données du Census de mai 2026 montrant environ</w:t>
      </w:r>
      <w:r>
        <w:t xml:space="preserve"> </w:t>
      </w:r>
      <w:r>
        <w:rPr>
          <w:b/>
          <w:bCs/>
        </w:rPr>
        <w:t xml:space="preserve">2,74 billions de dollars</w:t>
      </w:r>
      <w:r>
        <w:t xml:space="preserve"> </w:t>
      </w:r>
      <w:r>
        <w:t xml:space="preserve">de stocks totaux des entreprises américaines et un</w:t>
      </w:r>
      <w:r>
        <w:t xml:space="preserve"> </w:t>
      </w:r>
      <w:r>
        <w:rPr>
          <w:b/>
          <w:bCs/>
        </w:rPr>
        <w:t xml:space="preserve">ratio stock/ventes de 1,58</w:t>
      </w:r>
      <w:r>
        <w:t xml:space="preserve"> </w:t>
      </w:r>
      <w:r>
        <w:t xml:space="preserve">pour les détaillants de meubles, d’articles d’ameublement, d’électronique et d’électroménager.</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warrenpowell.org/decision-framing-tool/#decision-prioritization-tool" TargetMode="External" /><Relationship Type="http://schemas.openxmlformats.org/officeDocument/2006/relationships/hyperlink" Id="rId17" Target="https://warrenpowell.org/decision-framing-tool/#metrics-pyramid-tool" TargetMode="External" /><Relationship Type="http://schemas.openxmlformats.org/officeDocument/2006/relationships/hyperlink" Id="rId20" Target="https://warrenpowell.org/decision-framing-tool/#uncertainty-prioritization-tool" TargetMode="External" /><Relationship Type="http://schemas.openxmlformats.org/officeDocument/2006/relationships/hyperlink" Id="rId19" Target="https://warrenpowell.org/decisionsdecisions/#types-of-decision-settings" TargetMode="External" /><Relationship Type="http://schemas.openxmlformats.org/officeDocument/2006/relationships/hyperlink" Id="rId21"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18" Target="https://warrenpowell.org/decision-framing-tool/#decision-prioritization-tool" TargetMode="External" /><Relationship Type="http://schemas.openxmlformats.org/officeDocument/2006/relationships/hyperlink" Id="rId17" Target="https://warrenpowell.org/decision-framing-tool/#metrics-pyramid-tool" TargetMode="External" /><Relationship Type="http://schemas.openxmlformats.org/officeDocument/2006/relationships/hyperlink" Id="rId20" Target="https://warrenpowell.org/decision-framing-tool/#uncertainty-prioritization-tool" TargetMode="External" /><Relationship Type="http://schemas.openxmlformats.org/officeDocument/2006/relationships/hyperlink" Id="rId19" Target="https://warrenpowell.org/decisionsdecisions/#types-of-decision-settings" TargetMode="External" /><Relationship Type="http://schemas.openxmlformats.org/officeDocument/2006/relationships/hyperlink" Id="rId21"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2026-09-11T15:51:29Z</dcterms:created>
  <dcterms:modified xsi:type="dcterms:W3CDTF">2026-09-11T15:51:29Z</dcterms:modified>
</cp:coreProperties>
</file>

<file path=docProps/custom.xml><?xml version="1.0" encoding="utf-8"?>
<Properties xmlns="http://schemas.openxmlformats.org/officeDocument/2006/custom-properties" xmlns:vt="http://schemas.openxmlformats.org/officeDocument/2006/docPropsVTypes"/>
</file>