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prairieline-freight"/>
    <w:p>
      <w:pPr>
        <w:pStyle w:val="Heading1"/>
      </w:pPr>
      <w:r>
        <w:t xml:space="preserve">PRAIRIELINE FREIGHT</w:t>
      </w:r>
    </w:p>
    <w:p>
      <w:pPr>
        <w:pStyle w:val="FirstParagraph"/>
      </w:pPr>
      <w:r>
        <w:t xml:space="preserve">L’expédition du vendredi après-midi</w:t>
      </w:r>
    </w:p>
    <w:p>
      <w:pPr>
        <w:pStyle w:val="BodyText"/>
      </w:pPr>
      <w:r>
        <w:t xml:space="preserve">Une étude de cas en gestion de flotte de camions complets portant sur la sélection du fret, l’affectation des chauffeurs, le temps à domicile et l’équilibrage du réseau</w:t>
      </w:r>
    </w:p>
    <w:p>
      <w:pPr>
        <w:pStyle w:val="BodyText"/>
      </w:pPr>
      <w:r>
        <w:t xml:space="preserve">Cette étude de cas est fictive et destinée à des discussions pédagogiques. Les noms, événements, clients et chiffres internes sont inventés, bien que le contexte du secteur s’inspire de données publiques.</w:t>
      </w:r>
    </w:p>
    <w:bookmarkEnd w:id="9"/>
    <w:bookmarkStart w:id="10" w:name="une-flotte-au-mauvais-endroit"/>
    <w:p>
      <w:pPr>
        <w:pStyle w:val="Heading1"/>
      </w:pPr>
      <w:r>
        <w:t xml:space="preserve">Une flotte au mauvais endroit</w:t>
      </w:r>
    </w:p>
    <w:p>
      <w:pPr>
        <w:pStyle w:val="FirstParagraph"/>
      </w:pPr>
      <w:r>
        <w:t xml:space="preserve">À 14 h 40 le vendredi 18 septembre 2026, Maya Chen, vice-présidente des opérations chez PrairieLine Freight, étudiait une carte représentant 1 184 tracteurs dispersés sur les deux tiers orientaux des États-Unis. À minuit, 167 chauffeurs auraient terminé leurs livraisons. 94 autres seraient disponibles samedi matin. L’équipe de répartition avait 312 chargements engagés à couvrir jusqu’à lundi, 138 chargements nouvellement proposés en attente de réponse, et une liste croissante de chauffeurs qui s’attendaient à être chez eux avant la fin du week-end.</w:t>
      </w:r>
    </w:p>
    <w:p>
      <w:pPr>
        <w:pStyle w:val="BodyText"/>
      </w:pPr>
      <w:r>
        <w:t xml:space="preserve">Le problème n’était pas une pénurie de fret. C’était que le fret, les chauffeurs, les horaires de rendez-vous et les prix ne s’alignaient pas. Quarante-sept chauffeurs disponibles étaient concentrés autour d’Atlanta et du nord du New Jersey, où les tarifs sortants étaient faibles. Pendant ce temps, plusieurs clients de longue date avaient proposé des chargements attractifs depuis le centre de l’Ohio, l’est de l’Iowa et l’ouest du Tennessee. Déplacer des chauffeurs à vide vers ces marchés consommerait du carburant, des heures de conduite et de la capacité d’équipement avant même qu’un seul kilomètre générateur de revenus ne soit parcouru.</w:t>
      </w:r>
    </w:p>
    <w:p>
      <w:pPr>
        <w:pStyle w:val="BodyText"/>
      </w:pPr>
      <w:r>
        <w:t xml:space="preserve">Les enjeux étaient considérables. Les camions ont transporté 11,27 milliards de tonnes de fret aux États-Unis en 2024 et généré environ 906 milliards de dollars de revenus pour le secteur. Le transport routier soutenait également 8,4 millions d’emplois liés au secteur, dont 3,58 millions de chauffeurs professionnels. Pourtant, le marché était inégal : les volumes de fret s’étaient affaiblis après la pandémie, les prix des contrats étaient sous pression, et les transporteurs devaient tout de même préserver le service pour les clients stratégiques tout en réagissant aux opportunités de dernière minute.</w:t>
      </w:r>
    </w:p>
    <w:tbl>
      <w:tblPr>
        <w:tblStyle w:val="Table"/>
        <w:tblW w:type="auto" w:w="0"/>
        <w:tblLook w:firstRow="0" w:lastRow="0" w:firstColumn="0" w:lastColumn="0" w:noHBand="0" w:noVBand="0" w:val="0000"/>
      </w:tblPr>
      <w:tblGrid>
        <w:gridCol w:w="7920"/>
      </w:tblGrid>
      <w:tr>
        <w:tc>
          <w:tcPr/>
          <w:p>
            <w:pPr>
              <w:pStyle w:val="Compact"/>
            </w:pPr>
            <w:r>
              <w:t xml:space="preserve">PrairieLine pourrait améliorer la marge de ce week-end en envoyant les chauffeurs vers les chargements les mieux rémunérés. Cela pourrait aussi endommager les relations avec les clients, laisser des chauffeurs bloqués loin de chez eux, ou mal positionner le réseau pour lundi.</w:t>
            </w:r>
          </w:p>
        </w:tc>
      </w:tr>
    </w:tbl>
    <w:p>
      <w:r>
        <w:pict>
          <v:rect style="width:0;height:1.5pt" o:hralign="center" o:hrstd="t" o:hr="t"/>
        </w:pict>
      </w:r>
    </w:p>
    <w:bookmarkEnd w:id="10"/>
    <w:bookmarkStart w:id="12" w:name="prairieline-freight-1"/>
    <w:p>
      <w:pPr>
        <w:pStyle w:val="Heading1"/>
      </w:pPr>
      <w:r>
        <w:t xml:space="preserve">PrairieLine Freight</w:t>
      </w:r>
    </w:p>
    <w:p>
      <w:pPr>
        <w:pStyle w:val="FirstParagraph"/>
      </w:pPr>
      <w:r>
        <w:t xml:space="preserve">PrairieLine était un transporteur de camions complets détenu de manière privée, basé à Indianapolis. Elle exploitait 1 250 tracteurs et 3 800 remorques, avec des terminaux en Indiana, en Géorgie, en Pennsylvanie, au Texas et au Missouri. Environ 70 pour cent de son fret circulait dans le cadre de contrats annuels avec des fabricants, des détaillants, des entreprises alimentaires et des sociétés de produits de construction. Le reste provenait de demandes de clients à court terme, de courtiers et de bourses de fret publiques.</w:t>
      </w:r>
    </w:p>
    <w:p>
      <w:pPr>
        <w:pStyle w:val="BodyText"/>
      </w:pPr>
      <w:r>
        <w:t xml:space="preserve">L’entreprise employait des chauffeurs régionaux, dédiés et longue distance. Les chauffeurs régionaux s’attendaient généralement à être chez eux chaque week-end. Les chauffeurs dédiés servaient des clients définis et suivaient des itinéraires relativement prévisibles. Les chauffeurs longue distance acceptaient des affectations géographiques plus larges mais avaient tout de même des dates de retour à domicile promises. L’entreprise s’était développée en partie en promettant un temps à domicile fiable et en accordant aux chauffeurs une certaine capacité à refuser des affectations en conflit avec des besoins familiaux, des préoccupations de sécurité, ou des régions d’exploitation préférées.</w:t>
      </w:r>
    </w:p>
    <w:p>
      <w:pPr>
        <w:pStyle w:val="BodyText"/>
      </w:pPr>
      <w:r>
        <w:t xml:space="preserve">Recruter des remplaçants coûtait cher. Le Bureau of Labor Statistics des États-Unis rapportait plus de deux millions de chauffeurs de camions lourds et de semi-remorques en 2025, avec une rémunération annuelle médiane proche de 59 700 $. Il projetait environ 237 600 postes vacants par an au cours de la décennie à venir, en grande partie parce que des travailleurs partiraient à la retraite ou quitteraient la profession. PrairieLine estimait que le recrutement, l’intégration et la mise à niveau d’un nouveau chauffeur vers une productivité normale coûtaient entre 9 000 $ et 14 000 $, avant même de considérer le revenu perdu pendant qu’un tracteur restait inactif.</w:t>
      </w:r>
    </w:p>
    <w:bookmarkStart w:id="11" w:name="X288ef54a9a4defccb64ce3346906fd8fe7a2f68"/>
    <w:p>
      <w:pPr>
        <w:pStyle w:val="Heading2"/>
      </w:pPr>
      <w:r>
        <w:t xml:space="preserve">Exhibit 1. Profil opérationnel de PrairieLine</w:t>
      </w:r>
    </w:p>
    <w:tbl>
      <w:tblPr>
        <w:tblStyle w:val="Table"/>
        <w:tblW w:type="pct" w:w="4861"/>
        <w:tblLayout w:type="fixed"/>
        <w:tblLook w:firstRow="1" w:lastRow="0" w:firstColumn="0" w:lastColumn="0" w:noHBand="0" w:noVBand="0" w:val="0020"/>
      </w:tblPr>
      <w:tblGrid>
        <w:gridCol w:w="3960"/>
        <w:gridCol w:w="1210"/>
        <w:gridCol w:w="1210"/>
        <w:gridCol w:w="1320"/>
      </w:tblGrid>
      <w:tr>
        <w:trPr>
          <w:tblHeader w:val="on"/>
        </w:trPr>
        <w:tc>
          <w:tcPr/>
          <w:p>
            <w:pPr>
              <w:pStyle w:val="Compact"/>
              <w:jc w:val="left"/>
            </w:pPr>
            <w:r>
              <w:t xml:space="preserve">Mesure</w:t>
            </w:r>
          </w:p>
        </w:tc>
        <w:tc>
          <w:tcPr/>
          <w:p>
            <w:pPr>
              <w:pStyle w:val="Compact"/>
              <w:jc w:val="center"/>
            </w:pPr>
            <w:r>
              <w:t xml:space="preserve">2024</w:t>
            </w:r>
          </w:p>
        </w:tc>
        <w:tc>
          <w:tcPr/>
          <w:p>
            <w:pPr>
              <w:pStyle w:val="Compact"/>
              <w:jc w:val="center"/>
            </w:pPr>
            <w:r>
              <w:t xml:space="preserve">2025</w:t>
            </w:r>
          </w:p>
        </w:tc>
        <w:tc>
          <w:tcPr/>
          <w:p>
            <w:pPr>
              <w:pStyle w:val="Compact"/>
              <w:jc w:val="center"/>
            </w:pPr>
            <w:r>
              <w:t xml:space="preserve">2026 YTD</w:t>
            </w:r>
          </w:p>
        </w:tc>
      </w:tr>
      <w:tr>
        <w:tc>
          <w:tcPr/>
          <w:p>
            <w:pPr>
              <w:pStyle w:val="Compact"/>
              <w:jc w:val="left"/>
            </w:pPr>
            <w:r>
              <w:t xml:space="preserve">Tracteurs occupés en moyenne</w:t>
            </w:r>
          </w:p>
        </w:tc>
        <w:tc>
          <w:tcPr/>
          <w:p>
            <w:pPr>
              <w:pStyle w:val="Compact"/>
              <w:jc w:val="center"/>
            </w:pPr>
            <w:r>
              <w:t xml:space="preserve">1 108</w:t>
            </w:r>
          </w:p>
        </w:tc>
        <w:tc>
          <w:tcPr/>
          <w:p>
            <w:pPr>
              <w:pStyle w:val="Compact"/>
              <w:jc w:val="center"/>
            </w:pPr>
            <w:r>
              <w:t xml:space="preserve">1 176</w:t>
            </w:r>
          </w:p>
        </w:tc>
        <w:tc>
          <w:tcPr/>
          <w:p>
            <w:pPr>
              <w:pStyle w:val="Compact"/>
              <w:jc w:val="center"/>
            </w:pPr>
            <w:r>
              <w:t xml:space="preserve">1 184</w:t>
            </w:r>
          </w:p>
        </w:tc>
      </w:tr>
      <w:tr>
        <w:tc>
          <w:tcPr/>
          <w:p>
            <w:pPr>
              <w:pStyle w:val="Compact"/>
              <w:jc w:val="left"/>
            </w:pPr>
            <w:r>
              <w:t xml:space="preserve">Revenu par mile chargé</w:t>
            </w:r>
          </w:p>
        </w:tc>
        <w:tc>
          <w:tcPr/>
          <w:p>
            <w:pPr>
              <w:pStyle w:val="Compact"/>
              <w:jc w:val="center"/>
            </w:pPr>
            <w:r>
              <w:t xml:space="preserve">2,49 $</w:t>
            </w:r>
          </w:p>
        </w:tc>
        <w:tc>
          <w:tcPr/>
          <w:p>
            <w:pPr>
              <w:pStyle w:val="Compact"/>
              <w:jc w:val="center"/>
            </w:pPr>
            <w:r>
              <w:t xml:space="preserve">2,42 $</w:t>
            </w:r>
          </w:p>
        </w:tc>
        <w:tc>
          <w:tcPr/>
          <w:p>
            <w:pPr>
              <w:pStyle w:val="Compact"/>
              <w:jc w:val="center"/>
            </w:pPr>
            <w:r>
              <w:t xml:space="preserve">2,46 $</w:t>
            </w:r>
          </w:p>
        </w:tc>
      </w:tr>
      <w:tr>
        <w:tc>
          <w:tcPr/>
          <w:p>
            <w:pPr>
              <w:pStyle w:val="Compact"/>
              <w:jc w:val="left"/>
            </w:pPr>
            <w:r>
              <w:t xml:space="preserve">Coût d’exploitation par mile total</w:t>
            </w:r>
          </w:p>
        </w:tc>
        <w:tc>
          <w:tcPr/>
          <w:p>
            <w:pPr>
              <w:pStyle w:val="Compact"/>
              <w:jc w:val="center"/>
            </w:pPr>
            <w:r>
              <w:t xml:space="preserve">2,07 $</w:t>
            </w:r>
          </w:p>
        </w:tc>
        <w:tc>
          <w:tcPr/>
          <w:p>
            <w:pPr>
              <w:pStyle w:val="Compact"/>
              <w:jc w:val="center"/>
            </w:pPr>
            <w:r>
              <w:t xml:space="preserve">2,10 $</w:t>
            </w:r>
          </w:p>
        </w:tc>
        <w:tc>
          <w:tcPr/>
          <w:p>
            <w:pPr>
              <w:pStyle w:val="Compact"/>
              <w:jc w:val="center"/>
            </w:pPr>
            <w:r>
              <w:t xml:space="preserve">2,16 $</w:t>
            </w:r>
          </w:p>
        </w:tc>
      </w:tr>
      <w:tr>
        <w:tc>
          <w:tcPr/>
          <w:p>
            <w:pPr>
              <w:pStyle w:val="Compact"/>
              <w:jc w:val="left"/>
            </w:pPr>
            <w:r>
              <w:t xml:space="preserve">Miles à vide en % des miles totaux</w:t>
            </w:r>
          </w:p>
        </w:tc>
        <w:tc>
          <w:tcPr/>
          <w:p>
            <w:pPr>
              <w:pStyle w:val="Compact"/>
              <w:jc w:val="center"/>
            </w:pPr>
            <w:r>
              <w:t xml:space="preserve">12,8%</w:t>
            </w:r>
          </w:p>
        </w:tc>
        <w:tc>
          <w:tcPr/>
          <w:p>
            <w:pPr>
              <w:pStyle w:val="Compact"/>
              <w:jc w:val="center"/>
            </w:pPr>
            <w:r>
              <w:t xml:space="preserve">13,6%</w:t>
            </w:r>
          </w:p>
        </w:tc>
        <w:tc>
          <w:tcPr/>
          <w:p>
            <w:pPr>
              <w:pStyle w:val="Compact"/>
              <w:jc w:val="center"/>
            </w:pPr>
            <w:r>
              <w:t xml:space="preserve">14,4%</w:t>
            </w:r>
          </w:p>
        </w:tc>
      </w:tr>
      <w:tr>
        <w:tc>
          <w:tcPr/>
          <w:p>
            <w:pPr>
              <w:pStyle w:val="Compact"/>
              <w:jc w:val="left"/>
            </w:pPr>
            <w:r>
              <w:t xml:space="preserve">Miles moyens par chauffeur par semai</w:t>
            </w:r>
          </w:p>
        </w:tc>
        <w:tc>
          <w:tcPr/>
          <w:p>
            <w:pPr>
              <w:pStyle w:val="Compact"/>
              <w:jc w:val="center"/>
            </w:pPr>
            <w:r>
              <w:t xml:space="preserve">ne 2 216</w:t>
            </w:r>
          </w:p>
        </w:tc>
        <w:tc>
          <w:tcPr/>
          <w:p>
            <w:pPr>
              <w:pStyle w:val="Compact"/>
              <w:jc w:val="center"/>
            </w:pPr>
            <w:r>
              <w:t xml:space="preserve">2 162</w:t>
            </w:r>
          </w:p>
        </w:tc>
        <w:tc>
          <w:tcPr/>
          <w:p>
            <w:pPr>
              <w:pStyle w:val="Compact"/>
              <w:jc w:val="center"/>
            </w:pPr>
            <w:r>
              <w:t xml:space="preserve">2 118</w:t>
            </w:r>
          </w:p>
        </w:tc>
      </w:tr>
      <w:tr>
        <w:tc>
          <w:tcPr/>
          <w:p>
            <w:pPr>
              <w:pStyle w:val="Compact"/>
              <w:jc w:val="left"/>
            </w:pPr>
            <w:r>
              <w:t xml:space="preserve">Ramassage et livraison à l’heure</w:t>
            </w:r>
          </w:p>
        </w:tc>
        <w:tc>
          <w:tcPr/>
          <w:p>
            <w:pPr>
              <w:pStyle w:val="Compact"/>
              <w:jc w:val="center"/>
            </w:pPr>
            <w:r>
              <w:t xml:space="preserve">96,1%</w:t>
            </w:r>
          </w:p>
        </w:tc>
        <w:tc>
          <w:tcPr/>
          <w:p>
            <w:pPr>
              <w:pStyle w:val="Compact"/>
              <w:jc w:val="center"/>
            </w:pPr>
            <w:r>
              <w:t xml:space="preserve">95,4%</w:t>
            </w:r>
          </w:p>
        </w:tc>
        <w:tc>
          <w:tcPr/>
          <w:p>
            <w:pPr>
              <w:pStyle w:val="Compact"/>
              <w:jc w:val="center"/>
            </w:pPr>
            <w:r>
              <w:t xml:space="preserve">94,7%</w:t>
            </w:r>
          </w:p>
        </w:tc>
      </w:tr>
      <w:tr>
        <w:tc>
          <w:tcPr/>
          <w:p>
            <w:pPr>
              <w:pStyle w:val="Compact"/>
              <w:jc w:val="left"/>
            </w:pPr>
            <w:r>
              <w:t xml:space="preserve">Chauffeurs rentrés à la date promise</w:t>
            </w:r>
          </w:p>
        </w:tc>
        <w:tc>
          <w:tcPr/>
          <w:p>
            <w:pPr>
              <w:pStyle w:val="Compact"/>
              <w:jc w:val="center"/>
            </w:pPr>
            <w:r>
              <w:t xml:space="preserve">91,8%</w:t>
            </w:r>
          </w:p>
        </w:tc>
        <w:tc>
          <w:tcPr/>
          <w:p>
            <w:pPr>
              <w:pStyle w:val="Compact"/>
              <w:jc w:val="center"/>
            </w:pPr>
            <w:r>
              <w:t xml:space="preserve">89,6%</w:t>
            </w:r>
          </w:p>
        </w:tc>
        <w:tc>
          <w:tcPr/>
          <w:p>
            <w:pPr>
              <w:pStyle w:val="Compact"/>
              <w:jc w:val="center"/>
            </w:pPr>
            <w:r>
              <w:t xml:space="preserve">87,9%</w:t>
            </w:r>
          </w:p>
        </w:tc>
      </w:tr>
      <w:tr>
        <w:tc>
          <w:tcPr/>
          <w:p>
            <w:pPr>
              <w:pStyle w:val="Compact"/>
              <w:jc w:val="left"/>
            </w:pPr>
            <w:r>
              <w:t xml:space="preserve">Roulement annualisé des chauffeurs</w:t>
            </w:r>
          </w:p>
        </w:tc>
        <w:tc>
          <w:tcPr/>
          <w:p>
            <w:pPr>
              <w:pStyle w:val="Compact"/>
              <w:jc w:val="center"/>
            </w:pPr>
            <w:r>
              <w:t xml:space="preserve">63%</w:t>
            </w:r>
          </w:p>
        </w:tc>
        <w:tc>
          <w:tcPr/>
          <w:p>
            <w:pPr>
              <w:pStyle w:val="Compact"/>
              <w:jc w:val="center"/>
            </w:pPr>
            <w:r>
              <w:t xml:space="preserve">69%</w:t>
            </w:r>
          </w:p>
        </w:tc>
        <w:tc>
          <w:tcPr/>
          <w:p>
            <w:pPr>
              <w:pStyle w:val="Compact"/>
              <w:jc w:val="center"/>
            </w:pPr>
            <w:r>
              <w:t xml:space="preserve">74%</w:t>
            </w:r>
          </w:p>
        </w:tc>
      </w:tr>
    </w:tbl>
    <w:p>
      <w:pPr>
        <w:pStyle w:val="BodyText"/>
      </w:pPr>
      <w:r>
        <w:t xml:space="preserve">Source : estimations internes de PrairieLine ; tous les chiffres sont fictifs.</w:t>
      </w:r>
    </w:p>
    <w:bookmarkEnd w:id="11"/>
    <w:bookmarkEnd w:id="12"/>
    <w:bookmarkStart w:id="14" w:name="la-géographie-du-profit"/>
    <w:p>
      <w:pPr>
        <w:pStyle w:val="Heading1"/>
      </w:pPr>
      <w:r>
        <w:t xml:space="preserve">La géographie du profit</w:t>
      </w:r>
    </w:p>
    <w:p>
      <w:pPr>
        <w:pStyle w:val="FirstParagraph"/>
      </w:pPr>
      <w:r>
        <w:t xml:space="preserve">Le fret en camion complet circulait rarement en paires équilibrées. PrairieLine gagnait de bons tarifs en transportant des appareils électroménagers et des biens industriels depuis le Midwest vers le Nord-Est et le Sud-Est. Le trajet de retour était souvent moins attractif. Les marchés de consommation autour de New York, Philadelphie, Atlanta et la Floride recevaient de gros volumes de fret mais produisaient moins de chargements sortants bien rémunérés. Un chauffeur livrant dans l’une de ces régions pouvait attendre, accepter un chargement à bas prix, ou voyager à vide vers un marché plus fort.</w:t>
      </w:r>
    </w:p>
    <w:p>
      <w:pPr>
        <w:pStyle w:val="BodyText"/>
      </w:pPr>
      <w:r>
        <w:t xml:space="preserve">Les répartiteurs devaient donc évaluer plus que la marge sur un seul chargement. Un mouvement rentable vers une destination faible pouvait réduire le revenu du chauffeur pendant plusieurs jours. À l’inverse, un chargement peu rémunérateur pouvait être utile s’il transportait un chauffeur vers un marché plus fort ou vers son domicile. La valeur d’un chargement dépendait de ce qui se produisait après sa livraison, mais la plus grande partie de ce fret futur n’avait pas encore été proposée.</w:t>
      </w:r>
    </w:p>
    <w:p>
      <w:pPr>
        <w:pStyle w:val="BodyText"/>
      </w:pPr>
      <w:r>
        <w:t xml:space="preserve">Le carburant amplifiait les conséquences des mouvements à vide. Le prix de détail moyen américain du diesel routier était d’environ 3,95 $ le gallon en 2025, après une moyenne de 5,21 $ en 2022 et de 4,58 $ en 2023. À 6,8 miles par gallon, chaque tranche de 100 miles à vide coûtait à PrairieLine environ 58 $ en carburant à la moyenne de 2025, avant la rémunération du chauffeur, l’entretien, les pneus, l’assurance, et le coût d’opportunité de la consommation d’heures de conduite légales.</w:t>
      </w:r>
    </w:p>
    <w:bookmarkStart w:id="13" w:name="X95e41cb74716cae40ba0fb25e484e815d6d8f60"/>
    <w:p>
      <w:pPr>
        <w:pStyle w:val="Heading2"/>
      </w:pPr>
      <w:r>
        <w:t xml:space="preserve">Exhibit 2. Fret sélectionné disponible vendredi après-midi</w:t>
      </w:r>
    </w:p>
    <w:tbl>
      <w:tblPr>
        <w:tblStyle w:val="Table"/>
        <w:tblW w:type="pct" w:w="4910"/>
        <w:tblLayout w:type="fixed"/>
        <w:tblLook w:firstRow="1" w:lastRow="0" w:firstColumn="0" w:lastColumn="0" w:noHBand="0" w:noVBand="0" w:val="0020"/>
      </w:tblPr>
      <w:tblGrid>
        <w:gridCol w:w="499"/>
        <w:gridCol w:w="2497"/>
        <w:gridCol w:w="713"/>
        <w:gridCol w:w="1070"/>
        <w:gridCol w:w="1712"/>
        <w:gridCol w:w="1284"/>
      </w:tblGrid>
      <w:tr>
        <w:trPr>
          <w:tblHeader w:val="on"/>
        </w:trPr>
        <w:tc>
          <w:tcPr/>
          <w:p>
            <w:pPr>
              <w:pStyle w:val="Compact"/>
            </w:pPr>
            <w:r>
              <w:t xml:space="preserve">Chargem</w:t>
            </w:r>
          </w:p>
        </w:tc>
        <w:tc>
          <w:tcPr/>
          <w:p>
            <w:pPr>
              <w:pStyle w:val="Compact"/>
              <w:jc w:val="left"/>
            </w:pPr>
            <w:r>
              <w:t xml:space="preserve">ent Origine → Destination</w:t>
            </w:r>
          </w:p>
        </w:tc>
        <w:tc>
          <w:tcPr/>
          <w:p>
            <w:pPr>
              <w:pStyle w:val="Compact"/>
              <w:jc w:val="center"/>
            </w:pPr>
            <w:r>
              <w:t xml:space="preserve">Revenu</w:t>
            </w:r>
          </w:p>
        </w:tc>
        <w:tc>
          <w:tcPr/>
          <w:p>
            <w:pPr>
              <w:pStyle w:val="Compact"/>
              <w:jc w:val="left"/>
            </w:pPr>
            <w:r>
              <w:t xml:space="preserve">Miles chargés</w:t>
            </w:r>
          </w:p>
        </w:tc>
        <w:tc>
          <w:tcPr/>
          <w:p>
            <w:pPr>
              <w:pStyle w:val="Compact"/>
              <w:jc w:val="right"/>
            </w:pPr>
            <w:r>
              <w:t xml:space="preserve">Miles à vide vers le ra</w:t>
            </w:r>
          </w:p>
        </w:tc>
        <w:tc>
          <w:tcPr/>
          <w:p>
            <w:pPr>
              <w:pStyle w:val="Compact"/>
            </w:pPr>
            <w:r>
              <w:t xml:space="preserve">massage Date limite de ramassage</w:t>
            </w:r>
          </w:p>
        </w:tc>
      </w:tr>
      <w:tr>
        <w:tc>
          <w:tcPr/>
          <w:p>
            <w:pPr>
              <w:pStyle w:val="Compact"/>
            </w:pPr>
            <w:r>
              <w:t xml:space="preserve">A</w:t>
            </w:r>
          </w:p>
        </w:tc>
        <w:tc>
          <w:tcPr/>
          <w:p>
            <w:pPr>
              <w:pStyle w:val="Compact"/>
              <w:jc w:val="left"/>
            </w:pPr>
            <w:r>
              <w:t xml:space="preserve">Columbus, OH → Newark, NJ</w:t>
            </w:r>
          </w:p>
        </w:tc>
        <w:tc>
          <w:tcPr/>
          <w:p>
            <w:pPr>
              <w:pStyle w:val="Compact"/>
              <w:jc w:val="center"/>
            </w:pPr>
            <w:r>
              <w:t xml:space="preserve">2 950 $</w:t>
            </w:r>
          </w:p>
        </w:tc>
        <w:tc>
          <w:tcPr/>
          <w:p>
            <w:pPr>
              <w:pStyle w:val="Compact"/>
              <w:jc w:val="left"/>
            </w:pPr>
            <w:r>
              <w:t xml:space="preserve">515</w:t>
            </w:r>
          </w:p>
        </w:tc>
        <w:tc>
          <w:tcPr/>
          <w:p>
            <w:pPr>
              <w:pStyle w:val="Compact"/>
              <w:jc w:val="right"/>
            </w:pPr>
            <w:r>
              <w:t xml:space="preserve">42</w:t>
            </w:r>
          </w:p>
        </w:tc>
        <w:tc>
          <w:tcPr/>
          <w:p>
            <w:pPr>
              <w:pStyle w:val="Compact"/>
            </w:pPr>
            <w:r>
              <w:t xml:space="preserve">ven. 20 h 00</w:t>
            </w:r>
          </w:p>
        </w:tc>
      </w:tr>
      <w:tr>
        <w:tc>
          <w:tcPr/>
          <w:p>
            <w:pPr>
              <w:pStyle w:val="Compact"/>
            </w:pPr>
            <w:r>
              <w:t xml:space="preserve">B</w:t>
            </w:r>
          </w:p>
        </w:tc>
        <w:tc>
          <w:tcPr/>
          <w:p>
            <w:pPr>
              <w:pStyle w:val="Compact"/>
              <w:jc w:val="left"/>
            </w:pPr>
            <w:r>
              <w:t xml:space="preserve">Atlanta, GA → Jacksonville, FL</w:t>
            </w:r>
          </w:p>
        </w:tc>
        <w:tc>
          <w:tcPr/>
          <w:p>
            <w:pPr>
              <w:pStyle w:val="Compact"/>
              <w:jc w:val="center"/>
            </w:pPr>
            <w:r>
              <w:t xml:space="preserve">1 080 $</w:t>
            </w:r>
          </w:p>
        </w:tc>
        <w:tc>
          <w:tcPr/>
          <w:p>
            <w:pPr>
              <w:pStyle w:val="Compact"/>
              <w:jc w:val="left"/>
            </w:pPr>
            <w:r>
              <w:t xml:space="preserve">346</w:t>
            </w:r>
          </w:p>
        </w:tc>
        <w:tc>
          <w:tcPr/>
          <w:p>
            <w:pPr>
              <w:pStyle w:val="Compact"/>
              <w:jc w:val="right"/>
            </w:pPr>
            <w:r>
              <w:t xml:space="preserve">18</w:t>
            </w:r>
          </w:p>
        </w:tc>
        <w:tc>
          <w:tcPr/>
          <w:p>
            <w:pPr>
              <w:pStyle w:val="Compact"/>
            </w:pPr>
            <w:r>
              <w:t xml:space="preserve">sam. 7 h 00</w:t>
            </w:r>
          </w:p>
        </w:tc>
      </w:tr>
      <w:tr>
        <w:tc>
          <w:tcPr/>
          <w:p>
            <w:pPr>
              <w:pStyle w:val="Compact"/>
            </w:pPr>
            <w:r>
              <w:t xml:space="preserve">C</w:t>
            </w:r>
          </w:p>
        </w:tc>
        <w:tc>
          <w:tcPr/>
          <w:p>
            <w:pPr>
              <w:pStyle w:val="Compact"/>
              <w:jc w:val="left"/>
            </w:pPr>
            <w:r>
              <w:t xml:space="preserve">Cedar Rapids, IA → Nashville, TN</w:t>
            </w:r>
          </w:p>
        </w:tc>
        <w:tc>
          <w:tcPr/>
          <w:p>
            <w:pPr>
              <w:pStyle w:val="Compact"/>
              <w:jc w:val="center"/>
            </w:pPr>
            <w:r>
              <w:t xml:space="preserve">2 720 $</w:t>
            </w:r>
          </w:p>
        </w:tc>
        <w:tc>
          <w:tcPr/>
          <w:p>
            <w:pPr>
              <w:pStyle w:val="Compact"/>
              <w:jc w:val="left"/>
            </w:pPr>
            <w:r>
              <w:t xml:space="preserve">620</w:t>
            </w:r>
          </w:p>
        </w:tc>
        <w:tc>
          <w:tcPr/>
          <w:p>
            <w:pPr>
              <w:pStyle w:val="Compact"/>
              <w:jc w:val="right"/>
            </w:pPr>
            <w:r>
              <w:t xml:space="preserve">96</w:t>
            </w:r>
          </w:p>
        </w:tc>
        <w:tc>
          <w:tcPr/>
          <w:p>
            <w:pPr>
              <w:pStyle w:val="Compact"/>
            </w:pPr>
            <w:r>
              <w:t xml:space="preserve">sam. midi</w:t>
            </w:r>
          </w:p>
        </w:tc>
      </w:tr>
      <w:tr>
        <w:tc>
          <w:tcPr/>
          <w:p>
            <w:pPr>
              <w:pStyle w:val="Compact"/>
            </w:pPr>
            <w:r>
              <w:t xml:space="preserve">D</w:t>
            </w:r>
          </w:p>
        </w:tc>
        <w:tc>
          <w:tcPr/>
          <w:p>
            <w:pPr>
              <w:pStyle w:val="Compact"/>
              <w:jc w:val="left"/>
            </w:pPr>
            <w:r>
              <w:t xml:space="preserve">Allentown, PA → Chicago, IL</w:t>
            </w:r>
          </w:p>
        </w:tc>
        <w:tc>
          <w:tcPr/>
          <w:p>
            <w:pPr>
              <w:pStyle w:val="Compact"/>
              <w:jc w:val="center"/>
            </w:pPr>
            <w:r>
              <w:t xml:space="preserve">2 410 $</w:t>
            </w:r>
          </w:p>
        </w:tc>
        <w:tc>
          <w:tcPr/>
          <w:p>
            <w:pPr>
              <w:pStyle w:val="Compact"/>
              <w:jc w:val="left"/>
            </w:pPr>
            <w:r>
              <w:t xml:space="preserve">735</w:t>
            </w:r>
          </w:p>
        </w:tc>
        <w:tc>
          <w:tcPr/>
          <w:p>
            <w:pPr>
              <w:pStyle w:val="Compact"/>
              <w:jc w:val="right"/>
            </w:pPr>
            <w:r>
              <w:t xml:space="preserve">21</w:t>
            </w:r>
          </w:p>
        </w:tc>
        <w:tc>
          <w:tcPr/>
          <w:p>
            <w:pPr>
              <w:pStyle w:val="Compact"/>
            </w:pPr>
            <w:r>
              <w:t xml:space="preserve">ven. 23 h 00</w:t>
            </w:r>
          </w:p>
        </w:tc>
      </w:tr>
      <w:tr>
        <w:tc>
          <w:tcPr/>
          <w:p>
            <w:pPr>
              <w:pStyle w:val="Compact"/>
            </w:pPr>
            <w:r>
              <w:t xml:space="preserve">E</w:t>
            </w:r>
          </w:p>
        </w:tc>
        <w:tc>
          <w:tcPr/>
          <w:p>
            <w:pPr>
              <w:pStyle w:val="Compact"/>
              <w:jc w:val="left"/>
            </w:pPr>
            <w:r>
              <w:t xml:space="preserve">Memphis, TN → Dallas, TX</w:t>
            </w:r>
          </w:p>
        </w:tc>
        <w:tc>
          <w:tcPr/>
          <w:p>
            <w:pPr>
              <w:pStyle w:val="Compact"/>
              <w:jc w:val="center"/>
            </w:pPr>
            <w:r>
              <w:t xml:space="preserve">2 180 $</w:t>
            </w:r>
          </w:p>
        </w:tc>
        <w:tc>
          <w:tcPr/>
          <w:p>
            <w:pPr>
              <w:pStyle w:val="Compact"/>
              <w:jc w:val="left"/>
            </w:pPr>
            <w:r>
              <w:t xml:space="preserve">455</w:t>
            </w:r>
          </w:p>
        </w:tc>
        <w:tc>
          <w:tcPr/>
          <w:p>
            <w:pPr>
              <w:pStyle w:val="Compact"/>
              <w:jc w:val="right"/>
            </w:pPr>
            <w:r>
              <w:t xml:space="preserve">64</w:t>
            </w:r>
          </w:p>
        </w:tc>
        <w:tc>
          <w:tcPr/>
          <w:p>
            <w:pPr>
              <w:pStyle w:val="Compact"/>
            </w:pPr>
            <w:r>
              <w:t xml:space="preserve">sam. 9 h 00</w:t>
            </w:r>
          </w:p>
        </w:tc>
      </w:tr>
      <w:tr>
        <w:tc>
          <w:tcPr/>
          <w:p>
            <w:pPr>
              <w:pStyle w:val="Compact"/>
            </w:pPr>
            <w:r>
              <w:t xml:space="preserve">F</w:t>
            </w:r>
          </w:p>
        </w:tc>
        <w:tc>
          <w:tcPr/>
          <w:p>
            <w:pPr>
              <w:pStyle w:val="Compact"/>
              <w:jc w:val="left"/>
            </w:pPr>
            <w:r>
              <w:t xml:space="preserve">Newark, NJ → Harrisburg, PA</w:t>
            </w:r>
          </w:p>
        </w:tc>
        <w:tc>
          <w:tcPr/>
          <w:p>
            <w:pPr>
              <w:pStyle w:val="Compact"/>
              <w:jc w:val="center"/>
            </w:pPr>
            <w:r>
              <w:t xml:space="preserve">620 $</w:t>
            </w:r>
          </w:p>
        </w:tc>
        <w:tc>
          <w:tcPr/>
          <w:p>
            <w:pPr>
              <w:pStyle w:val="Compact"/>
              <w:jc w:val="left"/>
            </w:pPr>
            <w:r>
              <w:t xml:space="preserve">165</w:t>
            </w:r>
          </w:p>
        </w:tc>
        <w:tc>
          <w:tcPr/>
          <w:p>
            <w:pPr>
              <w:pStyle w:val="Compact"/>
              <w:jc w:val="right"/>
            </w:pPr>
            <w:r>
              <w:t xml:space="preserve">11</w:t>
            </w:r>
          </w:p>
        </w:tc>
        <w:tc>
          <w:tcPr/>
          <w:p>
            <w:pPr>
              <w:pStyle w:val="Compact"/>
            </w:pPr>
            <w:r>
              <w:t xml:space="preserve">sam. 6 h 00</w:t>
            </w:r>
          </w:p>
        </w:tc>
      </w:tr>
      <w:tr>
        <w:tc>
          <w:tcPr/>
          <w:p>
            <w:pPr>
              <w:pStyle w:val="Compact"/>
            </w:pPr>
            <w:r>
              <w:t xml:space="preserve">G</w:t>
            </w:r>
          </w:p>
        </w:tc>
        <w:tc>
          <w:tcPr/>
          <w:p>
            <w:pPr>
              <w:pStyle w:val="Compact"/>
              <w:jc w:val="left"/>
            </w:pPr>
            <w:r>
              <w:t xml:space="preserve">Indianapolis, IN → Atlanta, GA</w:t>
            </w:r>
          </w:p>
        </w:tc>
        <w:tc>
          <w:tcPr/>
          <w:p>
            <w:pPr>
              <w:pStyle w:val="Compact"/>
              <w:jc w:val="center"/>
            </w:pPr>
            <w:r>
              <w:t xml:space="preserve">2 060 $</w:t>
            </w:r>
          </w:p>
        </w:tc>
        <w:tc>
          <w:tcPr/>
          <w:p>
            <w:pPr>
              <w:pStyle w:val="Compact"/>
              <w:jc w:val="left"/>
            </w:pPr>
            <w:r>
              <w:t xml:space="preserve">535</w:t>
            </w:r>
          </w:p>
        </w:tc>
        <w:tc>
          <w:tcPr/>
          <w:p>
            <w:pPr>
              <w:pStyle w:val="Compact"/>
              <w:jc w:val="right"/>
            </w:pPr>
            <w:r>
              <w:t xml:space="preserve">33</w:t>
            </w:r>
          </w:p>
        </w:tc>
        <w:tc>
          <w:tcPr/>
          <w:p>
            <w:pPr>
              <w:pStyle w:val="Compact"/>
            </w:pPr>
            <w:r>
              <w:t xml:space="preserve">sam. 14 h 00</w:t>
            </w:r>
          </w:p>
        </w:tc>
      </w:tr>
    </w:tbl>
    <w:p>
      <w:pPr>
        <w:pStyle w:val="BodyText"/>
      </w:pPr>
      <w:r>
        <w:t xml:space="preserve">Source : tableau de répartition de PrairieLine ; chiffres fictifs et hors suppléments carburant.</w:t>
      </w:r>
    </w:p>
    <w:bookmarkEnd w:id="13"/>
    <w:bookmarkEnd w:id="14"/>
    <w:bookmarkStart w:id="16" w:name="les-clients-qui-ont-appelé-tard"/>
    <w:p>
      <w:pPr>
        <w:pStyle w:val="Heading1"/>
      </w:pPr>
      <w:r>
        <w:t xml:space="preserve">Les clients qui ont appelé tard</w:t>
      </w:r>
    </w:p>
    <w:p>
      <w:pPr>
        <w:pStyle w:val="FirstParagraph"/>
      </w:pPr>
      <w:r>
        <w:t xml:space="preserve">Les plus grands clients de PrairieLine ne fournissaient pas de calendriers complets bien à l’avance. Certains chargements étaient soumis cinq à sept jours avant le ramassage, mais beaucoup étaient proposés un à trois jours à l’avance. Les promotions commerciales, les retards de production, la météo et les changements de stock des clients créaient des variations de dernière minute. Un grand expéditeur pouvait proposer 40 chargements le lundi et 75 la semaine suivante sur la même liaison.</w:t>
      </w:r>
    </w:p>
    <w:p>
      <w:pPr>
        <w:pStyle w:val="BodyText"/>
      </w:pPr>
      <w:r>
        <w:t xml:space="preserve">Le transporteur devait décider rapidement s’il acceptait chaque offre. Refuser trop de chargements pouvait abaisser son score de service et réduire le fret attribué lors du prochain appel d’offres annuel. En accepter trop pouvait créer un échec de couverture, forçant PrairieLine à acheter de la capacité extérieure coûteuse ou à décevoir un autre client. Certains répartiteurs gardaient des chauffeurs près d’usines importantes parce qu’ils s’attendaient à du fret supplémentaire. Lorsque les chargements ne se matérialisaient pas, les chauffeurs perdaient des miles et devenaient frustrés.</w:t>
      </w:r>
    </w:p>
    <w:p>
      <w:pPr>
        <w:pStyle w:val="BodyText"/>
      </w:pPr>
      <w:r>
        <w:t xml:space="preserve">Les bourses de fret publiques offraient une soupape de sécurité. PrairieLine pouvait acheter ou vendre du transport par le biais de son groupe de courtage, ou trouver du fret ponctuel pour repositionner un chauffeur. Mais les opportunités des bourses de fret changeaient minute par minute. Un chargement visible à 14 h 45 pouvait avoir disparu à 14 h 48. Les contreparties variaient en fiabilité, et le tarif affiché à l’écran ne révélait pas le risque de détention, les horaires de réception difficiles, ou si l’expéditeur allait annuler.</w:t>
      </w:r>
    </w:p>
    <w:bookmarkStart w:id="15" w:name="X8c7a36ed5aeffaafc64b8b52bc58a76fc8aca9b"/>
    <w:p>
      <w:pPr>
        <w:pStyle w:val="Heading2"/>
      </w:pPr>
      <w:r>
        <w:t xml:space="preserve">Exhibit 3. Engagements clients sélectionnés</w:t>
      </w:r>
    </w:p>
    <w:tbl>
      <w:tblPr>
        <w:tblStyle w:val="Table"/>
        <w:tblW w:type="pct" w:w="4918"/>
        <w:tblLayout w:type="fixed"/>
        <w:tblLook w:firstRow="1" w:lastRow="0" w:firstColumn="0" w:lastColumn="0" w:noHBand="0" w:noVBand="0" w:val="0020"/>
      </w:tblPr>
      <w:tblGrid>
        <w:gridCol w:w="1752"/>
        <w:gridCol w:w="1817"/>
        <w:gridCol w:w="1233"/>
        <w:gridCol w:w="1622"/>
        <w:gridCol w:w="1363"/>
      </w:tblGrid>
      <w:tr>
        <w:trPr>
          <w:tblHeader w:val="on"/>
        </w:trPr>
        <w:tc>
          <w:tcPr/>
          <w:p>
            <w:pPr>
              <w:pStyle w:val="Compact"/>
              <w:jc w:val="left"/>
            </w:pPr>
            <w:r>
              <w:t xml:space="preserve">Segment client</w:t>
            </w:r>
          </w:p>
        </w:tc>
        <w:tc>
          <w:tcPr/>
          <w:p>
            <w:pPr>
              <w:pStyle w:val="Compact"/>
              <w:jc w:val="right"/>
            </w:pPr>
            <w:r>
              <w:t xml:space="preserve">Part du revenu contractuel</w:t>
            </w:r>
          </w:p>
        </w:tc>
        <w:tc>
          <w:tcPr/>
          <w:p>
            <w:pPr>
              <w:pStyle w:val="Compact"/>
              <w:jc w:val="right"/>
            </w:pPr>
            <w:r>
              <w:t xml:space="preserve">Délai de soumiss</w:t>
            </w:r>
          </w:p>
        </w:tc>
        <w:tc>
          <w:tcPr/>
          <w:p>
            <w:pPr>
              <w:pStyle w:val="Compact"/>
            </w:pPr>
            <w:r>
              <w:t xml:space="preserve">ion Cible d’acceptation</w:t>
            </w:r>
          </w:p>
        </w:tc>
        <w:tc>
          <w:tcPr/>
          <w:p>
            <w:pPr>
              <w:pStyle w:val="Compact"/>
              <w:jc w:val="right"/>
            </w:pPr>
            <w:r>
              <w:t xml:space="preserve">2026 Acceptation actuelle</w:t>
            </w:r>
          </w:p>
        </w:tc>
      </w:tr>
      <w:tr>
        <w:tc>
          <w:tcPr/>
          <w:p>
            <w:pPr>
              <w:pStyle w:val="Compact"/>
              <w:jc w:val="left"/>
            </w:pPr>
            <w:r>
              <w:t xml:space="preserve">Fabrication industrielle</w:t>
            </w:r>
          </w:p>
        </w:tc>
        <w:tc>
          <w:tcPr/>
          <w:p>
            <w:pPr>
              <w:pStyle w:val="Compact"/>
              <w:jc w:val="right"/>
            </w:pPr>
            <w:r>
              <w:t xml:space="preserve">27%</w:t>
            </w:r>
          </w:p>
        </w:tc>
        <w:tc>
          <w:tcPr/>
          <w:p>
            <w:pPr>
              <w:pStyle w:val="Compact"/>
              <w:jc w:val="right"/>
            </w:pPr>
            <w:r>
              <w:t xml:space="preserve">1 à 3 jours</w:t>
            </w:r>
          </w:p>
        </w:tc>
        <w:tc>
          <w:tcPr/>
          <w:p>
            <w:pPr>
              <w:pStyle w:val="Compact"/>
            </w:pPr>
            <w:r>
              <w:t xml:space="preserve">95%</w:t>
            </w:r>
          </w:p>
        </w:tc>
        <w:tc>
          <w:tcPr/>
          <w:p>
            <w:pPr>
              <w:pStyle w:val="Compact"/>
              <w:jc w:val="right"/>
            </w:pPr>
            <w:r>
              <w:t xml:space="preserve">92%</w:t>
            </w:r>
          </w:p>
        </w:tc>
      </w:tr>
      <w:tr>
        <w:tc>
          <w:tcPr/>
          <w:p>
            <w:pPr>
              <w:pStyle w:val="Compact"/>
              <w:jc w:val="left"/>
            </w:pPr>
            <w:r>
              <w:t xml:space="preserve">Distribution de détail</w:t>
            </w:r>
          </w:p>
        </w:tc>
        <w:tc>
          <w:tcPr/>
          <w:p>
            <w:pPr>
              <w:pStyle w:val="Compact"/>
              <w:jc w:val="right"/>
            </w:pPr>
            <w:r>
              <w:t xml:space="preserve">21%</w:t>
            </w:r>
          </w:p>
        </w:tc>
        <w:tc>
          <w:tcPr/>
          <w:p>
            <w:pPr>
              <w:pStyle w:val="Compact"/>
              <w:jc w:val="right"/>
            </w:pPr>
            <w:r>
              <w:t xml:space="preserve">2 à 5 jours</w:t>
            </w:r>
          </w:p>
        </w:tc>
        <w:tc>
          <w:tcPr/>
          <w:p>
            <w:pPr>
              <w:pStyle w:val="Compact"/>
            </w:pPr>
            <w:r>
              <w:t xml:space="preserve">93%</w:t>
            </w:r>
          </w:p>
        </w:tc>
        <w:tc>
          <w:tcPr/>
          <w:p>
            <w:pPr>
              <w:pStyle w:val="Compact"/>
              <w:jc w:val="right"/>
            </w:pPr>
            <w:r>
              <w:t xml:space="preserve">94%</w:t>
            </w:r>
          </w:p>
        </w:tc>
      </w:tr>
      <w:tr>
        <w:tc>
          <w:tcPr/>
          <w:p>
            <w:pPr>
              <w:pStyle w:val="Compact"/>
              <w:jc w:val="left"/>
            </w:pPr>
            <w:r>
              <w:t xml:space="preserve">Alimentation et boissons</w:t>
            </w:r>
          </w:p>
        </w:tc>
        <w:tc>
          <w:tcPr/>
          <w:p>
            <w:pPr>
              <w:pStyle w:val="Compact"/>
              <w:jc w:val="right"/>
            </w:pPr>
            <w:r>
              <w:t xml:space="preserve">18%</w:t>
            </w:r>
          </w:p>
        </w:tc>
        <w:tc>
          <w:tcPr/>
          <w:p>
            <w:pPr>
              <w:pStyle w:val="Compact"/>
              <w:jc w:val="right"/>
            </w:pPr>
            <w:r>
              <w:t xml:space="preserve">Même jour à 2 jour</w:t>
            </w:r>
          </w:p>
        </w:tc>
        <w:tc>
          <w:tcPr/>
          <w:p>
            <w:pPr>
              <w:pStyle w:val="Compact"/>
            </w:pPr>
            <w:r>
              <w:t xml:space="preserve">s 97%</w:t>
            </w:r>
          </w:p>
        </w:tc>
        <w:tc>
          <w:tcPr/>
          <w:p>
            <w:pPr>
              <w:pStyle w:val="Compact"/>
              <w:jc w:val="right"/>
            </w:pPr>
            <w:r>
              <w:t xml:space="preserve">93%</w:t>
            </w:r>
          </w:p>
        </w:tc>
      </w:tr>
      <w:tr>
        <w:tc>
          <w:tcPr/>
          <w:p>
            <w:pPr>
              <w:pStyle w:val="Compact"/>
              <w:jc w:val="left"/>
            </w:pPr>
            <w:r>
              <w:t xml:space="preserve">Produits de construction</w:t>
            </w:r>
          </w:p>
        </w:tc>
        <w:tc>
          <w:tcPr/>
          <w:p>
            <w:pPr>
              <w:pStyle w:val="Compact"/>
              <w:jc w:val="right"/>
            </w:pPr>
            <w:r>
              <w:t xml:space="preserve">14%</w:t>
            </w:r>
          </w:p>
        </w:tc>
        <w:tc>
          <w:tcPr/>
          <w:p>
            <w:pPr>
              <w:pStyle w:val="Compact"/>
              <w:jc w:val="right"/>
            </w:pPr>
            <w:r>
              <w:t xml:space="preserve">1 à 4 jours</w:t>
            </w:r>
          </w:p>
        </w:tc>
        <w:tc>
          <w:tcPr/>
          <w:p>
            <w:pPr>
              <w:pStyle w:val="Compact"/>
            </w:pPr>
            <w:r>
              <w:t xml:space="preserve">92%</w:t>
            </w:r>
          </w:p>
        </w:tc>
        <w:tc>
          <w:tcPr/>
          <w:p>
            <w:pPr>
              <w:pStyle w:val="Compact"/>
              <w:jc w:val="right"/>
            </w:pPr>
            <w:r>
              <w:t xml:space="preserve">89%</w:t>
            </w:r>
          </w:p>
        </w:tc>
      </w:tr>
      <w:tr>
        <w:tc>
          <w:tcPr/>
          <w:p>
            <w:pPr>
              <w:pStyle w:val="Compact"/>
              <w:jc w:val="left"/>
            </w:pPr>
            <w:r>
              <w:t xml:space="preserve">Biens de consommation</w:t>
            </w:r>
          </w:p>
        </w:tc>
        <w:tc>
          <w:tcPr/>
          <w:p>
            <w:pPr>
              <w:pStyle w:val="Compact"/>
              <w:jc w:val="right"/>
            </w:pPr>
            <w:r>
              <w:t xml:space="preserve">11%</w:t>
            </w:r>
          </w:p>
        </w:tc>
        <w:tc>
          <w:tcPr/>
          <w:p>
            <w:pPr>
              <w:pStyle w:val="Compact"/>
              <w:jc w:val="right"/>
            </w:pPr>
            <w:r>
              <w:t xml:space="preserve">3 à 7 jours</w:t>
            </w:r>
          </w:p>
        </w:tc>
        <w:tc>
          <w:tcPr/>
          <w:p>
            <w:pPr>
              <w:pStyle w:val="Compact"/>
            </w:pPr>
            <w:r>
              <w:t xml:space="preserve">90%</w:t>
            </w:r>
          </w:p>
        </w:tc>
        <w:tc>
          <w:tcPr/>
          <w:p>
            <w:pPr>
              <w:pStyle w:val="Compact"/>
              <w:jc w:val="right"/>
            </w:pPr>
            <w:r>
              <w:t xml:space="preserve">91%</w:t>
            </w:r>
          </w:p>
        </w:tc>
      </w:tr>
      <w:tr>
        <w:tc>
          <w:tcPr/>
          <w:p>
            <w:pPr>
              <w:pStyle w:val="Compact"/>
              <w:jc w:val="left"/>
            </w:pPr>
            <w:r>
              <w:t xml:space="preserve">Autre</w:t>
            </w:r>
          </w:p>
        </w:tc>
        <w:tc>
          <w:tcPr/>
          <w:p>
            <w:pPr>
              <w:pStyle w:val="Compact"/>
              <w:jc w:val="right"/>
            </w:pPr>
            <w:r>
              <w:t xml:space="preserve">9%</w:t>
            </w:r>
          </w:p>
        </w:tc>
        <w:tc>
          <w:tcPr/>
          <w:p>
            <w:pPr>
              <w:pStyle w:val="Compact"/>
              <w:jc w:val="right"/>
            </w:pPr>
            <w:r>
              <w:t xml:space="preserve">Variable</w:t>
            </w:r>
          </w:p>
        </w:tc>
        <w:tc>
          <w:tcPr/>
          <w:p>
            <w:pPr>
              <w:pStyle w:val="Compact"/>
            </w:pPr>
            <w:r>
              <w:t xml:space="preserve">—</w:t>
            </w:r>
          </w:p>
        </w:tc>
        <w:tc>
          <w:tcPr/>
          <w:p>
            <w:pPr>
              <w:pStyle w:val="Compact"/>
              <w:jc w:val="right"/>
            </w:pPr>
            <w:r>
              <w:t xml:space="preserve">—</w:t>
            </w:r>
          </w:p>
        </w:tc>
      </w:tr>
    </w:tbl>
    <w:p>
      <w:pPr>
        <w:pStyle w:val="BodyText"/>
      </w:pPr>
      <w:r>
        <w:t xml:space="preserve">Source : tableau de bord client interne de PrairieLine ; fictif.</w:t>
      </w:r>
    </w:p>
    <w:bookmarkEnd w:id="15"/>
    <w:bookmarkEnd w:id="16"/>
    <w:bookmarkStart w:id="18" w:name="lhorloge-du-chauffeur"/>
    <w:p>
      <w:pPr>
        <w:pStyle w:val="Heading1"/>
      </w:pPr>
      <w:r>
        <w:t xml:space="preserve">L’horloge du chauffeur</w:t>
      </w:r>
    </w:p>
    <w:p>
      <w:pPr>
        <w:pStyle w:val="FirstParagraph"/>
      </w:pPr>
      <w:r>
        <w:t xml:space="preserve">Un tracteur n’était utile que lorsqu’il était associé à un chauffeur disponible. Les règles fédérales sur les heures de service permettaient généralement à un chauffeur de véhicule de transport de marchandises de conduire jusqu’à 11 heures dans une fenêtre de service de 14 heures après 10 heures consécutives de repos. L’attente chez un client pouvait consommer la fenêtre de service même lorsque le camion ne bougeait pas. Un rendez-vous de chargement retardé pouvait transformer une affectation réalisable en une affectation nécessitant un arrêt de nuit ou entraînant un échec de service.</w:t>
      </w:r>
    </w:p>
    <w:p>
      <w:pPr>
        <w:pStyle w:val="BodyText"/>
      </w:pPr>
      <w:r>
        <w:t xml:space="preserve">Les répartiteurs devaient également respecter les préférences des chauffeurs et leurs engagements à domicile. Un chauffeur près d’Atlanta avait promis d’assister à la remise de diplôme de sa fille le dimanche après-midi à Knoxville. Un autre chauffeur en Pennsylvanie était disposé à rester une semaine supplémentaire s’il était affecté vers l’ouest. Un troisième avait refusé du fret pour New York après deux livraisons difficiles. Le système de planification affichait les heures légales et les localisations domiciliaires, mais il ne capturait pas toujours l’intensité de la préférence d’un chauffeur ou une promesse informelle faite par un répartiteur.</w:t>
      </w:r>
    </w:p>
    <w:p>
      <w:pPr>
        <w:pStyle w:val="BodyText"/>
      </w:pPr>
      <w:r>
        <w:t xml:space="preserve">La direction était divisée sur le niveau de discrétion que les répartiteurs devaient exercer. Chen pensait qu’un jugement local incohérent contribuait à l’augmentation des miles à vide. La vice-présidente de la sécurité soutenait qu’une affectation qui paraissait efficace dans le système pouvait s’avérer irréaliste une fois pris en compte la météo, la disponibilité de stationnement, les retards des clients et la fatigue des chauffeurs. Le responsable du recrutement avertissait que forcer des affectations pourrait améliorer l’utilisation cette semaine tout en aggravant le roulement au cours des six mois suivants.</w:t>
      </w:r>
    </w:p>
    <w:bookmarkStart w:id="17" w:name="X9e82e31f6d79281696d50c48cdc0873ccc075d6"/>
    <w:p>
      <w:pPr>
        <w:pStyle w:val="Heading2"/>
      </w:pPr>
      <w:r>
        <w:t xml:space="preserve">Exhibit 4. Disponibilité des chauffeurs vendredi dans certains marchés</w:t>
      </w:r>
    </w:p>
    <w:tbl>
      <w:tblPr>
        <w:tblStyle w:val="Table"/>
        <w:tblW w:type="pct" w:w="4935"/>
        <w:tblLayout w:type="fixed"/>
        <w:tblLook w:firstRow="1" w:lastRow="0" w:firstColumn="0" w:lastColumn="0" w:noHBand="0" w:noVBand="0" w:val="0020"/>
      </w:tblPr>
      <w:tblGrid>
        <w:gridCol w:w="1863"/>
        <w:gridCol w:w="1708"/>
        <w:gridCol w:w="931"/>
        <w:gridCol w:w="1397"/>
        <w:gridCol w:w="1915"/>
      </w:tblGrid>
      <w:tr>
        <w:trPr>
          <w:tblHeader w:val="on"/>
        </w:trPr>
        <w:tc>
          <w:tcPr/>
          <w:p>
            <w:pPr>
              <w:pStyle w:val="Compact"/>
              <w:jc w:val="left"/>
            </w:pPr>
            <w:r>
              <w:t xml:space="preserve">Marché</w:t>
            </w:r>
          </w:p>
        </w:tc>
        <w:tc>
          <w:tcPr/>
          <w:p>
            <w:pPr>
              <w:pStyle w:val="Compact"/>
              <w:jc w:val="right"/>
            </w:pPr>
            <w:r>
              <w:t xml:space="preserve">Chauffeurs disponibles d’ici sam</w:t>
            </w:r>
          </w:p>
        </w:tc>
        <w:tc>
          <w:tcPr/>
          <w:p>
            <w:pPr>
              <w:pStyle w:val="Compact"/>
            </w:pPr>
            <w:r>
              <w:t xml:space="preserve">. midi Chargemen</w:t>
            </w:r>
          </w:p>
        </w:tc>
        <w:tc>
          <w:tcPr/>
          <w:p>
            <w:pPr>
              <w:pStyle w:val="Compact"/>
            </w:pPr>
            <w:r>
              <w:t xml:space="preserve">ts engagés Chargements of</w:t>
            </w:r>
          </w:p>
        </w:tc>
        <w:tc>
          <w:tcPr/>
          <w:p>
            <w:pPr>
              <w:pStyle w:val="Compact"/>
            </w:pPr>
            <w:r>
              <w:t xml:space="preserve">ferts non affectés Chauffeurs avec échéance domicile d’ici dim.</w:t>
            </w:r>
          </w:p>
        </w:tc>
      </w:tr>
      <w:tr>
        <w:tc>
          <w:tcPr/>
          <w:p>
            <w:pPr>
              <w:pStyle w:val="Compact"/>
              <w:jc w:val="left"/>
            </w:pPr>
            <w:r>
              <w:t xml:space="preserve">Atlanta / Nord de la Géorgie</w:t>
            </w:r>
          </w:p>
        </w:tc>
        <w:tc>
          <w:tcPr/>
          <w:p>
            <w:pPr>
              <w:pStyle w:val="Compact"/>
              <w:jc w:val="right"/>
            </w:pPr>
            <w:r>
              <w:t xml:space="preserve">47</w:t>
            </w:r>
          </w:p>
        </w:tc>
        <w:tc>
          <w:tcPr/>
          <w:p>
            <w:pPr>
              <w:pStyle w:val="Compact"/>
            </w:pPr>
            <w:r>
              <w:t xml:space="preserve">29</w:t>
            </w:r>
          </w:p>
        </w:tc>
        <w:tc>
          <w:tcPr/>
          <w:p>
            <w:pPr>
              <w:pStyle w:val="Compact"/>
            </w:pPr>
            <w:r>
              <w:t xml:space="preserve">18</w:t>
            </w:r>
          </w:p>
        </w:tc>
        <w:tc>
          <w:tcPr/>
          <w:p>
            <w:pPr>
              <w:pStyle w:val="Compact"/>
            </w:pPr>
            <w:r>
              <w:t xml:space="preserve">21</w:t>
            </w:r>
          </w:p>
        </w:tc>
      </w:tr>
      <w:tr>
        <w:tc>
          <w:tcPr/>
          <w:p>
            <w:pPr>
              <w:pStyle w:val="Compact"/>
              <w:jc w:val="left"/>
            </w:pPr>
            <w:r>
              <w:t xml:space="preserve">New Jersey / Est de la Pennsylvanie</w:t>
            </w:r>
          </w:p>
        </w:tc>
        <w:tc>
          <w:tcPr/>
          <w:p>
            <w:pPr>
              <w:pStyle w:val="Compact"/>
              <w:jc w:val="right"/>
            </w:pPr>
            <w:r>
              <w:t xml:space="preserve">39</w:t>
            </w:r>
          </w:p>
        </w:tc>
        <w:tc>
          <w:tcPr/>
          <w:p>
            <w:pPr>
              <w:pStyle w:val="Compact"/>
            </w:pPr>
            <w:r>
              <w:t xml:space="preserve">25</w:t>
            </w:r>
          </w:p>
        </w:tc>
        <w:tc>
          <w:tcPr/>
          <w:p>
            <w:pPr>
              <w:pStyle w:val="Compact"/>
            </w:pPr>
            <w:r>
              <w:t xml:space="preserve">12</w:t>
            </w:r>
          </w:p>
        </w:tc>
        <w:tc>
          <w:tcPr/>
          <w:p>
            <w:pPr>
              <w:pStyle w:val="Compact"/>
            </w:pPr>
            <w:r>
              <w:t xml:space="preserve">16</w:t>
            </w:r>
          </w:p>
        </w:tc>
      </w:tr>
      <w:tr>
        <w:tc>
          <w:tcPr/>
          <w:p>
            <w:pPr>
              <w:pStyle w:val="Compact"/>
              <w:jc w:val="left"/>
            </w:pPr>
            <w:r>
              <w:t xml:space="preserve">Centre de l’Ohio</w:t>
            </w:r>
          </w:p>
        </w:tc>
        <w:tc>
          <w:tcPr/>
          <w:p>
            <w:pPr>
              <w:pStyle w:val="Compact"/>
              <w:jc w:val="right"/>
            </w:pPr>
            <w:r>
              <w:t xml:space="preserve">22</w:t>
            </w:r>
          </w:p>
        </w:tc>
        <w:tc>
          <w:tcPr/>
          <w:p>
            <w:pPr>
              <w:pStyle w:val="Compact"/>
            </w:pPr>
            <w:r>
              <w:t xml:space="preserve">31</w:t>
            </w:r>
          </w:p>
        </w:tc>
        <w:tc>
          <w:tcPr/>
          <w:p>
            <w:pPr>
              <w:pStyle w:val="Compact"/>
            </w:pPr>
            <w:r>
              <w:t xml:space="preserve">27</w:t>
            </w:r>
          </w:p>
        </w:tc>
        <w:tc>
          <w:tcPr/>
          <w:p>
            <w:pPr>
              <w:pStyle w:val="Compact"/>
            </w:pPr>
            <w:r>
              <w:t xml:space="preserve">8</w:t>
            </w:r>
          </w:p>
        </w:tc>
      </w:tr>
      <w:tr>
        <w:tc>
          <w:tcPr/>
          <w:p>
            <w:pPr>
              <w:pStyle w:val="Compact"/>
              <w:jc w:val="left"/>
            </w:pPr>
            <w:r>
              <w:t xml:space="preserve">Iowa / Sud du Minnesota</w:t>
            </w:r>
          </w:p>
        </w:tc>
        <w:tc>
          <w:tcPr/>
          <w:p>
            <w:pPr>
              <w:pStyle w:val="Compact"/>
              <w:jc w:val="right"/>
            </w:pPr>
            <w:r>
              <w:t xml:space="preserve">14</w:t>
            </w:r>
          </w:p>
        </w:tc>
        <w:tc>
          <w:tcPr/>
          <w:p>
            <w:pPr>
              <w:pStyle w:val="Compact"/>
            </w:pPr>
            <w:r>
              <w:t xml:space="preserve">21</w:t>
            </w:r>
          </w:p>
        </w:tc>
        <w:tc>
          <w:tcPr/>
          <w:p>
            <w:pPr>
              <w:pStyle w:val="Compact"/>
            </w:pPr>
            <w:r>
              <w:t xml:space="preserve">19</w:t>
            </w:r>
          </w:p>
        </w:tc>
        <w:tc>
          <w:tcPr/>
          <w:p>
            <w:pPr>
              <w:pStyle w:val="Compact"/>
            </w:pPr>
            <w:r>
              <w:t xml:space="preserve">4</w:t>
            </w:r>
          </w:p>
        </w:tc>
      </w:tr>
      <w:tr>
        <w:tc>
          <w:tcPr/>
          <w:p>
            <w:pPr>
              <w:pStyle w:val="Compact"/>
              <w:jc w:val="left"/>
            </w:pPr>
            <w:r>
              <w:t xml:space="preserve">Memphis / Ouest du Tennessee</w:t>
            </w:r>
          </w:p>
        </w:tc>
        <w:tc>
          <w:tcPr/>
          <w:p>
            <w:pPr>
              <w:pStyle w:val="Compact"/>
              <w:jc w:val="right"/>
            </w:pPr>
            <w:r>
              <w:t xml:space="preserve">19</w:t>
            </w:r>
          </w:p>
        </w:tc>
        <w:tc>
          <w:tcPr/>
          <w:p>
            <w:pPr>
              <w:pStyle w:val="Compact"/>
            </w:pPr>
            <w:r>
              <w:t xml:space="preserve">18</w:t>
            </w:r>
          </w:p>
        </w:tc>
        <w:tc>
          <w:tcPr/>
          <w:p>
            <w:pPr>
              <w:pStyle w:val="Compact"/>
            </w:pPr>
            <w:r>
              <w:t xml:space="preserve">23</w:t>
            </w:r>
          </w:p>
        </w:tc>
        <w:tc>
          <w:tcPr/>
          <w:p>
            <w:pPr>
              <w:pStyle w:val="Compact"/>
            </w:pPr>
            <w:r>
              <w:t xml:space="preserve">7</w:t>
            </w:r>
          </w:p>
        </w:tc>
      </w:tr>
      <w:tr>
        <w:tc>
          <w:tcPr/>
          <w:p>
            <w:pPr>
              <w:pStyle w:val="Compact"/>
              <w:jc w:val="left"/>
            </w:pPr>
            <w:r>
              <w:t xml:space="preserve">Dallas / Nord du Texas</w:t>
            </w:r>
          </w:p>
        </w:tc>
        <w:tc>
          <w:tcPr/>
          <w:p>
            <w:pPr>
              <w:pStyle w:val="Compact"/>
              <w:jc w:val="right"/>
            </w:pPr>
            <w:r>
              <w:t xml:space="preserve">31</w:t>
            </w:r>
          </w:p>
        </w:tc>
        <w:tc>
          <w:tcPr/>
          <w:p>
            <w:pPr>
              <w:pStyle w:val="Compact"/>
            </w:pPr>
            <w:r>
              <w:t xml:space="preserve">28</w:t>
            </w:r>
          </w:p>
        </w:tc>
        <w:tc>
          <w:tcPr/>
          <w:p>
            <w:pPr>
              <w:pStyle w:val="Compact"/>
            </w:pPr>
            <w:r>
              <w:t xml:space="preserve">16</w:t>
            </w:r>
          </w:p>
        </w:tc>
        <w:tc>
          <w:tcPr/>
          <w:p>
            <w:pPr>
              <w:pStyle w:val="Compact"/>
            </w:pPr>
            <w:r>
              <w:t xml:space="preserve">11</w:t>
            </w:r>
          </w:p>
        </w:tc>
      </w:tr>
      <w:tr>
        <w:tc>
          <w:tcPr/>
          <w:p>
            <w:pPr>
              <w:pStyle w:val="Compact"/>
              <w:jc w:val="left"/>
            </w:pPr>
            <w:r>
              <w:t xml:space="preserve">Indianapolis / Louisville</w:t>
            </w:r>
          </w:p>
        </w:tc>
        <w:tc>
          <w:tcPr/>
          <w:p>
            <w:pPr>
              <w:pStyle w:val="Compact"/>
              <w:jc w:val="right"/>
            </w:pPr>
            <w:r>
              <w:t xml:space="preserve">28</w:t>
            </w:r>
          </w:p>
        </w:tc>
        <w:tc>
          <w:tcPr/>
          <w:p>
            <w:pPr>
              <w:pStyle w:val="Compact"/>
            </w:pPr>
            <w:r>
              <w:t xml:space="preserve">34</w:t>
            </w:r>
          </w:p>
        </w:tc>
        <w:tc>
          <w:tcPr/>
          <w:p>
            <w:pPr>
              <w:pStyle w:val="Compact"/>
            </w:pPr>
            <w:r>
              <w:t xml:space="preserve">23</w:t>
            </w:r>
          </w:p>
        </w:tc>
        <w:tc>
          <w:tcPr/>
          <w:p>
            <w:pPr>
              <w:pStyle w:val="Compact"/>
            </w:pPr>
            <w:r>
              <w:t xml:space="preserve">13</w:t>
            </w:r>
          </w:p>
        </w:tc>
      </w:tr>
    </w:tbl>
    <w:p>
      <w:pPr>
        <w:pStyle w:val="BodyText"/>
      </w:pPr>
      <w:r>
        <w:t xml:space="preserve">Source : instantané de planification de PrairieLine à 14 h 40 ; fictif.</w:t>
      </w:r>
    </w:p>
    <w:bookmarkEnd w:id="17"/>
    <w:bookmarkEnd w:id="18"/>
    <w:bookmarkStart w:id="20" w:name="la-saison-des-appels-doffres"/>
    <w:p>
      <w:pPr>
        <w:pStyle w:val="Heading1"/>
      </w:pPr>
      <w:r>
        <w:t xml:space="preserve">La saison des appels d’offres</w:t>
      </w:r>
    </w:p>
    <w:p>
      <w:pPr>
        <w:pStyle w:val="FirstParagraph"/>
      </w:pPr>
      <w:r>
        <w:t xml:space="preserve">Le problème immédiat de répartition survenait pendant la saison annuelle des appels d’offres. Les expéditeurs demandaient aux transporteurs de proposer des prix et une capacité prévue pour des milliers de liaisons origine-destination pour l’année suivante. Remporter une liaison ne garantissait pas que le volume prévu se matérialiserait, mais le prix et le niveau d’acceptation promis façonneraient le réseau de PrairieLine pendant des mois.</w:t>
      </w:r>
    </w:p>
    <w:p>
      <w:pPr>
        <w:pStyle w:val="BodyText"/>
      </w:pPr>
      <w:r>
        <w:t xml:space="preserve">Le groupe des ventes voulait des offres agressives dans les liaisons sortantes du Midwest où la demande des clients semblait se redresser. Les opérations craignaient que gagner trop de fret vers l’est ne place encore plus de chauffeurs sur des marchés sortants faibles. Les finances préféraient un rôle de courtage plus important, permettant à l’entreprise d’accepter le fret des clients sans posséder suffisamment de tracteurs pour couvrir chaque pic. Le recrutement des chauffeurs proposait de nouveaux domiciles en Ohio et au Tennessee, mais chaque domicile exigeait un flux suffisant de chargements permettant de ramener les chauffeurs chez eux de manière fiable.</w:t>
      </w:r>
    </w:p>
    <w:p>
      <w:pPr>
        <w:pStyle w:val="BodyText"/>
      </w:pPr>
      <w:r>
        <w:t xml:space="preserve">L’entreprise devait aussi décider du nombre de tracteurs et de remorques à exploiter. De nouveaux tracteurs amélioraient l’économie de carburant et la fiabilité mais exigeaient des capitaux à un moment où les marges étaient minces. Stationner des tracteurs excédentaires préservait la flexibilité mais créait des coûts d’amortissement et de financement. Réduire la flotte pourrait améliorer l’utilisation mais exposerait PrairieLine si la demande de fret se renforçait de manière inattendue.</w:t>
      </w:r>
    </w:p>
    <w:bookmarkStart w:id="19" w:name="Xb18e516b91cc7e4dc3fe0ce1d25c390e9be3215"/>
    <w:p>
      <w:pPr>
        <w:pStyle w:val="Heading2"/>
      </w:pPr>
      <w:r>
        <w:t xml:space="preserve">Exhibit 5. Propositions de la direction pour 2027</w:t>
      </w:r>
    </w:p>
    <w:tbl>
      <w:tblPr>
        <w:tblStyle w:val="Table"/>
        <w:tblW w:type="pct" w:w="4944"/>
        <w:tblLayout w:type="fixed"/>
        <w:tblLook w:firstRow="1" w:lastRow="0" w:firstColumn="0" w:lastColumn="0" w:noHBand="0" w:noVBand="0" w:val="0020"/>
      </w:tblPr>
      <w:tblGrid>
        <w:gridCol w:w="1913"/>
        <w:gridCol w:w="1334"/>
        <w:gridCol w:w="2180"/>
        <w:gridCol w:w="2402"/>
      </w:tblGrid>
      <w:tr>
        <w:trPr>
          <w:tblHeader w:val="on"/>
        </w:trPr>
        <w:tc>
          <w:tcPr/>
          <w:p>
            <w:pPr>
              <w:pStyle w:val="Compact"/>
              <w:jc w:val="left"/>
            </w:pPr>
            <w:r>
              <w:t xml:space="preserve">Proposition</w:t>
            </w:r>
          </w:p>
        </w:tc>
        <w:tc>
          <w:tcPr/>
          <w:p>
            <w:pPr>
              <w:pStyle w:val="Compact"/>
              <w:jc w:val="center"/>
            </w:pPr>
            <w:r>
              <w:t xml:space="preserve">Engagement annuel estimé</w:t>
            </w:r>
          </w:p>
        </w:tc>
        <w:tc>
          <w:tcPr/>
          <w:p>
            <w:pPr>
              <w:pStyle w:val="Compact"/>
              <w:jc w:val="center"/>
            </w:pPr>
            <w:r>
              <w:t xml:space="preserve">Avantage attendu</w:t>
            </w:r>
          </w:p>
        </w:tc>
        <w:tc>
          <w:tcPr/>
          <w:p>
            <w:pPr>
              <w:pStyle w:val="Compact"/>
              <w:jc w:val="center"/>
            </w:pPr>
            <w:r>
              <w:t xml:space="preserve">Principale préoccupation</w:t>
            </w:r>
          </w:p>
        </w:tc>
      </w:tr>
      <w:tr>
        <w:tc>
          <w:tcPr/>
          <w:p>
            <w:pPr>
              <w:pStyle w:val="Compact"/>
              <w:jc w:val="left"/>
            </w:pPr>
            <w:r>
              <w:t xml:space="preserve">Ajouter 90 chauffeurs en Ohio et au Tenness</w:t>
            </w:r>
          </w:p>
        </w:tc>
        <w:tc>
          <w:tcPr/>
          <w:p>
            <w:pPr>
              <w:pStyle w:val="Compact"/>
              <w:jc w:val="center"/>
            </w:pPr>
            <w:r>
              <w:t xml:space="preserve">ee 7,8 millions $</w:t>
            </w:r>
          </w:p>
        </w:tc>
        <w:tc>
          <w:tcPr/>
          <w:p>
            <w:pPr>
              <w:pStyle w:val="Compact"/>
              <w:jc w:val="center"/>
            </w:pPr>
            <w:r>
              <w:t xml:space="preserve">Améliorer la couverture des marchés sortants f</w:t>
            </w:r>
          </w:p>
        </w:tc>
        <w:tc>
          <w:tcPr/>
          <w:p>
            <w:pPr>
              <w:pStyle w:val="Compact"/>
              <w:jc w:val="center"/>
            </w:pPr>
            <w:r>
              <w:t xml:space="preserve">orts Succès du recrutement et incertitude du fret de retour</w:t>
            </w:r>
          </w:p>
        </w:tc>
      </w:tr>
      <w:tr>
        <w:tc>
          <w:tcPr/>
          <w:p>
            <w:pPr>
              <w:pStyle w:val="Compact"/>
              <w:jc w:val="left"/>
            </w:pPr>
            <w:r>
              <w:t xml:space="preserve">Étendre la capacité de courtage</w:t>
            </w:r>
          </w:p>
        </w:tc>
        <w:tc>
          <w:tcPr/>
          <w:p>
            <w:pPr>
              <w:pStyle w:val="Compact"/>
              <w:jc w:val="center"/>
            </w:pPr>
            <w:r>
              <w:t xml:space="preserve">3,2 millions $</w:t>
            </w:r>
          </w:p>
        </w:tc>
        <w:tc>
          <w:tcPr/>
          <w:p>
            <w:pPr>
              <w:pStyle w:val="Compact"/>
              <w:jc w:val="center"/>
            </w:pPr>
            <w:r>
              <w:t xml:space="preserve">Couvrir les pics sans posséder tout l’équip</w:t>
            </w:r>
          </w:p>
        </w:tc>
        <w:tc>
          <w:tcPr/>
          <w:p>
            <w:pPr>
              <w:pStyle w:val="Compact"/>
              <w:jc w:val="center"/>
            </w:pPr>
            <w:r>
              <w:t xml:space="preserve">ement Moins de contrôle sur le service et les tarifs achetés</w:t>
            </w:r>
          </w:p>
        </w:tc>
      </w:tr>
      <w:tr>
        <w:tc>
          <w:tcPr/>
          <w:p>
            <w:pPr>
              <w:pStyle w:val="Compact"/>
              <w:jc w:val="left"/>
            </w:pPr>
            <w:r>
              <w:t xml:space="preserve">Réduire la flotte de tracteurs de 75</w:t>
            </w:r>
          </w:p>
        </w:tc>
        <w:tc>
          <w:tcPr/>
          <w:p>
            <w:pPr>
              <w:pStyle w:val="Compact"/>
              <w:jc w:val="center"/>
            </w:pPr>
            <w:r>
              <w:t xml:space="preserve">Économie de 1,9 million $</w:t>
            </w:r>
          </w:p>
        </w:tc>
        <w:tc>
          <w:tcPr/>
          <w:p>
            <w:pPr>
              <w:pStyle w:val="Compact"/>
              <w:jc w:val="center"/>
            </w:pPr>
            <w:r>
              <w:t xml:space="preserve">Améliorer l’utilisation et les flux de tré</w:t>
            </w:r>
          </w:p>
        </w:tc>
        <w:tc>
          <w:tcPr/>
          <w:p>
            <w:pPr>
              <w:pStyle w:val="Compact"/>
              <w:jc w:val="center"/>
            </w:pPr>
            <w:r>
              <w:t xml:space="preserve">sorerie Moins de capacité si le fret rebondit</w:t>
            </w:r>
          </w:p>
        </w:tc>
      </w:tr>
      <w:tr>
        <w:tc>
          <w:tcPr/>
          <w:p>
            <w:pPr>
              <w:pStyle w:val="Compact"/>
              <w:jc w:val="left"/>
            </w:pPr>
            <w:r>
              <w:t xml:space="preserve">S’engager sur une plateforme d’optimisation</w:t>
            </w:r>
          </w:p>
        </w:tc>
        <w:tc>
          <w:tcPr/>
          <w:p>
            <w:pPr>
              <w:pStyle w:val="Compact"/>
              <w:jc w:val="center"/>
            </w:pPr>
            <w:r>
              <w:t xml:space="preserve">de la répartition 2,6 mi</w:t>
            </w:r>
          </w:p>
        </w:tc>
        <w:tc>
          <w:tcPr/>
          <w:p>
            <w:pPr>
              <w:pStyle w:val="Compact"/>
              <w:jc w:val="center"/>
            </w:pPr>
            <w:r>
              <w:t xml:space="preserve">llions $ Réduire les miles à vide et standard</w:t>
            </w:r>
          </w:p>
        </w:tc>
        <w:tc>
          <w:tcPr/>
          <w:p>
            <w:pPr>
              <w:pStyle w:val="Compact"/>
              <w:jc w:val="center"/>
            </w:pPr>
            <w:r>
              <w:t xml:space="preserve">iser les affectations Acceptation par les répartiteurs et les chauffeurs</w:t>
            </w:r>
          </w:p>
        </w:tc>
      </w:tr>
      <w:tr>
        <w:tc>
          <w:tcPr/>
          <w:p>
            <w:pPr>
              <w:pStyle w:val="Compact"/>
              <w:jc w:val="left"/>
            </w:pPr>
            <w:r>
              <w:t xml:space="preserve">Offrir une prime de garantie de temps à dom</w:t>
            </w:r>
          </w:p>
        </w:tc>
        <w:tc>
          <w:tcPr/>
          <w:p>
            <w:pPr>
              <w:pStyle w:val="Compact"/>
              <w:jc w:val="center"/>
            </w:pPr>
            <w:r>
              <w:t xml:space="preserve">icile 4,1 millions $</w:t>
            </w:r>
          </w:p>
        </w:tc>
        <w:tc>
          <w:tcPr/>
          <w:p>
            <w:pPr>
              <w:pStyle w:val="Compact"/>
              <w:jc w:val="center"/>
            </w:pPr>
            <w:r>
              <w:t xml:space="preserve">Améliorer le recrutement et la rétention</w:t>
            </w:r>
          </w:p>
        </w:tc>
        <w:tc>
          <w:tcPr/>
          <w:p>
            <w:pPr>
              <w:pStyle w:val="Compact"/>
              <w:jc w:val="center"/>
            </w:pPr>
            <w:r>
              <w:t xml:space="preserve">Peut restreindre le choix des chargements et augmenter les miles à vide</w:t>
            </w:r>
          </w:p>
        </w:tc>
      </w:tr>
      <w:tr>
        <w:tc>
          <w:tcPr/>
          <w:p>
            <w:pPr>
              <w:pStyle w:val="Compact"/>
              <w:jc w:val="left"/>
            </w:pPr>
            <w:r>
              <w:t xml:space="preserve">Augmenter la participation au marché spot</w:t>
            </w:r>
          </w:p>
        </w:tc>
        <w:tc>
          <w:tcPr/>
          <w:p>
            <w:pPr>
              <w:pStyle w:val="Compact"/>
              <w:jc w:val="center"/>
            </w:pPr>
            <w:r>
              <w:t xml:space="preserve">Variable</w:t>
            </w:r>
          </w:p>
        </w:tc>
        <w:tc>
          <w:tcPr/>
          <w:p>
            <w:pPr>
              <w:pStyle w:val="Compact"/>
              <w:jc w:val="center"/>
            </w:pPr>
            <w:r>
              <w:t xml:space="preserve">Capter des opportunités à court terme à haut t</w:t>
            </w:r>
          </w:p>
        </w:tc>
        <w:tc>
          <w:tcPr/>
          <w:p>
            <w:pPr>
              <w:pStyle w:val="Compact"/>
              <w:jc w:val="center"/>
            </w:pPr>
            <w:r>
              <w:t xml:space="preserve">arif Volatilité et service contractuel affaibli</w:t>
            </w:r>
          </w:p>
        </w:tc>
      </w:tr>
    </w:tbl>
    <w:p>
      <w:pPr>
        <w:pStyle w:val="BodyText"/>
      </w:pPr>
      <w:r>
        <w:t xml:space="preserve">Source : estimations préliminaires de planification de PrairieLine ; fictif.</w:t>
      </w:r>
    </w:p>
    <w:bookmarkEnd w:id="19"/>
    <w:bookmarkEnd w:id="20"/>
    <w:bookmarkStart w:id="21" w:name="quatre-points-de-vue-sur-le-problème"/>
    <w:p>
      <w:pPr>
        <w:pStyle w:val="Heading1"/>
      </w:pPr>
      <w:r>
        <w:t xml:space="preserve">Quatre points de vue sur le problème</w:t>
      </w:r>
    </w:p>
    <w:p>
      <w:pPr>
        <w:pStyle w:val="FirstParagraph"/>
      </w:pPr>
      <w:r>
        <w:t xml:space="preserve">Chen voyait un problème de coordination de réseau. Elle pensait que PrairieLine évaluait les chargements et les chauffeurs de manière trop locale, en accordant une attention insuffisante à l’endroit où chaque affectation laisserait la flotte. Elle voulait que l’entreprise réserve certains chauffeurs pour du fret futur probable, utilise le courtage de manière plus systématique, et donne aux répartiteurs une mesure commune de la valeur en aval de chaque affectation.</w:t>
      </w:r>
    </w:p>
    <w:p>
      <w:pPr>
        <w:pStyle w:val="BodyText"/>
      </w:pPr>
      <w:r>
        <w:t xml:space="preserve">Le directeur commercial Rafael Torres voyait un problème client. Il soutenait que le transporteur devait protéger l’acceptation et le service à l’heure pour les clients les plus susceptibles d’offrir du fret rentable en 2027. Refuser un chargement marginal aujourd’hui pourrait coûter une liaison entière lors du prochain cycle d’appel d’offres. Il voulait que les opérations distinguent le fret client stratégique des transactions opportunistes plutôt que de traiter chaque chargement selon son économie immédiate.</w:t>
      </w:r>
    </w:p>
    <w:p>
      <w:pPr>
        <w:pStyle w:val="BodyText"/>
      </w:pPr>
      <w:r>
        <w:t xml:space="preserve">La directrice des ressources humaines Dana Wilkes voyait un problème de chauffeurs. La promesse de temps à domicile prévisible de PrairieLine s’était affaiblie, et le roulement augmentait. Elle privilégiait des régions d’exploitation plus étroites, des engagements de temps à domicile plus clairs, et des dispositifs de rémunération compensant les chauffeurs pour l’attente et les affectations peu désirables. Elle reconnaissait que ces politiques pourraient rendre le réseau moins flexible, mais soutenait qu’un tracteur non occupé ne générait aucun revenu du tout.</w:t>
      </w:r>
    </w:p>
    <w:p>
      <w:pPr>
        <w:pStyle w:val="BodyText"/>
      </w:pPr>
      <w:r>
        <w:t xml:space="preserve">Le directeur financier Evan Brooks voyait un problème de capital et de risque. Il se demandait si PrairieLine devait posséder suffisamment d’équipement pour couvrir des pics incertains. Il privilégiait la réduction du nombre de tracteurs, l’expansion du courtage, et l’utilisation d’engagements clients plus courts jusqu’à ce que les volumes de fret deviennent plus clairs. Les autres dirigeants craignaient qu’une flotte détenue plus réduite n’érode le contrôle du service et n’expose l’entreprise aux prix du marché spot précisément lorsque la capacité se resserrait.</w:t>
      </w:r>
    </w:p>
    <w:bookmarkEnd w:id="21"/>
    <w:bookmarkStart w:id="22" w:name="la-décision-du-vendredi"/>
    <w:p>
      <w:pPr>
        <w:pStyle w:val="Heading1"/>
      </w:pPr>
      <w:r>
        <w:t xml:space="preserve">La décision du vendredi</w:t>
      </w:r>
    </w:p>
    <w:p>
      <w:pPr>
        <w:pStyle w:val="FirstParagraph"/>
      </w:pPr>
      <w:r>
        <w:t xml:space="preserve">À 15 h 15, le nombre d’offres de chargement sans réponse était passé à 151. Un client alimentaire a ajouté 11 chargements réfrigérés de l’Iowa vers le Sud-Est. Un client de produits de construction a retiré six chargements de l’Ohio parce que son usine avait arrêté la production. Le prix d’une annonce sur la bourse de fret pour un chargement New Jersey-vers-Ohio a augmenté de 250 $, mais le chargement a disparu avant que le courtier de PrairieLine n’ait terminé l’appel.</w:t>
      </w:r>
    </w:p>
    <w:p>
      <w:pPr>
        <w:pStyle w:val="BodyText"/>
      </w:pPr>
      <w:r>
        <w:t xml:space="preserve">Chen devait donner une direction à l’équipe de répartition du soir. Elle pouvait privilégier la contribution la plus élevée sur les chargements visibles, protéger les meilleurs clients contractuels, prioriser les affectations qui rapprochaient les chauffeurs de leur domicile, ou réserver des chauffeurs en anticipation d’un fret qui n’était pas encore apparu. Chaque règle produirait des gagnants et des perdants différents. Une approche mixte semblait raisonnable, mais personne ne s’accordait sur les pondérations, et les conditions changeaient plus vite que la réunion ne pouvait les résoudre.</w:t>
      </w:r>
    </w:p>
    <w:p>
      <w:pPr>
        <w:pStyle w:val="BodyText"/>
      </w:pPr>
      <w:r>
        <w:t xml:space="preserve">Le lundi, l’équipe de direction commencerait aussi à examiner les appels d’offres de liaisons pour 2027, les changements de domiciles, l’expansion du courtage, la taille de la flotte, et une plateforme de répartition proposée. Les affectations du vendredi ne représenteraient que quelques centaines de décisions dans une entreprise qui en prenait des milliers chaque semaine, pourtant elles exposaient la question plus profonde : que voulait devenir le réseau de PrairieLine, et combien de performance à court terme était-elle prête à sacrifier pour y parvenir ?</w:t>
      </w:r>
    </w:p>
    <w:bookmarkEnd w:id="22"/>
    <w:bookmarkStart w:id="23" w:name="questions-de-discussion"/>
    <w:p>
      <w:pPr>
        <w:pStyle w:val="Heading1"/>
      </w:pPr>
      <w:r>
        <w:t xml:space="preserve">Questions de discussion</w:t>
      </w:r>
    </w:p>
    <w:p>
      <w:pPr>
        <w:numPr>
          <w:ilvl w:val="0"/>
          <w:numId w:val="1001"/>
        </w:numPr>
      </w:pPr>
      <w:r>
        <w:t xml:space="preserve">Quel est le problème central auquel PrairieLine fait face le vendredi après-midi ?</w:t>
      </w:r>
    </w:p>
    <w:p>
      <w:pPr>
        <w:numPr>
          <w:ilvl w:val="0"/>
          <w:numId w:val="1001"/>
        </w:numPr>
      </w:pPr>
      <w:r>
        <w:t xml:space="preserve">Comment la direction devrait-elle évaluer un chargement dont la marge immédiate est attractive mais dont la destination présente un fret sortant faible ?</w:t>
      </w:r>
    </w:p>
    <w:p>
      <w:pPr>
        <w:numPr>
          <w:ilvl w:val="0"/>
          <w:numId w:val="1001"/>
        </w:numPr>
      </w:pPr>
      <w:r>
        <w:t xml:space="preserve">Quels engagements clients devraient recevoir la priorité lorsque la capacité est insuffisante pour couvrir chaque offre ?</w:t>
      </w:r>
    </w:p>
    <w:p>
      <w:pPr>
        <w:numPr>
          <w:ilvl w:val="0"/>
          <w:numId w:val="1001"/>
        </w:numPr>
      </w:pPr>
      <w:r>
        <w:t xml:space="preserve">Comment les engagements de temps à domicile des chauffeurs et leurs préférences d’affectation devraient-ils influencer les décisions de répartition ?</w:t>
      </w:r>
    </w:p>
    <w:p>
      <w:pPr>
        <w:numPr>
          <w:ilvl w:val="0"/>
          <w:numId w:val="1001"/>
        </w:numPr>
      </w:pPr>
      <w:r>
        <w:t xml:space="preserve">Quand PrairieLine devrait-elle déplacer un chauffeur à vide plutôt que d’accepter un chargement de repositionnement à bas prix ?</w:t>
      </w:r>
    </w:p>
    <w:p>
      <w:pPr>
        <w:numPr>
          <w:ilvl w:val="0"/>
          <w:numId w:val="1001"/>
        </w:numPr>
      </w:pPr>
      <w:r>
        <w:t xml:space="preserve">Quelles informations manquent au tableau de répartition du vendredi qui pourraient modifier de manière significative une affectation ?</w:t>
      </w:r>
    </w:p>
    <w:p>
      <w:pPr>
        <w:numPr>
          <w:ilvl w:val="0"/>
          <w:numId w:val="1001"/>
        </w:numPr>
      </w:pPr>
      <w:r>
        <w:t xml:space="preserve">Comment l’entreprise devrait-elle répartir le fret entre ses propres chauffeurs et la capacité de courtage extérieure ?</w:t>
      </w:r>
    </w:p>
    <w:p>
      <w:pPr>
        <w:numPr>
          <w:ilvl w:val="0"/>
          <w:numId w:val="1001"/>
        </w:numPr>
      </w:pPr>
      <w:r>
        <w:t xml:space="preserve">Que devrait considérer PrairieLine lors des appels d’offres pour les prix annuels et les engagements de capacité par liaison ?</w:t>
      </w:r>
    </w:p>
    <w:p>
      <w:pPr>
        <w:numPr>
          <w:ilvl w:val="0"/>
          <w:numId w:val="1001"/>
        </w:numPr>
      </w:pPr>
      <w:r>
        <w:t xml:space="preserve">L’ajout de chauffeurs en Ohio et au Tennessee améliorerait-il le réseau, ou déplacerait-il simplement le déséquilibre ailleurs ?</w:t>
      </w:r>
    </w:p>
    <w:p>
      <w:pPr>
        <w:numPr>
          <w:ilvl w:val="0"/>
          <w:numId w:val="1001"/>
        </w:numPr>
      </w:pPr>
      <w:r>
        <w:t xml:space="preserve">Comment PrairieLine devrait-elle déterminer si la plateforme de répartition proposée améliore réellement la performance plutôt que de déplacer les coûts entre les clients, les chauffeurs et les périodes futures ?</w:t>
      </w:r>
    </w:p>
    <w:bookmarkEnd w:id="23"/>
    <w:bookmarkStart w:id="29" w:name="questions-de-cadrage-de-la-décision"/>
    <w:p>
      <w:pPr>
        <w:pStyle w:val="Heading1"/>
      </w:pPr>
      <w:r>
        <w:t xml:space="preserve">Questions de cadrage de la décision</w:t>
      </w:r>
    </w:p>
    <w:p>
      <w:pPr>
        <w:numPr>
          <w:ilvl w:val="0"/>
          <w:numId w:val="1002"/>
        </w:numPr>
      </w:pPr>
      <w:r>
        <w:t xml:space="preserve">Identifiez et décrivez les responsabilités du décideur. Cela devrait définir la portée du problème.</w:t>
      </w:r>
    </w:p>
    <w:p>
      <w:pPr>
        <w:numPr>
          <w:ilvl w:val="0"/>
          <w:numId w:val="1002"/>
        </w:numPr>
      </w:pPr>
      <w:r>
        <w:t xml:space="preserve">Utilisez l’</w:t>
      </w:r>
      <w:hyperlink r:id="rId24">
        <w:r>
          <w:rPr>
            <w:rStyle w:val="Hyperlink"/>
          </w:rPr>
          <w:t xml:space="preserve">outil de la pyramide des métriques</w:t>
        </w:r>
      </w:hyperlink>
      <w:r>
        <w:t xml:space="preserve"> </w:t>
      </w:r>
      <w:r>
        <w:t xml:space="preserve">pour identifier et prioriser les différentes métriques de performance. Cliquez sur l’ovale contenant la métrique pour indiquer s’il s’agit d’une métrique à maximiser (vert), à minimiser (rouge), d’une cible constituant un plancher (vert clair) ou un plafond (rouge clair), ou enfin d’une cible (violet).</w:t>
      </w:r>
    </w:p>
    <w:p>
      <w:pPr>
        <w:numPr>
          <w:ilvl w:val="0"/>
          <w:numId w:val="1002"/>
        </w:numPr>
      </w:pPr>
      <w:r>
        <w:t xml:space="preserve">Utilisez l’</w:t>
      </w:r>
      <w:hyperlink r:id="rId25">
        <w:r>
          <w:rPr>
            <w:rStyle w:val="Hyperlink"/>
          </w:rPr>
          <w:t xml:space="preserve">outil de priorisation des décisions</w:t>
        </w:r>
      </w:hyperlink>
      <w:r>
        <w:t xml:space="preserve"> </w:t>
      </w:r>
      <w:r>
        <w:t xml:space="preserve">pour d’abord lister les différents types de décisions (utilisez les</w:t>
      </w:r>
      <w:r>
        <w:t xml:space="preserve"> </w:t>
      </w:r>
      <w:hyperlink r:id="rId26">
        <w:r>
          <w:rPr>
            <w:rStyle w:val="Hyperlink"/>
          </w:rPr>
          <w:t xml:space="preserve">types de décisions</w:t>
        </w:r>
      </w:hyperlink>
      <w:r>
        <w:t xml:space="preserve"> </w:t>
      </w:r>
      <w:r>
        <w:t xml:space="preserve">comme guide). Celles-ci alimenteront ensuite les lignes de la matrice à droite, où les colonnes sont les métriques de performance triées de gauche à droite selon la priorité dans la pyramide ci-dessus. Cliquez sur chaque cellule pour indiquer si l’impact de la décision sur chaque métrique est élevé (rouge), moyen (orange), faible (jaune) ou nul (blanc).</w:t>
      </w:r>
    </w:p>
    <w:p>
      <w:pPr>
        <w:numPr>
          <w:ilvl w:val="0"/>
          <w:numId w:val="1002"/>
        </w:numPr>
      </w:pPr>
      <w:r>
        <w:t xml:space="preserve">Vous pouvez saisir la poignée (trois barres) la plus à gauche sur chaque ligne pour la déplacer vers le haut ou vers le bas. Triez les lignes de sorte que les décisions ayant l’impact le plus important sur les métriques les plus importantes se retrouvent vers le haut. Les cellules dans le coin supérieur gauche devraient présenter la plus grande concentration de cellules rouges et orange. À ce stade, identifiez les décisions qui devraient recevoir le plus d’attention dans votre étude. Si vous n’avez aucune décision ayant un impact moyen ou élevé sur les métriques les plus importantes, révisez votre liste de décisions.</w:t>
      </w:r>
    </w:p>
    <w:p>
      <w:pPr>
        <w:numPr>
          <w:ilvl w:val="0"/>
          <w:numId w:val="1002"/>
        </w:numPr>
      </w:pPr>
      <w:r>
        <w:t xml:space="preserve">Répétez le processus pour lister et prioriser les incertitudes en utilisant l’</w:t>
      </w:r>
      <w:hyperlink r:id="rId27">
        <w:r>
          <w:rPr>
            <w:rStyle w:val="Hyperlink"/>
          </w:rPr>
          <w:t xml:space="preserve">outil de priorisation des incertitudes</w:t>
        </w:r>
      </w:hyperlink>
      <w:r>
        <w:t xml:space="preserve">. Utilisez les</w:t>
      </w:r>
      <w:r>
        <w:t xml:space="preserve"> </w:t>
      </w:r>
      <w:hyperlink r:id="rId28">
        <w:r>
          <w:rPr>
            <w:rStyle w:val="Hyperlink"/>
          </w:rPr>
          <w:t xml:space="preserve">catégories d’incertitude</w:t>
        </w:r>
      </w:hyperlink>
      <w:r>
        <w:t xml:space="preserve"> </w:t>
      </w:r>
      <w:r>
        <w:t xml:space="preserve">pour vous aider à les identifier.</w:t>
      </w:r>
    </w:p>
    <w:p>
      <w:pPr>
        <w:numPr>
          <w:ilvl w:val="0"/>
          <w:numId w:val="1002"/>
        </w:numPr>
      </w:pPr>
      <w:r>
        <w:t xml:space="preserve">Il est important de différencier les incertitudes qui peuvent être évaluées en moyenne, ou en tant qu’événements de risque :</w:t>
      </w:r>
    </w:p>
    <w:p>
      <w:pPr>
        <w:numPr>
          <w:ilvl w:val="1"/>
          <w:numId w:val="1003"/>
        </w:numPr>
      </w:pPr>
      <w:r>
        <w:t xml:space="preserve">Quelles sources d’incertitude seraient captées en utilisant la performance moyenne dans le temps ?</w:t>
      </w:r>
    </w:p>
    <w:p>
      <w:pPr>
        <w:numPr>
          <w:ilvl w:val="1"/>
          <w:numId w:val="1003"/>
        </w:numPr>
      </w:pPr>
      <w:r>
        <w:t xml:space="preserve">Quelles sources d’incertitude représentent des formes de risque qui ne sont pas correctement captées par les moyennes ?</w:t>
      </w:r>
    </w:p>
    <w:p>
      <w:pPr>
        <w:numPr>
          <w:ilvl w:val="0"/>
          <w:numId w:val="1002"/>
        </w:numPr>
      </w:pPr>
      <w:r>
        <w:t xml:space="preserve">Choisissez la décision unique qui semble avoir l’impact le plus élevé sur la métrique la plus importante.</w:t>
      </w:r>
    </w:p>
    <w:p>
      <w:pPr>
        <w:numPr>
          <w:ilvl w:val="1"/>
          <w:numId w:val="1004"/>
        </w:numPr>
      </w:pPr>
      <w:r>
        <w:t xml:space="preserve">Quelle approche pensez-vous utiliser pour prendre cette décision ?</w:t>
      </w:r>
    </w:p>
    <w:p>
      <w:pPr>
        <w:numPr>
          <w:ilvl w:val="1"/>
          <w:numId w:val="1004"/>
        </w:numPr>
      </w:pPr>
      <w:r>
        <w:t xml:space="preserve">Quelles données semblent nécessaires pour prendre cette décision, y compris le calcul de toute métrique de performance sur laquelle la décision aurait un impact élevé ou moyen.</w:t>
      </w:r>
    </w:p>
    <w:p>
      <w:pPr>
        <w:numPr>
          <w:ilvl w:val="0"/>
          <w:numId w:val="1002"/>
        </w:numPr>
      </w:pPr>
      <w:r>
        <w:t xml:space="preserve">En utilisant la même décision que celle identifiée en (7), identifiez les personnes, départements, groupes ou organisations avec lesquels vous devriez travailler pour mettre en œuvre la décision.</w:t>
      </w:r>
    </w:p>
    <w:bookmarkEnd w:id="29"/>
    <w:bookmarkStart w:id="32" w:name="notes-chatgpt"/>
    <w:p>
      <w:pPr>
        <w:pStyle w:val="Heading1"/>
      </w:pPr>
      <w:r>
        <w:t xml:space="preserve">Notes ChatGPT</w:t>
      </w:r>
    </w:p>
    <w:bookmarkStart w:id="30" w:name="invite"/>
    <w:p>
      <w:pPr>
        <w:pStyle w:val="Heading2"/>
      </w:pPr>
      <w:r>
        <w:t xml:space="preserve">Invite</w:t>
      </w:r>
    </w:p>
    <w:p>
      <w:pPr>
        <w:pStyle w:val="FirstParagraph"/>
      </w:pPr>
      <w:r>
        <w:t xml:space="preserve">Rédigez une étude de cas de 4 à 6 pages basée sur le contenu de la section à l’adresse https://warrenpowell.org/bridging-vol1/chapter-2/#truckload-fleet-management. Créez un contexte basé sur les métriques, décisions et incertitudes de la section, mais sans attirer explicitement l’attention dessus. Motivez votre étude de cas Bottom of Form</w:t>
      </w:r>
    </w:p>
    <w:bookmarkEnd w:id="30"/>
    <w:bookmarkStart w:id="31" w:name="résumé"/>
    <w:p>
      <w:pPr>
        <w:pStyle w:val="Heading2"/>
      </w:pPr>
      <w:r>
        <w:t xml:space="preserve">Résumé</w:t>
      </w:r>
    </w:p>
    <w:p>
      <w:pPr>
        <w:pStyle w:val="FirstParagraph"/>
      </w:pPr>
      <w:r>
        <w:t xml:space="preserve">L’étude de cas présente un transporteur fictif de camions complets de taille moyenne essayant de coordonner l’acceptation quotidienne des chargements, les affectations des chauffeurs, les engagements clients, les promesses de temps à domicile, la capacité de courtage, les appels d’offres annuels de liaisons, et la taille de la flotte.</w:t>
      </w:r>
    </w:p>
    <w:p>
      <w:pPr>
        <w:pStyle w:val="BodyText"/>
      </w:pPr>
      <w:r>
        <w:t xml:space="preserve">Le contexte s’inspire de données du secteur montrant que les camions ont transporté 11,27 milliards de tonnes de fret aux États-Unis et généré environ 906 milliards de dollars de revenus en 2024. L’étude de cas s’appuie également sur des données fédérales concernant l’emploi des chauffeurs, les heures de service, et les prix du diesel.</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2026-09-11T15:52:57Z</dcterms:created>
  <dcterms:modified xsi:type="dcterms:W3CDTF">2026-09-11T15:52:57Z</dcterms:modified>
</cp:coreProperties>
</file>

<file path=docProps/custom.xml><?xml version="1.0" encoding="utf-8"?>
<Properties xmlns="http://schemas.openxmlformats.org/officeDocument/2006/custom-properties" xmlns:vt="http://schemas.openxmlformats.org/officeDocument/2006/docPropsVTypes"/>
</file>