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laiguille-du-financement-de-redwood"/>
    <w:p>
      <w:pPr>
        <w:pStyle w:val="Heading1"/>
      </w:pPr>
      <w:r>
        <w:t xml:space="preserve">L’aiguille du financement de Redwood</w:t>
      </w:r>
    </w:p>
    <w:p>
      <w:pPr>
        <w:pStyle w:val="FirstParagraph"/>
      </w:pPr>
      <w:r>
        <w:t xml:space="preserve">Une agence d’État de lutte contre l’addiction concilie naloxone, traitement, rétablissement – et revenus limités</w:t>
      </w:r>
    </w:p>
    <w:p>
      <w:pPr>
        <w:pStyle w:val="BodyText"/>
      </w:pPr>
      <w:r>
        <w:t xml:space="preserve">Ce cas est fictif. Les statistiques publiques et les descriptions de programmes fédéraux sont tirées des sources listées à la fin.</w:t>
      </w:r>
    </w:p>
    <w:p>
      <w:pPr>
        <w:pStyle w:val="BodyText"/>
      </w:pPr>
      <w:r>
        <w:rPr>
          <w:b/>
          <w:bCs/>
        </w:rPr>
        <w:t xml:space="preserve">7 octobre 2026 — 6h20.</w:t>
      </w:r>
      <w:r>
        <w:t xml:space="preserve"> </w:t>
      </w:r>
      <w:r>
        <w:t xml:space="preserve">Le Dr Elena Marquez, commissaire du Département des Services de Rétablissement de Redwood (RDRS), avait trois feuilles de calcul ouvertes sur sa table de cuisine. La première montrait un nombre décroissant de décès par surdose à l’échelle de l’État. La deuxième montrait un déficit de financement projeté de 18,6 millions de dollars. La troisième énumérait 126 postes qui ne pourraient pas être soutenus au-delà de juin, à moins que la législature, le gouvernement fédéral ou des donateurs privés n’agissent.</w:t>
      </w:r>
    </w:p>
    <w:p>
      <w:pPr>
        <w:pStyle w:val="BodyText"/>
      </w:pPr>
      <w:r>
        <w:rPr>
          <w:b/>
          <w:bCs/>
        </w:rPr>
        <w:t xml:space="preserve">L’amélioration apparente de la mortalité compliquait plutôt qu’elle ne simplifiait le problème.</w:t>
      </w:r>
      <w:r>
        <w:t xml:space="preserve"> </w:t>
      </w:r>
      <w:r>
        <w:t xml:space="preserve">À l’échelle nationale, les décès par surdose avaient fortement diminué depuis leur pic pendant la pandémie, mais des dizaines de milliers de personnes mouraient encore chaque année. L’estimation préliminaire du CDC pour les 12 mois se terminant en décembre 2025 était d’environ 69 973 décès, soit 13,9% de moins que l’année précédente. Les données finales de 2024 montraient 54 045 décès impliquant des opioïdes, dont 47 735 impliquant des opioïdes synthétiques autres que la méthadone. Parallèlement, la SAMHSA estimait que 4,8 millions d’Américains âgés de 12 ans ou plus souffraient d’un trouble lié à l’usage d’opioïdes en 2024, mais seuls 17% recevaient des médicaments pour ce trouble.</w:t>
      </w:r>
    </w:p>
    <w:p>
      <w:pPr>
        <w:pStyle w:val="BodyText"/>
      </w:pPr>
      <w:r>
        <w:t xml:space="preserve">Le gouverneur de Redwood voulait des preuves que les investissements d’urgence pouvaient désormais être réduits. Les responsables des comtés voulaient plus de naloxone. Les prestataires de traitement voulaient un remboursement plus élevé. Les organisations de rétablissement voulaient un soutien au logement et à l’emploi. Les subventions fédérales restaient importantes, mais chacune arrivait avec ses propres populations éligibles, ses activités requises, ses règles de reporting et ses mesures de performance. Les donateurs locaux étaient flexibles mais peu nombreux — et de plus en plus intéressés par des projets visibles et à court terme plutôt que par du personnel permanent.</w:t>
      </w:r>
    </w:p>
    <w:p>
      <w:pPr>
        <w:pStyle w:val="BodyText"/>
      </w:pPr>
      <w:r>
        <w:t xml:space="preserve">À 9h00, Marquez devait présider une retraite budgétaire. La question n’était pas simplement de savoir comment lever des fonds. Il s’agissait de savoir comment construire un portefeuille de financement qui maintiendrait intact un effectif à l’échelle de l’État tout en servant des populations dont les besoins ne correspondaient pas parfaitement aux restrictions attachées aux dollars disponibles.</w:t>
      </w:r>
    </w:p>
    <w:bookmarkEnd w:id="9"/>
    <w:bookmarkStart w:id="10" w:name="le-système-redwood"/>
    <w:p>
      <w:pPr>
        <w:pStyle w:val="Heading1"/>
      </w:pPr>
      <w:r>
        <w:t xml:space="preserve">Le système Redwood</w:t>
      </w:r>
    </w:p>
    <w:p>
      <w:pPr>
        <w:pStyle w:val="FirstParagraph"/>
      </w:pPr>
      <w:r>
        <w:t xml:space="preserve">Redwood était un État fictif de 6,8 millions d’habitants, avec deux grandes zones métropolitaines, un corridor industriel en déclin, des comtés agricoles, des terres tribales et des communautés de montagne isolées. Le RDRS avait été créé cinq ans auparavant par la fusion du bureau de prévention des surdoses de l’État, de l’autorité de traitement des addictions et de l’unité des services de rétablissement. La consolidation promettait un « continuum de soins unique », mais son financement restait fragmenté.</w:t>
      </w:r>
    </w:p>
    <w:p>
      <w:pPr>
        <w:pStyle w:val="BodyText"/>
      </w:pPr>
      <w:r>
        <w:t xml:space="preserve">Le RDRS n’exploitait pas d’hôpitaux. Il employait des cliniciens, des pharmaciens, des épidémiologistes, des spécialistes du rétablissement par les pairs, des gestionnaires de subventions, du personnel d’approvisionnement et des coordinateurs régionaux. Il contractait avec des prestataires communautaires et des agences de comté, tout en gérant directement l’entrepôt de naloxone à l’échelle de l’État, la surveillance des surdoses, la ligne d’accès au traitement, les équipes cliniques mobiles et le programme de navigation vers le rétablissement.</w:t>
      </w:r>
    </w:p>
    <w:p>
      <w:pPr>
        <w:pStyle w:val="BodyText"/>
      </w:pPr>
      <w:r>
        <w:t xml:space="preserve">Le personnel constituait le coût dominant de l’agence. Le personnel faisait plus que fournir des services : il formait les partenaires locaux, maintenait des ordres permanents, surveillait les sous-bénéficiaires, collectait des données fédérales, enquêtait sur les regroupements de cas, négociait la capacité des prestataires et aidait les personnes à passer des soins d’urgence au traitement, au logement, aux prestations et à l’emploi. De nombreux postes étaient soutenus par des subventions qui les traitaient comme des dépenses de projet temporaires, même si le travail était devenu une responsabilité opérationnelle permanente.</w:t>
      </w:r>
    </w:p>
    <w:p>
      <w:pPr>
        <w:pStyle w:val="BodyText"/>
      </w:pPr>
      <w:r>
        <w:t xml:space="preserve">Pièce 1. Profil opérationnel du RDRS, exercice 2026</w:t>
      </w:r>
    </w:p>
    <w:tbl>
      <w:tblPr>
        <w:tblStyle w:val="Table"/>
        <w:tblW w:type="pct" w:w="4930"/>
        <w:tblLayout w:type="fixed"/>
        <w:tblLook w:firstRow="1" w:lastRow="0" w:firstColumn="0" w:lastColumn="0" w:noHBand="0" w:noVBand="0" w:val="0020"/>
      </w:tblPr>
      <w:tblGrid>
        <w:gridCol w:w="2270"/>
        <w:gridCol w:w="664"/>
        <w:gridCol w:w="996"/>
        <w:gridCol w:w="3876"/>
      </w:tblGrid>
      <w:tr>
        <w:trPr>
          <w:tblHeader w:val="on"/>
        </w:trPr>
        <w:tc>
          <w:tcPr/>
          <w:p>
            <w:pPr>
              <w:pStyle w:val="Compact"/>
              <w:jc w:val="left"/>
            </w:pPr>
            <w:r>
              <w:t xml:space="preserve">Domaine du programme</w:t>
            </w:r>
          </w:p>
        </w:tc>
        <w:tc>
          <w:tcPr/>
          <w:p>
            <w:pPr>
              <w:pStyle w:val="Compact"/>
            </w:pPr>
            <w:r>
              <w:t xml:space="preserve">Employés C</w:t>
            </w:r>
          </w:p>
        </w:tc>
        <w:tc>
          <w:tcPr/>
          <w:p>
            <w:pPr>
              <w:pStyle w:val="Compact"/>
            </w:pPr>
            <w:r>
              <w:t xml:space="preserve">oût annuel R</w:t>
            </w:r>
          </w:p>
        </w:tc>
        <w:tc>
          <w:tcPr/>
          <w:p>
            <w:pPr>
              <w:pStyle w:val="Compact"/>
              <w:jc w:val="left"/>
            </w:pPr>
            <w:r>
              <w:t xml:space="preserve">ésultats sélectionnés de l’exercice 2026</w:t>
            </w:r>
          </w:p>
        </w:tc>
      </w:tr>
      <w:tr>
        <w:tc>
          <w:tcPr/>
          <w:p>
            <w:pPr>
              <w:pStyle w:val="Compact"/>
              <w:jc w:val="left"/>
            </w:pPr>
            <w:r>
              <w:t xml:space="preserve">Naloxone et réduction des risques</w:t>
            </w:r>
          </w:p>
        </w:tc>
        <w:tc>
          <w:tcPr/>
          <w:p>
            <w:pPr>
              <w:pStyle w:val="Compact"/>
            </w:pPr>
            <w:r>
              <w:t xml:space="preserve">94</w:t>
            </w:r>
          </w:p>
        </w:tc>
        <w:tc>
          <w:tcPr/>
          <w:p>
            <w:pPr>
              <w:pStyle w:val="Compact"/>
            </w:pPr>
            <w:r>
              <w:t xml:space="preserve">18,9 M $</w:t>
            </w:r>
          </w:p>
        </w:tc>
        <w:tc>
          <w:tcPr/>
          <w:p>
            <w:pPr>
              <w:pStyle w:val="Compact"/>
              <w:jc w:val="left"/>
            </w:pPr>
            <w:r>
              <w:t xml:space="preserve">428 000 trousses à deux doses distribuées ; 31 400 personnes formées</w:t>
            </w:r>
          </w:p>
        </w:tc>
      </w:tr>
      <w:tr>
        <w:tc>
          <w:tcPr/>
          <w:p>
            <w:pPr>
              <w:pStyle w:val="Compact"/>
              <w:jc w:val="left"/>
            </w:pPr>
            <w:r>
              <w:t xml:space="preserve">Accès au traitement et services</w:t>
            </w:r>
            <w:r>
              <w:t xml:space="preserve"> </w:t>
            </w:r>
            <w:r>
              <w:t xml:space="preserve">cliniques</w:t>
            </w:r>
          </w:p>
        </w:tc>
        <w:tc>
          <w:tcPr/>
          <w:p>
            <w:pPr>
              <w:pStyle w:val="Compact"/>
            </w:pPr>
            <w:r>
              <w:t xml:space="preserve">171</w:t>
            </w:r>
          </w:p>
        </w:tc>
        <w:tc>
          <w:tcPr/>
          <w:p>
            <w:pPr>
              <w:pStyle w:val="Compact"/>
            </w:pPr>
            <w:r>
              <w:t xml:space="preserve">43,7 M $</w:t>
            </w:r>
          </w:p>
        </w:tc>
        <w:tc>
          <w:tcPr/>
          <w:p>
            <w:pPr>
              <w:pStyle w:val="Compact"/>
              <w:jc w:val="left"/>
            </w:pPr>
            <w:r>
              <w:t xml:space="preserve">21 800 débuts de traitement ; 7 600 initiations au MOUD</w:t>
            </w:r>
          </w:p>
        </w:tc>
      </w:tr>
      <w:tr>
        <w:tc>
          <w:tcPr/>
          <w:p>
            <w:pPr>
              <w:pStyle w:val="Compact"/>
              <w:jc w:val="left"/>
            </w:pPr>
            <w:r>
              <w:t xml:space="preserve">Rétablissement et stabilisation</w:t>
            </w:r>
          </w:p>
        </w:tc>
        <w:tc>
          <w:tcPr/>
          <w:p>
            <w:pPr>
              <w:pStyle w:val="Compact"/>
            </w:pPr>
            <w:r>
              <w:t xml:space="preserve">116</w:t>
            </w:r>
          </w:p>
        </w:tc>
        <w:tc>
          <w:tcPr/>
          <w:p>
            <w:pPr>
              <w:pStyle w:val="Compact"/>
            </w:pPr>
            <w:r>
              <w:t xml:space="preserve">25,4 M $</w:t>
            </w:r>
          </w:p>
        </w:tc>
        <w:tc>
          <w:tcPr/>
          <w:p>
            <w:pPr>
              <w:pStyle w:val="Compact"/>
              <w:jc w:val="left"/>
            </w:pPr>
            <w:r>
              <w:t xml:space="preserve">12 900 clients recevant de la navigation, du logement ou un</w:t>
            </w:r>
            <w:r>
              <w:t xml:space="preserve"> </w:t>
            </w:r>
            <w:r>
              <w:t xml:space="preserve">soutien à l’emploi</w:t>
            </w:r>
          </w:p>
        </w:tc>
      </w:tr>
      <w:tr>
        <w:tc>
          <w:tcPr/>
          <w:p>
            <w:pPr>
              <w:pStyle w:val="Compact"/>
              <w:jc w:val="left"/>
            </w:pPr>
            <w:r>
              <w:t xml:space="preserve">Surveillance, évaluation et subventions</w:t>
            </w:r>
          </w:p>
        </w:tc>
        <w:tc>
          <w:tcPr/>
          <w:p>
            <w:pPr>
              <w:pStyle w:val="Compact"/>
            </w:pPr>
            <w:r>
              <w:t xml:space="preserve">73</w:t>
            </w:r>
          </w:p>
        </w:tc>
        <w:tc>
          <w:tcPr/>
          <w:p>
            <w:pPr>
              <w:pStyle w:val="Compact"/>
            </w:pPr>
            <w:r>
              <w:t xml:space="preserve">16,8 M $</w:t>
            </w:r>
          </w:p>
        </w:tc>
        <w:tc>
          <w:tcPr/>
          <w:p>
            <w:pPr>
              <w:pStyle w:val="Compact"/>
              <w:jc w:val="left"/>
            </w:pPr>
            <w:r>
              <w:t xml:space="preserve">62 sous-subventions surveillées ; tableau de bord hebdomadaire</w:t>
            </w:r>
            <w:r>
              <w:t xml:space="preserve"> </w:t>
            </w:r>
            <w:r>
              <w:t xml:space="preserve">des surdoses</w:t>
            </w:r>
          </w:p>
        </w:tc>
      </w:tr>
      <w:tr>
        <w:tc>
          <w:tcPr/>
          <w:p>
            <w:pPr>
              <w:pStyle w:val="Compact"/>
              <w:jc w:val="left"/>
            </w:pPr>
            <w:r>
              <w:t xml:space="preserve">Administration et services partagés</w:t>
            </w:r>
          </w:p>
        </w:tc>
        <w:tc>
          <w:tcPr/>
          <w:p>
            <w:pPr>
              <w:pStyle w:val="Compact"/>
            </w:pPr>
            <w:r>
              <w:t xml:space="preserve">52</w:t>
            </w:r>
          </w:p>
        </w:tc>
        <w:tc>
          <w:tcPr/>
          <w:p>
            <w:pPr>
              <w:pStyle w:val="Compact"/>
            </w:pPr>
            <w:r>
              <w:t xml:space="preserve">13,2 M $</w:t>
            </w:r>
          </w:p>
        </w:tc>
        <w:tc>
          <w:tcPr/>
          <w:p>
            <w:pPr>
              <w:pStyle w:val="Compact"/>
              <w:jc w:val="left"/>
            </w:pPr>
            <w:r>
              <w:t xml:space="preserve">Approvisionnement, finances, TI, juridique, RH</w:t>
            </w:r>
          </w:p>
        </w:tc>
      </w:tr>
      <w:tr>
        <w:tc>
          <w:tcPr/>
          <w:p>
            <w:pPr>
              <w:pStyle w:val="Compact"/>
              <w:jc w:val="left"/>
            </w:pPr>
            <w:r>
              <w:t xml:space="preserve">Total</w:t>
            </w:r>
          </w:p>
        </w:tc>
        <w:tc>
          <w:tcPr/>
          <w:p>
            <w:pPr>
              <w:pStyle w:val="Compact"/>
            </w:pPr>
            <w:r>
              <w:t xml:space="preserve">506</w:t>
            </w:r>
          </w:p>
        </w:tc>
        <w:tc>
          <w:tcPr/>
          <w:p>
            <w:pPr>
              <w:pStyle w:val="Compact"/>
            </w:pPr>
            <w:r>
              <w:t xml:space="preserve">118,0 M $</w:t>
            </w:r>
          </w:p>
        </w:tc>
        <w:tc>
          <w:tcPr/>
          <w:p>
            <w:pPr>
              <w:pStyle w:val="Compact"/>
              <w:jc w:val="left"/>
            </w:pPr>
            <w:r>
              <w:t xml:space="preserve">Opérations à l’échelle de l’État</w:t>
            </w:r>
          </w:p>
        </w:tc>
      </w:tr>
    </w:tbl>
    <w:p>
      <w:pPr>
        <w:pStyle w:val="BodyText"/>
      </w:pPr>
      <w:r>
        <w:t xml:space="preserve">Remarque : Toutes les données de Redwood sont fictives. Le « coût annuel » comprend le personnel, les avantages sociaux, les contrats, les fournitures et les frais généraux alloués.</w:t>
      </w:r>
    </w:p>
    <w:bookmarkEnd w:id="10"/>
    <w:bookmarkStart w:id="11" w:name="X906c21fc87dfbce84b28e5ea9e8b7badef9d0ec"/>
    <w:p>
      <w:pPr>
        <w:pStyle w:val="Heading1"/>
      </w:pPr>
      <w:r>
        <w:t xml:space="preserve">Une meilleure année — ou une amélioration fragile ?</w:t>
      </w:r>
    </w:p>
    <w:p>
      <w:pPr>
        <w:pStyle w:val="FirstParagraph"/>
      </w:pPr>
      <w:r>
        <w:t xml:space="preserve">Les décès provisoires par surdose de Redwood étaient passés de 2 180 en 2023 à 1 640 en 2025. Les visites aux urgences pour surdose étaient également en baisse, mais de manière moins spectaculaire. Les totaux à l’échelle de l’État dissimulaient des différences persistantes : les décès urbains diminuaient plus rapidement que les décès ruraux ; les décès chez les adultes de plus de 45 ans diminuaient lentement ; et les surdoses impliquant des stimulants représentaient une part croissante des cas. Plusieurs comtés ont signalé que la naloxone était utilisée plus d’une fois lors d’un même événement.</w:t>
      </w:r>
    </w:p>
    <w:p>
      <w:pPr>
        <w:pStyle w:val="BodyText"/>
      </w:pPr>
      <w:r>
        <w:t xml:space="preserve">Les épidémiologistes de Marquez mettaient en garde contre le fait de considérer cette baisse comme une preuve que la crise était passée. Les analyses nationales attribuaient les améliorations récentes à de multiples facteurs, notamment une distribution plus large de naloxone, un meilleur accès au traitement, des changements dans l’offre de drogues illégales, la restauration des activités de prévention après la pandémie et un investissement public continu. Si le financement était réduit parce que les résultats s’amélioraient, l’État pourrait démanteler une partie de la capacité qui avait contribué à ces résultats.</w:t>
      </w:r>
    </w:p>
    <w:bookmarkEnd w:id="11"/>
    <w:bookmarkStart w:id="12" w:name="larchitecture-des-revenus"/>
    <w:p>
      <w:pPr>
        <w:pStyle w:val="Heading1"/>
      </w:pPr>
      <w:r>
        <w:t xml:space="preserve">L’architecture des revenus</w:t>
      </w:r>
    </w:p>
    <w:p>
      <w:pPr>
        <w:pStyle w:val="FirstParagraph"/>
      </w:pPr>
      <w:r>
        <w:t xml:space="preserve">Le budget du RDRS semblait diversifié vu de loin. En pratique, une grande partie était restreinte. Le programme fédéral State Opioid Response (SOR) soutenait la prévention, la réduction des risques, le traitement et les services de rétablissement, mais le financement de continuation dépendait des crédits du Congrès, des progrès vers les objectifs, du reporting en temps opportun et de la conformité aux conditions de subvention. L’avis SOR de l’exercice 2024 anticipait 1,4805 milliard de dollars à l’échelle nationale pour jusqu’à 59 subventions ; le HHS a ensuite annoncé plus de 1,5 milliard de dollars en subventions de continuation pour l’exercice 2025 pour la réponse aux opioïdes des États et des tribus. La stabilité apparente n’éliminait pas l’incertitude annuelle au niveau de l’État.</w:t>
      </w:r>
    </w:p>
    <w:p>
      <w:pPr>
        <w:pStyle w:val="BodyText"/>
      </w:pPr>
      <w:r>
        <w:t xml:space="preserve">D’autres fonds fédéraux se concentraient sur la surveillance, les populations couvertes par les subventions globales, les personnes impliquées dans le système judiciaire, les personnes enceintes et les parents, la prévention chez les jeunes, ou des pratiques fondées sur des données probantes spécifiques. Les crédits de l’État étaient plus flexibles mais exposés au cycle budgétaire annuel. Les produits des règlements liés aux opioïdes pouvaient soutenir l’assainissement mais étaient régis par des accords juridiques et une surveillance politique. Medicaid remboursait les rencontres cliniques mais ne payait généralement pas la sensibilisation large, la naloxone placée dans des lieux publics, la conformité aux subventions ou la navigation vers l’emploi. Les donateurs privés préféraient souvent des initiatives nommées avec des résultats mesurables et visibles.</w:t>
      </w:r>
    </w:p>
    <w:p>
      <w:pPr>
        <w:pStyle w:val="BodyText"/>
      </w:pPr>
      <w:r>
        <w:t xml:space="preserve">Pièce 2. Financement projeté par source pour l’exercice 2027</w:t>
      </w:r>
    </w:p>
    <w:tbl>
      <w:tblPr>
        <w:tblStyle w:val="Table"/>
        <w:tblW w:type="pct" w:w="4945"/>
        <w:tblLayout w:type="fixed"/>
        <w:tblLook w:firstRow="1" w:lastRow="0" w:firstColumn="0" w:lastColumn="0" w:noHBand="0" w:noVBand="0" w:val="0020"/>
      </w:tblPr>
      <w:tblGrid>
        <w:gridCol w:w="1341"/>
        <w:gridCol w:w="735"/>
        <w:gridCol w:w="1255"/>
        <w:gridCol w:w="4500"/>
      </w:tblGrid>
      <w:tr>
        <w:trPr>
          <w:tblHeader w:val="on"/>
        </w:trPr>
        <w:tc>
          <w:tcPr/>
          <w:p>
            <w:pPr>
              <w:pStyle w:val="Compact"/>
              <w:jc w:val="left"/>
            </w:pPr>
            <w:r>
              <w:t xml:space="preserve">Source</w:t>
            </w:r>
          </w:p>
        </w:tc>
        <w:tc>
          <w:tcPr/>
          <w:p>
            <w:pPr>
              <w:pStyle w:val="Compact"/>
              <w:jc w:val="center"/>
            </w:pPr>
            <w:r>
              <w:t xml:space="preserve">Exercice 2026</w:t>
            </w:r>
          </w:p>
        </w:tc>
        <w:tc>
          <w:tcPr/>
          <w:p>
            <w:pPr>
              <w:pStyle w:val="Compact"/>
              <w:jc w:val="center"/>
            </w:pPr>
            <w:r>
              <w:t xml:space="preserve">Scénario de planification</w:t>
            </w:r>
            <w:r>
              <w:t xml:space="preserve"> </w:t>
            </w:r>
            <w:r>
              <w:t xml:space="preserve">pour l’exercice 2027</w:t>
            </w:r>
          </w:p>
        </w:tc>
        <w:tc>
          <w:tcPr/>
          <w:p>
            <w:pPr>
              <w:pStyle w:val="Compact"/>
              <w:jc w:val="left"/>
            </w:pPr>
            <w:r>
              <w:t xml:space="preserve">Principales restrictions ou incertitudes</w:t>
            </w:r>
          </w:p>
        </w:tc>
      </w:tr>
      <w:tr>
        <w:tc>
          <w:tcPr/>
          <w:p>
            <w:pPr>
              <w:pStyle w:val="Compact"/>
              <w:jc w:val="left"/>
            </w:pPr>
            <w:r>
              <w:t xml:space="preserve">Subvention fédérale SOR</w:t>
            </w:r>
          </w:p>
        </w:tc>
        <w:tc>
          <w:tcPr/>
          <w:p>
            <w:pPr>
              <w:pStyle w:val="Compact"/>
              <w:jc w:val="center"/>
            </w:pPr>
            <w:r>
              <w:t xml:space="preserve">38,4 M $</w:t>
            </w:r>
          </w:p>
        </w:tc>
        <w:tc>
          <w:tcPr/>
          <w:p>
            <w:pPr>
              <w:pStyle w:val="Compact"/>
              <w:jc w:val="center"/>
            </w:pPr>
            <w:r>
              <w:t xml:space="preserve">31,0 M $–39,2 M $</w:t>
            </w:r>
          </w:p>
        </w:tc>
        <w:tc>
          <w:tcPr/>
          <w:p>
            <w:pPr>
              <w:pStyle w:val="Compact"/>
              <w:jc w:val="left"/>
            </w:pPr>
            <w:r>
              <w:t xml:space="preserve">Continuation annuelle ; objectifs opioïdes/stimulants ; reporting détaillé ; exigences envers les</w:t>
            </w:r>
            <w:r>
              <w:t xml:space="preserve"> </w:t>
            </w:r>
            <w:r>
              <w:t xml:space="preserve">sous-bénéficiaires</w:t>
            </w:r>
          </w:p>
        </w:tc>
      </w:tr>
      <w:tr>
        <w:tc>
          <w:tcPr/>
          <w:p>
            <w:pPr>
              <w:pStyle w:val="Compact"/>
              <w:jc w:val="left"/>
            </w:pPr>
            <w:r>
              <w:t xml:space="preserve">Autres subventions fédérales</w:t>
            </w:r>
          </w:p>
        </w:tc>
        <w:tc>
          <w:tcPr/>
          <w:p>
            <w:pPr>
              <w:pStyle w:val="Compact"/>
              <w:jc w:val="center"/>
            </w:pPr>
            <w:r>
              <w:t xml:space="preserve">19,6 M $</w:t>
            </w:r>
          </w:p>
        </w:tc>
        <w:tc>
          <w:tcPr/>
          <w:p>
            <w:pPr>
              <w:pStyle w:val="Compact"/>
              <w:jc w:val="center"/>
            </w:pPr>
            <w:r>
              <w:t xml:space="preserve">15,1 M $–20,4 M $</w:t>
            </w:r>
          </w:p>
        </w:tc>
        <w:tc>
          <w:tcPr/>
          <w:p>
            <w:pPr>
              <w:pStyle w:val="Compact"/>
              <w:jc w:val="left"/>
            </w:pPr>
            <w:r>
              <w:t xml:space="preserve">Populations ou activités restreintes ; périodes de subvention et règles de coûts indirects</w:t>
            </w:r>
            <w:r>
              <w:t xml:space="preserve"> </w:t>
            </w:r>
            <w:r>
              <w:t xml:space="preserve">différentes</w:t>
            </w:r>
          </w:p>
        </w:tc>
      </w:tr>
      <w:tr>
        <w:tc>
          <w:tcPr/>
          <w:p>
            <w:pPr>
              <w:pStyle w:val="Compact"/>
              <w:jc w:val="left"/>
            </w:pPr>
            <w:r>
              <w:t xml:space="preserve">Fonds général de l’État</w:t>
            </w:r>
          </w:p>
        </w:tc>
        <w:tc>
          <w:tcPr/>
          <w:p>
            <w:pPr>
              <w:pStyle w:val="Compact"/>
              <w:jc w:val="center"/>
            </w:pPr>
            <w:r>
              <w:t xml:space="preserve">25,0 M $</w:t>
            </w:r>
          </w:p>
        </w:tc>
        <w:tc>
          <w:tcPr/>
          <w:p>
            <w:pPr>
              <w:pStyle w:val="Compact"/>
              <w:jc w:val="center"/>
            </w:pPr>
            <w:r>
              <w:t xml:space="preserve">21,0 M $–30,0 M $</w:t>
            </w:r>
          </w:p>
        </w:tc>
        <w:tc>
          <w:tcPr/>
          <w:p>
            <w:pPr>
              <w:pStyle w:val="Compact"/>
              <w:jc w:val="left"/>
            </w:pPr>
            <w:r>
              <w:t xml:space="preserve">Crédit annuel ; priorités budgétaires concurrentes</w:t>
            </w:r>
          </w:p>
        </w:tc>
      </w:tr>
      <w:tr>
        <w:tc>
          <w:tcPr/>
          <w:p>
            <w:pPr>
              <w:pStyle w:val="Compact"/>
              <w:jc w:val="left"/>
            </w:pPr>
            <w:r>
              <w:t xml:space="preserve">Allocation des règlements sur</w:t>
            </w:r>
            <w:r>
              <w:t xml:space="preserve"> </w:t>
            </w:r>
            <w:r>
              <w:t xml:space="preserve">les opioïdes</w:t>
            </w:r>
          </w:p>
        </w:tc>
        <w:tc>
          <w:tcPr/>
          <w:p>
            <w:pPr>
              <w:pStyle w:val="Compact"/>
              <w:jc w:val="center"/>
            </w:pPr>
            <w:r>
              <w:t xml:space="preserve">14,5 M $</w:t>
            </w:r>
          </w:p>
        </w:tc>
        <w:tc>
          <w:tcPr/>
          <w:p>
            <w:pPr>
              <w:pStyle w:val="Compact"/>
              <w:jc w:val="center"/>
            </w:pPr>
            <w:r>
              <w:t xml:space="preserve">11,0 M $–16,0 M $</w:t>
            </w:r>
          </w:p>
        </w:tc>
        <w:tc>
          <w:tcPr/>
          <w:p>
            <w:pPr>
              <w:pStyle w:val="Compact"/>
              <w:jc w:val="left"/>
            </w:pPr>
            <w:r>
              <w:t xml:space="preserve">Doit être admissible comme assainissement lié aux opioïdes ; surveillance publique et juridique</w:t>
            </w:r>
          </w:p>
        </w:tc>
      </w:tr>
      <w:tr>
        <w:tc>
          <w:tcPr/>
          <w:p>
            <w:pPr>
              <w:pStyle w:val="Compact"/>
              <w:jc w:val="left"/>
            </w:pPr>
            <w:r>
              <w:t xml:space="preserve">Medicaid et revenus de service</w:t>
            </w:r>
          </w:p>
        </w:tc>
        <w:tc>
          <w:tcPr/>
          <w:p>
            <w:pPr>
              <w:pStyle w:val="Compact"/>
              <w:jc w:val="center"/>
            </w:pPr>
            <w:r>
              <w:t xml:space="preserve">13,1 M $</w:t>
            </w:r>
          </w:p>
        </w:tc>
        <w:tc>
          <w:tcPr/>
          <w:p>
            <w:pPr>
              <w:pStyle w:val="Compact"/>
              <w:jc w:val="center"/>
            </w:pPr>
            <w:r>
              <w:t xml:space="preserve">13,8 M $–16,5 M $</w:t>
            </w:r>
          </w:p>
        </w:tc>
        <w:tc>
          <w:tcPr/>
          <w:p>
            <w:pPr>
              <w:pStyle w:val="Compact"/>
              <w:jc w:val="left"/>
            </w:pPr>
            <w:r>
              <w:t xml:space="preserve">Dépend des rencontres facturables, de l’inscription, des tarifs et de la capacité des</w:t>
            </w:r>
            <w:r>
              <w:t xml:space="preserve"> </w:t>
            </w:r>
            <w:r>
              <w:t xml:space="preserve">prestataires</w:t>
            </w:r>
          </w:p>
        </w:tc>
      </w:tr>
      <w:tr>
        <w:tc>
          <w:tcPr/>
          <w:p>
            <w:pPr>
              <w:pStyle w:val="Compact"/>
              <w:jc w:val="left"/>
            </w:pPr>
            <w:r>
              <w:t xml:space="preserve">Fondations et donateurs locaux</w:t>
            </w:r>
          </w:p>
        </w:tc>
        <w:tc>
          <w:tcPr/>
          <w:p>
            <w:pPr>
              <w:pStyle w:val="Compact"/>
              <w:jc w:val="center"/>
            </w:pPr>
            <w:r>
              <w:t xml:space="preserve">4,6 M $</w:t>
            </w:r>
          </w:p>
        </w:tc>
        <w:tc>
          <w:tcPr/>
          <w:p>
            <w:pPr>
              <w:pStyle w:val="Compact"/>
              <w:jc w:val="center"/>
            </w:pPr>
            <w:r>
              <w:t xml:space="preserve">3,0 M $–8,0 M $</w:t>
            </w:r>
          </w:p>
        </w:tc>
        <w:tc>
          <w:tcPr/>
          <w:p>
            <w:pPr>
              <w:pStyle w:val="Compact"/>
              <w:jc w:val="left"/>
            </w:pPr>
            <w:r>
              <w:t xml:space="preserve">Petites subventions ; préférences des donateurs ; appétit limité pour la masse salariale</w:t>
            </w:r>
            <w:r>
              <w:t xml:space="preserve"> </w:t>
            </w:r>
            <w:r>
              <w:t xml:space="preserve">permanente</w:t>
            </w:r>
          </w:p>
        </w:tc>
      </w:tr>
      <w:tr>
        <w:tc>
          <w:tcPr/>
          <w:p>
            <w:pPr>
              <w:pStyle w:val="Compact"/>
              <w:jc w:val="left"/>
            </w:pPr>
            <w:r>
              <w:t xml:space="preserve">Autres</w:t>
            </w:r>
          </w:p>
        </w:tc>
        <w:tc>
          <w:tcPr/>
          <w:p>
            <w:pPr>
              <w:pStyle w:val="Compact"/>
              <w:jc w:val="center"/>
            </w:pPr>
            <w:r>
              <w:t xml:space="preserve">2,8 M $</w:t>
            </w:r>
          </w:p>
        </w:tc>
        <w:tc>
          <w:tcPr/>
          <w:p>
            <w:pPr>
              <w:pStyle w:val="Compact"/>
              <w:jc w:val="center"/>
            </w:pPr>
            <w:r>
              <w:t xml:space="preserve">2,5 M $–3,0 M $</w:t>
            </w:r>
          </w:p>
        </w:tc>
        <w:tc>
          <w:tcPr/>
          <w:p>
            <w:pPr>
              <w:pStyle w:val="Compact"/>
              <w:jc w:val="left"/>
            </w:pPr>
            <w:r>
              <w:t xml:space="preserve">Frais, formation, accords interagences</w:t>
            </w:r>
          </w:p>
        </w:tc>
      </w:tr>
      <w:tr>
        <w:tc>
          <w:tcPr/>
          <w:p>
            <w:pPr>
              <w:pStyle w:val="Compact"/>
              <w:jc w:val="left"/>
            </w:pPr>
            <w:r>
              <w:t xml:space="preserve">Total</w:t>
            </w:r>
          </w:p>
        </w:tc>
        <w:tc>
          <w:tcPr/>
          <w:p>
            <w:pPr>
              <w:pStyle w:val="Compact"/>
              <w:jc w:val="center"/>
            </w:pPr>
            <w:r>
              <w:t xml:space="preserve">118,0 M $</w:t>
            </w:r>
          </w:p>
        </w:tc>
        <w:tc>
          <w:tcPr/>
          <w:p>
            <w:pPr>
              <w:pStyle w:val="Compact"/>
              <w:jc w:val="center"/>
            </w:pPr>
            <w:r>
              <w:t xml:space="preserve">97,4 M $–133,1 M $</w:t>
            </w:r>
          </w:p>
        </w:tc>
        <w:tc>
          <w:tcPr/>
          <w:p>
            <w:pPr>
              <w:pStyle w:val="Compact"/>
              <w:jc w:val="left"/>
            </w:pPr>
            <w:r>
              <w:t xml:space="preserve">Large fourchette ; le calendrier et les restrictions comptent autant que le total</w:t>
            </w:r>
          </w:p>
        </w:tc>
      </w:tr>
    </w:tbl>
    <w:p>
      <w:pPr>
        <w:pStyle w:val="BodyText"/>
      </w:pPr>
      <w:r>
        <w:t xml:space="preserve">Le GAO avait récemment rapporté que les bénéficiaires de la réponse fédérale aux opioïdes faisaient face à des charges liées aux exigences de reporting changeantes, aux retards de financement, aux processus d’approvisionnement des États et aux fenêtres de mise en œuvre raccourcies. Une nouvelle exigence légale demandait des informations sur les « bénéficiaires ultimes » des fonds de réponse aux opioïdes. La directrice des subventions du RDRS estimait que la conformité et la surveillance des sous-bénéficiaires consommaient l’équivalent de 29 postes à temps plein — des postes que les donateurs voulaient rarement financer.</w:t>
      </w:r>
    </w:p>
    <w:bookmarkEnd w:id="12"/>
    <w:bookmarkStart w:id="13" w:name="qui-devrait-être-servi"/>
    <w:p>
      <w:pPr>
        <w:pStyle w:val="Heading1"/>
      </w:pPr>
      <w:r>
        <w:t xml:space="preserve">Qui devrait être servi ?</w:t>
      </w:r>
    </w:p>
    <w:p>
      <w:pPr>
        <w:pStyle w:val="FirstParagraph"/>
      </w:pPr>
      <w:r>
        <w:t xml:space="preserve">Le problème de financement ne pouvait être séparé du problème d’allocation. Le RDRS ne pouvait pas promettre un accès identique à chaque groupe. Chaque engagement supplémentaire créait des obligations pour le personnel qui s’étendaient au-delà de la durée de vie de la subvention qui l’avait lancé.</w:t>
      </w:r>
    </w:p>
    <w:p>
      <w:pPr>
        <w:pStyle w:val="BodyText"/>
      </w:pPr>
      <w:r>
        <w:t xml:space="preserve">Les services de santé des comtés soutenaient que la naloxone devait rester universelle et gratuite. Ils voulaient des trousses dans les bibliothèques, les écoles, les refuges, les stations de transit, les établissements correctionnels, les centres de traitement, et entre les mains des personnes qui consommaient des drogues et de leurs familles. La naloxone pouvait inverser une surdose d’opioïdes lorsqu’elle était administrée à temps, et le CDC mettait l’accent sur la distribution par le biais d’organisations communautaires. Mais une disponibilité universelle nécessitait un approvisionnement, un entreposage, une gestion des dates d’expiration, une formation, des systèmes de données et une assistance technique locale — pas seulement l’achat de médicaments.</w:t>
      </w:r>
    </w:p>
    <w:p>
      <w:pPr>
        <w:pStyle w:val="BodyText"/>
      </w:pPr>
      <w:r>
        <w:t xml:space="preserve">Les dirigeants du traitement mettaient l’accent sur l’écart entre la prévalence de la maladie et les soins fondés sur des données probantes. Ils voulaient des équipes mobiles de MOUD, des rendez-vous le jour même, du transport, la télésanté et de meilleures transitions depuis les urgences et les prisons. Les organisations de rétablissement soutenaient que le traitement sans logement, sans documents d’identité, sans emploi, sans garde d’enfants et sans soutien soutenu par les pairs ramenait trop de personnes vers la crise. Les comtés ruraux voulaient des équipes itinérantes même lorsque le coût par personne était élevé. Les législateurs des districts suburbains voulaient la prévention chez les jeunes et le soutien aux familles touchées par l’addiction.</w:t>
      </w:r>
    </w:p>
    <w:p>
      <w:pPr>
        <w:pStyle w:val="BodyText"/>
      </w:pPr>
      <w:r>
        <w:t xml:space="preserve">Pièce 3. Propositions illustratives d’expansion des services</w:t>
      </w:r>
    </w:p>
    <w:tbl>
      <w:tblPr>
        <w:tblStyle w:val="Table"/>
        <w:tblW w:type="pct" w:w="4946"/>
        <w:tblLayout w:type="fixed"/>
        <w:tblLook w:firstRow="1" w:lastRow="0" w:firstColumn="0" w:lastColumn="0" w:noHBand="0" w:noVBand="0" w:val="0020"/>
      </w:tblPr>
      <w:tblGrid>
        <w:gridCol w:w="1883"/>
        <w:gridCol w:w="599"/>
        <w:gridCol w:w="813"/>
        <w:gridCol w:w="1584"/>
        <w:gridCol w:w="2953"/>
      </w:tblGrid>
      <w:tr>
        <w:trPr>
          <w:tblHeader w:val="on"/>
        </w:trPr>
        <w:tc>
          <w:tcPr/>
          <w:p>
            <w:pPr>
              <w:pStyle w:val="Compact"/>
              <w:jc w:val="left"/>
            </w:pPr>
            <w:r>
              <w:t xml:space="preserve">Proposition</w:t>
            </w:r>
          </w:p>
        </w:tc>
        <w:tc>
          <w:tcPr/>
          <w:p>
            <w:pPr>
              <w:pStyle w:val="Compact"/>
              <w:jc w:val="left"/>
            </w:pPr>
            <w:r>
              <w:t xml:space="preserve">Coût annuel</w:t>
            </w:r>
          </w:p>
        </w:tc>
        <w:tc>
          <w:tcPr/>
          <w:p>
            <w:pPr>
              <w:pStyle w:val="Compact"/>
              <w:jc w:val="left"/>
            </w:pPr>
            <w:r>
              <w:t xml:space="preserve">Personnel requis</w:t>
            </w:r>
          </w:p>
        </w:tc>
        <w:tc>
          <w:tcPr/>
          <w:p>
            <w:pPr>
              <w:pStyle w:val="Compact"/>
              <w:jc w:val="left"/>
            </w:pPr>
            <w:r>
              <w:t xml:space="preserve">Portée annuelle estimée</w:t>
            </w:r>
          </w:p>
        </w:tc>
        <w:tc>
          <w:tcPr/>
          <w:p>
            <w:pPr>
              <w:pStyle w:val="Compact"/>
              <w:jc w:val="left"/>
            </w:pPr>
            <w:r>
              <w:t xml:space="preserve">Adéquation avec le financement</w:t>
            </w:r>
          </w:p>
        </w:tc>
      </w:tr>
      <w:tr>
        <w:tc>
          <w:tcPr/>
          <w:p>
            <w:pPr>
              <w:pStyle w:val="Compact"/>
              <w:jc w:val="left"/>
            </w:pPr>
            <w:r>
              <w:t xml:space="preserve">Maintenir la disponibilité universelle de</w:t>
            </w:r>
            <w:r>
              <w:t xml:space="preserve"> </w:t>
            </w:r>
            <w:r>
              <w:t xml:space="preserve">naloxone</w:t>
            </w:r>
          </w:p>
        </w:tc>
        <w:tc>
          <w:tcPr/>
          <w:p>
            <w:pPr>
              <w:pStyle w:val="Compact"/>
              <w:jc w:val="left"/>
            </w:pPr>
            <w:r>
              <w:t xml:space="preserve">7,2 M $</w:t>
            </w:r>
          </w:p>
        </w:tc>
        <w:tc>
          <w:tcPr/>
          <w:p>
            <w:pPr>
              <w:pStyle w:val="Compact"/>
              <w:jc w:val="left"/>
            </w:pPr>
            <w:r>
              <w:t xml:space="preserve">31</w:t>
            </w:r>
          </w:p>
        </w:tc>
        <w:tc>
          <w:tcPr/>
          <w:p>
            <w:pPr>
              <w:pStyle w:val="Compact"/>
              <w:jc w:val="left"/>
            </w:pPr>
            <w:r>
              <w:t xml:space="preserve">160 000 trousses supplémentaires</w:t>
            </w:r>
          </w:p>
        </w:tc>
        <w:tc>
          <w:tcPr/>
          <w:p>
            <w:pPr>
              <w:pStyle w:val="Compact"/>
              <w:jc w:val="left"/>
            </w:pPr>
            <w:r>
              <w:t xml:space="preserve">Bonne adéquation SOR/règlement ; faible adéquation Medicaid</w:t>
            </w:r>
          </w:p>
        </w:tc>
      </w:tr>
      <w:tr>
        <w:tc>
          <w:tcPr/>
          <w:p>
            <w:pPr>
              <w:pStyle w:val="Compact"/>
              <w:jc w:val="left"/>
            </w:pPr>
            <w:r>
              <w:t xml:space="preserve">Étendre l’accès au MOUD le jour même</w:t>
            </w:r>
          </w:p>
        </w:tc>
        <w:tc>
          <w:tcPr/>
          <w:p>
            <w:pPr>
              <w:pStyle w:val="Compact"/>
              <w:jc w:val="left"/>
            </w:pPr>
            <w:r>
              <w:t xml:space="preserve">10,8 M $</w:t>
            </w:r>
          </w:p>
        </w:tc>
        <w:tc>
          <w:tcPr/>
          <w:p>
            <w:pPr>
              <w:pStyle w:val="Compact"/>
              <w:jc w:val="left"/>
            </w:pPr>
            <w:r>
              <w:t xml:space="preserve">49</w:t>
            </w:r>
          </w:p>
        </w:tc>
        <w:tc>
          <w:tcPr/>
          <w:p>
            <w:pPr>
              <w:pStyle w:val="Compact"/>
              <w:jc w:val="left"/>
            </w:pPr>
            <w:r>
              <w:t xml:space="preserve">3 200 débuts de traitement</w:t>
            </w:r>
            <w:r>
              <w:t xml:space="preserve"> </w:t>
            </w:r>
            <w:r>
              <w:t xml:space="preserve">supplémentaires</w:t>
            </w:r>
          </w:p>
        </w:tc>
        <w:tc>
          <w:tcPr/>
          <w:p>
            <w:pPr>
              <w:pStyle w:val="Compact"/>
              <w:jc w:val="left"/>
            </w:pPr>
            <w:r>
              <w:t xml:space="preserve">SOR et Medicaid ; risque de facturation clinique</w:t>
            </w:r>
          </w:p>
        </w:tc>
      </w:tr>
      <w:tr>
        <w:tc>
          <w:tcPr/>
          <w:p>
            <w:pPr>
              <w:pStyle w:val="Compact"/>
              <w:jc w:val="left"/>
            </w:pPr>
            <w:r>
              <w:t xml:space="preserve">Équipes mobiles de rétablissement rurales</w:t>
            </w:r>
          </w:p>
        </w:tc>
        <w:tc>
          <w:tcPr/>
          <w:p>
            <w:pPr>
              <w:pStyle w:val="Compact"/>
              <w:jc w:val="left"/>
            </w:pPr>
            <w:r>
              <w:t xml:space="preserve">8,6 M $</w:t>
            </w:r>
          </w:p>
        </w:tc>
        <w:tc>
          <w:tcPr/>
          <w:p>
            <w:pPr>
              <w:pStyle w:val="Compact"/>
              <w:jc w:val="left"/>
            </w:pPr>
            <w:r>
              <w:t xml:space="preserve">42</w:t>
            </w:r>
          </w:p>
        </w:tc>
        <w:tc>
          <w:tcPr/>
          <w:p>
            <w:pPr>
              <w:pStyle w:val="Compact"/>
              <w:jc w:val="left"/>
            </w:pPr>
            <w:r>
              <w:t xml:space="preserve">2 100 clients dans 19 comtés</w:t>
            </w:r>
          </w:p>
        </w:tc>
        <w:tc>
          <w:tcPr/>
          <w:p>
            <w:pPr>
              <w:pStyle w:val="Compact"/>
              <w:jc w:val="left"/>
            </w:pPr>
            <w:r>
              <w:t xml:space="preserve">Soutien fédéral/étatique possible ; coût unitaire élevé</w:t>
            </w:r>
          </w:p>
        </w:tc>
      </w:tr>
      <w:tr>
        <w:tc>
          <w:tcPr/>
          <w:p>
            <w:pPr>
              <w:pStyle w:val="Compact"/>
              <w:jc w:val="left"/>
            </w:pPr>
            <w:r>
              <w:t xml:space="preserve">Stabilisation du logement et de l’emploi</w:t>
            </w:r>
          </w:p>
        </w:tc>
        <w:tc>
          <w:tcPr/>
          <w:p>
            <w:pPr>
              <w:pStyle w:val="Compact"/>
              <w:jc w:val="left"/>
            </w:pPr>
            <w:r>
              <w:t xml:space="preserve">9,4 M $</w:t>
            </w:r>
          </w:p>
        </w:tc>
        <w:tc>
          <w:tcPr/>
          <w:p>
            <w:pPr>
              <w:pStyle w:val="Compact"/>
              <w:jc w:val="left"/>
            </w:pPr>
            <w:r>
              <w:t xml:space="preserve">37</w:t>
            </w:r>
          </w:p>
        </w:tc>
        <w:tc>
          <w:tcPr/>
          <w:p>
            <w:pPr>
              <w:pStyle w:val="Compact"/>
              <w:jc w:val="left"/>
            </w:pPr>
            <w:r>
              <w:t xml:space="preserve">1 850 clients</w:t>
            </w:r>
          </w:p>
        </w:tc>
        <w:tc>
          <w:tcPr/>
          <w:p>
            <w:pPr>
              <w:pStyle w:val="Compact"/>
              <w:jc w:val="left"/>
            </w:pPr>
            <w:r>
              <w:t xml:space="preserve">Subventions de rétablissement/donateurs ; problèmes</w:t>
            </w:r>
            <w:r>
              <w:t xml:space="preserve"> </w:t>
            </w:r>
            <w:r>
              <w:t xml:space="preserve">d’admissibilité et d’attribution des résultats</w:t>
            </w:r>
          </w:p>
        </w:tc>
      </w:tr>
      <w:tr>
        <w:tc>
          <w:tcPr/>
          <w:p>
            <w:pPr>
              <w:pStyle w:val="Compact"/>
              <w:jc w:val="left"/>
            </w:pPr>
            <w:r>
              <w:t xml:space="preserve">Transitions justice-traitement</w:t>
            </w:r>
          </w:p>
        </w:tc>
        <w:tc>
          <w:tcPr/>
          <w:p>
            <w:pPr>
              <w:pStyle w:val="Compact"/>
              <w:jc w:val="left"/>
            </w:pPr>
            <w:r>
              <w:t xml:space="preserve">6,1 M $</w:t>
            </w:r>
          </w:p>
        </w:tc>
        <w:tc>
          <w:tcPr/>
          <w:p>
            <w:pPr>
              <w:pStyle w:val="Compact"/>
              <w:jc w:val="left"/>
            </w:pPr>
            <w:r>
              <w:t xml:space="preserve">28</w:t>
            </w:r>
          </w:p>
        </w:tc>
        <w:tc>
          <w:tcPr/>
          <w:p>
            <w:pPr>
              <w:pStyle w:val="Compact"/>
              <w:jc w:val="left"/>
            </w:pPr>
            <w:r>
              <w:t xml:space="preserve">2 600 libérations de prison</w:t>
            </w:r>
          </w:p>
        </w:tc>
        <w:tc>
          <w:tcPr/>
          <w:p>
            <w:pPr>
              <w:pStyle w:val="Compact"/>
              <w:jc w:val="left"/>
            </w:pPr>
            <w:r>
              <w:t xml:space="preserve">Subventions ciblées ; dépendance interagences</w:t>
            </w:r>
          </w:p>
        </w:tc>
      </w:tr>
      <w:tr>
        <w:tc>
          <w:tcPr/>
          <w:p>
            <w:pPr>
              <w:pStyle w:val="Compact"/>
              <w:jc w:val="left"/>
            </w:pPr>
            <w:r>
              <w:t xml:space="preserve">Initiative de prévention pour les jeunes</w:t>
            </w:r>
            <w:r>
              <w:t xml:space="preserve"> </w:t>
            </w:r>
            <w:r>
              <w:t xml:space="preserve">et les familles</w:t>
            </w:r>
          </w:p>
        </w:tc>
        <w:tc>
          <w:tcPr/>
          <w:p>
            <w:pPr>
              <w:pStyle w:val="Compact"/>
              <w:jc w:val="left"/>
            </w:pPr>
            <w:r>
              <w:t xml:space="preserve">5,3 M $</w:t>
            </w:r>
          </w:p>
        </w:tc>
        <w:tc>
          <w:tcPr/>
          <w:p>
            <w:pPr>
              <w:pStyle w:val="Compact"/>
              <w:jc w:val="left"/>
            </w:pPr>
            <w:r>
              <w:t xml:space="preserve">24</w:t>
            </w:r>
          </w:p>
        </w:tc>
        <w:tc>
          <w:tcPr/>
          <w:p>
            <w:pPr>
              <w:pStyle w:val="Compact"/>
              <w:jc w:val="left"/>
            </w:pPr>
            <w:r>
              <w:t xml:space="preserve">35 000 étudiants/membres de familles</w:t>
            </w:r>
          </w:p>
        </w:tc>
        <w:tc>
          <w:tcPr/>
          <w:p>
            <w:pPr>
              <w:pStyle w:val="Compact"/>
              <w:jc w:val="left"/>
            </w:pPr>
            <w:r>
              <w:t xml:space="preserve">Subventions de prévention et donateurs ; les avantages</w:t>
            </w:r>
            <w:r>
              <w:t xml:space="preserve"> </w:t>
            </w:r>
            <w:r>
              <w:t xml:space="preserve">émergent lentement</w:t>
            </w:r>
          </w:p>
        </w:tc>
      </w:tr>
    </w:tbl>
    <w:p>
      <w:pPr>
        <w:pStyle w:val="BodyText"/>
      </w:pPr>
      <w:r>
        <w:t xml:space="preserve">Les propositions ne s’excluaient pas mutuellement, mais l’agence ne pouvait pas les doter toutes en personnel selon sa prévision centrale. De plus, un dollar ne pouvait pas toujours être transféré d’un programme à un autre. Une subvention restreinte pouvait laisser de l’argent inutilisé alors que l’agence licenciait simultanément du personnel effectuant un travail essentiel mais non admissible.</w:t>
      </w:r>
    </w:p>
    <w:bookmarkEnd w:id="13"/>
    <w:bookmarkStart w:id="14" w:name="laiguille-du-financement"/>
    <w:p>
      <w:pPr>
        <w:pStyle w:val="Heading1"/>
      </w:pPr>
      <w:r>
        <w:t xml:space="preserve">L’aiguille du financement</w:t>
      </w:r>
    </w:p>
    <w:p>
      <w:pPr>
        <w:pStyle w:val="FirstParagraph"/>
      </w:pPr>
      <w:r>
        <w:t xml:space="preserve">Marquez a demandé à son équipe de développer des options. Aucune n’était simplement une campagne de collecte de fonds.</w:t>
      </w:r>
    </w:p>
    <w:p>
      <w:pPr>
        <w:pStyle w:val="BodyText"/>
      </w:pPr>
      <w:r>
        <w:rPr>
          <w:b/>
          <w:bCs/>
        </w:rPr>
        <w:t xml:space="preserve">1. Protéger l’effectif de base.</w:t>
      </w:r>
      <w:r>
        <w:t xml:space="preserve"> </w:t>
      </w:r>
      <w:r>
        <w:t xml:space="preserve">Utiliser les fonds généraux de l’État et les fonds de règlement en priorité pour le personnel permanent, tout en affectant les fonds fédéraux et philanthropiques aux dépenses de programme variables. Cela pourrait améliorer la continuité mais pourrait être critiqué comme utilisant de l’argent flexible pour l’administration plutôt que pour des services visibles.</w:t>
      </w:r>
    </w:p>
    <w:p>
      <w:pPr>
        <w:pStyle w:val="BodyText"/>
      </w:pPr>
      <w:r>
        <w:rPr>
          <w:b/>
          <w:bCs/>
        </w:rPr>
        <w:t xml:space="preserve">2. S’organiser autour d’initiatives financées par des subventions.</w:t>
      </w:r>
      <w:r>
        <w:t xml:space="preserve"> </w:t>
      </w:r>
      <w:r>
        <w:t xml:space="preserve">Restructurer les équipes de sorte que les postes et les activités correspondent directement aux avis fédéraux d’opportunité de financement. Cela pourrait maximiser la compétitivité des subventions mais pourrait fragmenter le continuum de soins et faire changer les priorités chaque fois que le langage fédéral change.</w:t>
      </w:r>
    </w:p>
    <w:p>
      <w:pPr>
        <w:pStyle w:val="BodyText"/>
      </w:pPr>
      <w:r>
        <w:rPr>
          <w:b/>
          <w:bCs/>
        </w:rPr>
        <w:t xml:space="preserve">3. Construire un modèle de financement tressé.</w:t>
      </w:r>
      <w:r>
        <w:t xml:space="preserve"> </w:t>
      </w:r>
      <w:r>
        <w:t xml:space="preserve">Soutenir chaque service avec plusieurs flux de financement — par exemple, des fonds fédéraux pour la sensibilisation, Medicaid pour les rencontres cliniques, des fonds de règlement pour la navigation, et des donateurs pour l’assistance d’urgence. Le tressage pourrait préserver les services mais nécessiterait une allocation du temps sophistiquée, une comptabilité des coûts, un dépistage de l’admissibilité et des contrôles d’audit.</w:t>
      </w:r>
    </w:p>
    <w:p>
      <w:pPr>
        <w:pStyle w:val="BodyText"/>
      </w:pPr>
      <w:r>
        <w:rPr>
          <w:b/>
          <w:bCs/>
        </w:rPr>
        <w:t xml:space="preserve">4. Transférer davantage de prestation aux partenaires locaux.</w:t>
      </w:r>
      <w:r>
        <w:t xml:space="preserve"> </w:t>
      </w:r>
      <w:r>
        <w:t xml:space="preserve">Réduire l’effectif central et distribuer les fonds aux comtés, hôpitaux, organisations à but non lucratif et organisations de rétablissement. Les groupes locaux pourraient être plus proches des clients, mais le RDRS perdrait le contrôle opérationnel tout en conservant les responsabilités de surveillance. Les petites organisations pourraient ne pas avoir la trésorerie ou la capacité administrative pour gérer le remboursement et la conformité fédérale.</w:t>
      </w:r>
    </w:p>
    <w:p>
      <w:pPr>
        <w:pStyle w:val="BodyText"/>
      </w:pPr>
      <w:r>
        <w:rPr>
          <w:b/>
          <w:bCs/>
        </w:rPr>
        <w:t xml:space="preserve">5. Créer un fonds de rétablissement à l’échelle de l’État.</w:t>
      </w:r>
      <w:r>
        <w:t xml:space="preserve"> </w:t>
      </w:r>
      <w:r>
        <w:t xml:space="preserve">Rechercher des engagements pluriannuels auprès des systèmes de santé, des employeurs, des assureurs, des fondations et des donateurs individuels. Un fonds commun pourrait payer les lacunes que les subventions gouvernementales excluaient, mais les participants privés pourraient exiger des droits de gouvernance, des préférences géographiques, ou des preuves d’impact rapide.</w:t>
      </w:r>
    </w:p>
    <w:p>
      <w:pPr>
        <w:pStyle w:val="BodyText"/>
      </w:pPr>
      <w:r>
        <w:rPr>
          <w:b/>
          <w:bCs/>
        </w:rPr>
        <w:t xml:space="preserve">6. Restreindre la mission.</w:t>
      </w:r>
      <w:r>
        <w:t xml:space="preserve"> </w:t>
      </w:r>
      <w:r>
        <w:t xml:space="preserve">Se concentrer sur la naloxone, l’accès au traitement et l’administration des subventions tout en réduisant les fonctions de logement, d’emploi et de rétablissement à long terme. L’agence pourrait servir plus de personnes au stade aigu, mais pourrait affaiblir les soutiens destinés à prévenir les crises répétées.</w:t>
      </w:r>
    </w:p>
    <w:bookmarkEnd w:id="14"/>
    <w:bookmarkStart w:id="15" w:name="le-problème-de-la-mesure"/>
    <w:p>
      <w:pPr>
        <w:pStyle w:val="Heading1"/>
      </w:pPr>
      <w:r>
        <w:t xml:space="preserve">Le problème de la mesure</w:t>
      </w:r>
    </w:p>
    <w:p>
      <w:pPr>
        <w:pStyle w:val="FirstParagraph"/>
      </w:pPr>
      <w:r>
        <w:t xml:space="preserve">Les résultats de l’agence étaient difficiles à attribuer. Une trousse de naloxone distribuée était facile à compter ; un décès évité ne l’était pas. Le début du traitement pouvait être mesuré, mais la rétention dépendait des prestataires, du transport, du logement, de l’assurance et de l’offre de drogues. Les résultats en matière d’emploi pouvaient survenir des mois après la fin d’une subvention. La baisse des décès pouvait réduire l’urgence politique même si la capacité du programme était responsable d’une partie de la baisse.</w:t>
      </w:r>
    </w:p>
    <w:p>
      <w:pPr>
        <w:pStyle w:val="BodyText"/>
      </w:pPr>
      <w:r>
        <w:t xml:space="preserve">Les donateurs demandaient des histoires et des mesures à court terme. Les agences fédérales exigeaient des résultats standardisés et des données sur les sous-bénéficiaires. Les responsables du budget de l’État voulaient des résultats au niveau de la population et des preuves que les programmes n’étaient pas redondants. Le personnel de Marquez craignait que l’agence n’optimise ce qui était finançable et comptable plutôt que ce dont les clients avaient besoin.</w:t>
      </w:r>
    </w:p>
    <w:p>
      <w:pPr>
        <w:pStyle w:val="BodyText"/>
      </w:pPr>
      <w:r>
        <w:t xml:space="preserve">Pièce 4. Critères de décision proposés pour l’exercice 2027</w:t>
      </w:r>
    </w:p>
    <w:tbl>
      <w:tblPr>
        <w:tblStyle w:val="Table"/>
        <w:tblW w:type="pct" w:w="4935"/>
        <w:tblLayout w:type="fixed"/>
        <w:tblLook w:firstRow="1" w:lastRow="0" w:firstColumn="0" w:lastColumn="0" w:noHBand="0" w:noVBand="0" w:val="0020"/>
      </w:tblPr>
      <w:tblGrid>
        <w:gridCol w:w="1182"/>
        <w:gridCol w:w="3445"/>
        <w:gridCol w:w="3188"/>
      </w:tblGrid>
      <w:tr>
        <w:trPr>
          <w:tblHeader w:val="on"/>
        </w:trPr>
        <w:tc>
          <w:tcPr/>
          <w:p>
            <w:pPr>
              <w:pStyle w:val="Compact"/>
              <w:jc w:val="left"/>
            </w:pPr>
            <w:r>
              <w:t xml:space="preserve">Critère</w:t>
            </w:r>
          </w:p>
        </w:tc>
        <w:tc>
          <w:tcPr/>
          <w:p>
            <w:pPr>
              <w:pStyle w:val="Compact"/>
              <w:jc w:val="center"/>
            </w:pPr>
            <w:r>
              <w:t xml:space="preserve">Mesure illustrative</w:t>
            </w:r>
          </w:p>
        </w:tc>
        <w:tc>
          <w:tcPr/>
          <w:p>
            <w:pPr>
              <w:pStyle w:val="Compact"/>
              <w:jc w:val="center"/>
            </w:pPr>
            <w:r>
              <w:t xml:space="preserve">Question non résolue</w:t>
            </w:r>
          </w:p>
        </w:tc>
      </w:tr>
      <w:tr>
        <w:tc>
          <w:tcPr/>
          <w:p>
            <w:pPr>
              <w:pStyle w:val="Compact"/>
              <w:jc w:val="left"/>
            </w:pPr>
            <w:r>
              <w:t xml:space="preserve">Vies et santé</w:t>
            </w:r>
          </w:p>
        </w:tc>
        <w:tc>
          <w:tcPr/>
          <w:p>
            <w:pPr>
              <w:pStyle w:val="Compact"/>
              <w:jc w:val="center"/>
            </w:pPr>
            <w:r>
              <w:t xml:space="preserve">Décès par surdose, surdoses non mortelles, rétention en</w:t>
            </w:r>
            <w:r>
              <w:t xml:space="preserve"> </w:t>
            </w:r>
            <w:r>
              <w:t xml:space="preserve">traitement</w:t>
            </w:r>
          </w:p>
        </w:tc>
        <w:tc>
          <w:tcPr/>
          <w:p>
            <w:pPr>
              <w:pStyle w:val="Compact"/>
              <w:jc w:val="center"/>
            </w:pPr>
            <w:r>
              <w:t xml:space="preserve">Quelle part du changement peut être attribuée au RDRS ?</w:t>
            </w:r>
          </w:p>
        </w:tc>
      </w:tr>
      <w:tr>
        <w:tc>
          <w:tcPr/>
          <w:p>
            <w:pPr>
              <w:pStyle w:val="Compact"/>
              <w:jc w:val="left"/>
            </w:pPr>
            <w:r>
              <w:t xml:space="preserve">Accès et équité</w:t>
            </w:r>
          </w:p>
        </w:tc>
        <w:tc>
          <w:tcPr/>
          <w:p>
            <w:pPr>
              <w:pStyle w:val="Compact"/>
              <w:jc w:val="center"/>
            </w:pPr>
            <w:r>
              <w:t xml:space="preserve">Temps de trajet, temps d’attente, taux de service par région et</w:t>
            </w:r>
            <w:r>
              <w:t xml:space="preserve"> </w:t>
            </w:r>
            <w:r>
              <w:t xml:space="preserve">groupe</w:t>
            </w:r>
          </w:p>
        </w:tc>
        <w:tc>
          <w:tcPr/>
          <w:p>
            <w:pPr>
              <w:pStyle w:val="Compact"/>
              <w:jc w:val="center"/>
            </w:pPr>
            <w:r>
              <w:t xml:space="preserve">La portée rurale à coût élevé devrait-elle l’emporter sur</w:t>
            </w:r>
            <w:r>
              <w:t xml:space="preserve"> </w:t>
            </w:r>
            <w:r>
              <w:t xml:space="preserve">le volume total ?</w:t>
            </w:r>
          </w:p>
        </w:tc>
      </w:tr>
      <w:tr>
        <w:tc>
          <w:tcPr/>
          <w:p>
            <w:pPr>
              <w:pStyle w:val="Compact"/>
              <w:jc w:val="left"/>
            </w:pPr>
            <w:r>
              <w:t xml:space="preserve">Stabilité du</w:t>
            </w:r>
            <w:r>
              <w:t xml:space="preserve"> </w:t>
            </w:r>
            <w:r>
              <w:t xml:space="preserve">rétablissement</w:t>
            </w:r>
          </w:p>
        </w:tc>
        <w:tc>
          <w:tcPr/>
          <w:p>
            <w:pPr>
              <w:pStyle w:val="Compact"/>
              <w:jc w:val="center"/>
            </w:pPr>
            <w:r>
              <w:t xml:space="preserve">Logement, emploi, implication judiciaire, reconnexion aux soins</w:t>
            </w:r>
          </w:p>
        </w:tc>
        <w:tc>
          <w:tcPr/>
          <w:p>
            <w:pPr>
              <w:pStyle w:val="Compact"/>
              <w:jc w:val="center"/>
            </w:pPr>
            <w:r>
              <w:t xml:space="preserve">Quels résultats relèvent de la mission d’une agence de</w:t>
            </w:r>
            <w:r>
              <w:t xml:space="preserve"> </w:t>
            </w:r>
            <w:r>
              <w:t xml:space="preserve">santé ?</w:t>
            </w:r>
          </w:p>
        </w:tc>
      </w:tr>
      <w:tr>
        <w:tc>
          <w:tcPr/>
          <w:p>
            <w:pPr>
              <w:pStyle w:val="Compact"/>
              <w:jc w:val="left"/>
            </w:pPr>
            <w:r>
              <w:t xml:space="preserve">Résilience financière</w:t>
            </w:r>
          </w:p>
        </w:tc>
        <w:tc>
          <w:tcPr/>
          <w:p>
            <w:pPr>
              <w:pStyle w:val="Compact"/>
              <w:jc w:val="center"/>
            </w:pPr>
            <w:r>
              <w:t xml:space="preserve">Mois de masse salariale non restreinte ; concentration par</w:t>
            </w:r>
            <w:r>
              <w:t xml:space="preserve"> </w:t>
            </w:r>
            <w:r>
              <w:t xml:space="preserve">bailleur de fonds</w:t>
            </w:r>
          </w:p>
        </w:tc>
        <w:tc>
          <w:tcPr/>
          <w:p>
            <w:pPr>
              <w:pStyle w:val="Compact"/>
              <w:jc w:val="center"/>
            </w:pPr>
            <w:r>
              <w:t xml:space="preserve">Combien de service devrait être sacrifié pour constituer</w:t>
            </w:r>
            <w:r>
              <w:t xml:space="preserve"> </w:t>
            </w:r>
            <w:r>
              <w:t xml:space="preserve">des réserves ?</w:t>
            </w:r>
          </w:p>
        </w:tc>
      </w:tr>
      <w:tr>
        <w:tc>
          <w:tcPr/>
          <w:p>
            <w:pPr>
              <w:pStyle w:val="Compact"/>
              <w:jc w:val="left"/>
            </w:pPr>
            <w:r>
              <w:t xml:space="preserve">Continuité de</w:t>
            </w:r>
            <w:r>
              <w:t xml:space="preserve"> </w:t>
            </w:r>
            <w:r>
              <w:t xml:space="preserve">l’effectif</w:t>
            </w:r>
          </w:p>
        </w:tc>
        <w:tc>
          <w:tcPr/>
          <w:p>
            <w:pPr>
              <w:pStyle w:val="Compact"/>
              <w:jc w:val="center"/>
            </w:pPr>
            <w:r>
              <w:t xml:space="preserve">Postes vacants, roulement, postes financés par subvention à</w:t>
            </w:r>
            <w:r>
              <w:t xml:space="preserve"> </w:t>
            </w:r>
            <w:r>
              <w:t xml:space="preserve">risque</w:t>
            </w:r>
          </w:p>
        </w:tc>
        <w:tc>
          <w:tcPr/>
          <w:p>
            <w:pPr>
              <w:pStyle w:val="Compact"/>
              <w:jc w:val="center"/>
            </w:pPr>
            <w:r>
              <w:t xml:space="preserve">Les postes permanents devraient-ils être soutenus par des</w:t>
            </w:r>
            <w:r>
              <w:t xml:space="preserve"> </w:t>
            </w:r>
            <w:r>
              <w:t xml:space="preserve">fonds temporaires ?</w:t>
            </w:r>
          </w:p>
        </w:tc>
      </w:tr>
      <w:tr>
        <w:tc>
          <w:tcPr/>
          <w:p>
            <w:pPr>
              <w:pStyle w:val="Compact"/>
              <w:jc w:val="left"/>
            </w:pPr>
            <w:r>
              <w:t xml:space="preserve">Conformité</w:t>
            </w:r>
          </w:p>
        </w:tc>
        <w:tc>
          <w:tcPr/>
          <w:p>
            <w:pPr>
              <w:pStyle w:val="Compact"/>
              <w:jc w:val="center"/>
            </w:pPr>
            <w:r>
              <w:t xml:space="preserve">Rapports en temps opportun, constatations d’audit,</w:t>
            </w:r>
            <w:r>
              <w:t xml:space="preserve"> </w:t>
            </w:r>
            <w:r>
              <w:t xml:space="preserve">exceptions de coûts admissibles</w:t>
            </w:r>
          </w:p>
        </w:tc>
        <w:tc>
          <w:tcPr/>
          <w:p>
            <w:pPr>
              <w:pStyle w:val="Compact"/>
              <w:jc w:val="center"/>
            </w:pPr>
            <w:r>
              <w:t xml:space="preserve">Quelle capacité administrative est suffisante ?</w:t>
            </w:r>
          </w:p>
        </w:tc>
      </w:tr>
    </w:tbl>
    <w:bookmarkEnd w:id="15"/>
    <w:bookmarkStart w:id="16" w:name="la-retraite"/>
    <w:p>
      <w:pPr>
        <w:pStyle w:val="Heading1"/>
      </w:pPr>
      <w:r>
        <w:t xml:space="preserve">La retraite</w:t>
      </w:r>
    </w:p>
    <w:p>
      <w:pPr>
        <w:pStyle w:val="FirstParagraph"/>
      </w:pPr>
      <w:r>
        <w:t xml:space="preserve">Lors de la retraite, la directrice médicale a soutenu la protection des opérations de traitement et de naloxone. « Un nombre de décès plus bas est le résultat que nous voulions », a-t-elle dit. « Ce n’est pas la preuve que l’infrastructure n’est plus nécessaire. » Le directeur financier a rétorqué que l’agence ne pouvait pas traiter chaque subvention de continuation comme un revenu permanent. Il voulait une réserve équivalant à trois mois de masse salariale et une politique interdisant les nouvelles embauches permanentes sans source de financement durable.</w:t>
      </w:r>
    </w:p>
    <w:p>
      <w:pPr>
        <w:pStyle w:val="BodyText"/>
      </w:pPr>
      <w:r>
        <w:t xml:space="preserve">La directrice du rétablissement a soutenu que la réserve proposée serait constituée en retenant les services aux personnes actuellement en crise. La directrice des subventions a averti que plusieurs demandes fédérales obtiendraient un mauvais score à moins que le RDRS ne s’engage dans les initiatives spécifiées dans les avis. Un commissaire de comté a déclaré que l’État devrait cesser de concevoir des programmes depuis la capitale et donner aux comtés des allocations flexibles. Un représentant de fondation a proposé de convoquer des donateurs, mais a averti que la philanthropie ne pouvait pas remplacer le gouvernement à grande échelle.</w:t>
      </w:r>
    </w:p>
    <w:p>
      <w:pPr>
        <w:pStyle w:val="BodyText"/>
      </w:pPr>
      <w:r>
        <w:t xml:space="preserve">Marquez a écrit quatre questions au tableau :</w:t>
      </w:r>
    </w:p>
    <w:p>
      <w:pPr>
        <w:pStyle w:val="BlockText"/>
      </w:pPr>
      <w:r>
        <w:t xml:space="preserve">• Quels services constituent la plateforme non négociable à l’échelle de l’État ?</w:t>
      </w:r>
    </w:p>
    <w:p>
      <w:pPr>
        <w:pStyle w:val="BlockText"/>
      </w:pPr>
      <w:r>
        <w:t xml:space="preserve">• Quels groupes devraient recevoir la priorité lorsque les fonds restreints ne peuvent pas être redirigés ?</w:t>
      </w:r>
    </w:p>
    <w:p>
      <w:pPr>
        <w:pStyle w:val="BlockText"/>
      </w:pPr>
      <w:r>
        <w:t xml:space="preserve">• Quelle capacité organisationnelle devrait être consacrée à la recherche et à la conformité des subventions ?</w:t>
      </w:r>
    </w:p>
    <w:p>
      <w:pPr>
        <w:pStyle w:val="BlockText"/>
      </w:pPr>
      <w:r>
        <w:t xml:space="preserve">• Quelle structure de financement permettrait au RDRS de conserver son personnel à travers les changements de priorités politiques et d’exigences de programme ?</w:t>
      </w:r>
    </w:p>
    <w:p>
      <w:pPr>
        <w:pStyle w:val="FirstParagraph"/>
      </w:pPr>
      <w:r>
        <w:t xml:space="preserve">Le bureau du budget du gouverneur attendait la recommandation du RDRS dans trois semaines. Les avis de continuation fédéraux pourraient arriver avant cette date — ou plusieurs mois plus tard. Les conventions de travail exigeaient un préavis de 90 jours pour certains licenciements. Les commandes de naloxone devaient être passées six mois à l’avance pour garantir des prix favorables. Deux propositions majeures de fondations étaient dues en novembre, mais toutes deux exigeaient du RDRS qu’il identifie une initiative étroitement définie et un résultat mesurable sur trois ans.</w:t>
      </w:r>
    </w:p>
    <w:p>
      <w:pPr>
        <w:pStyle w:val="BodyText"/>
      </w:pPr>
      <w:r>
        <w:t xml:space="preserve">Marquez pouvait présenter une stratégie unique, un plan contingent lié aux résultats de financement, ou un portefeuille d’options de service et de financement. Quoi qu’elle propose, cela révélerait une réponse implicite à une question plus large : le RDRS était-il une organisation de réponse d’urgence, une autorité de traitement, une agence de rétablissement à long terme, ou une plateforme de financement et de coordination pour les trois à la fois ?</w:t>
      </w:r>
    </w:p>
    <w:bookmarkEnd w:id="16"/>
    <w:bookmarkStart w:id="17" w:name="questions-de-discussion"/>
    <w:p>
      <w:pPr>
        <w:pStyle w:val="Heading1"/>
      </w:pPr>
      <w:r>
        <w:t xml:space="preserve">Questions de discussion</w:t>
      </w:r>
    </w:p>
    <w:p>
      <w:pPr>
        <w:numPr>
          <w:ilvl w:val="0"/>
          <w:numId w:val="1001"/>
        </w:numPr>
      </w:pPr>
      <w:r>
        <w:t xml:space="preserve">Quelle est la décision à laquelle fait face la commissaire Marquez ? Quelles décisions sont stratégiques, et lesquelles sont opérationnelles ?</w:t>
      </w:r>
    </w:p>
    <w:p>
      <w:pPr>
        <w:numPr>
          <w:ilvl w:val="0"/>
          <w:numId w:val="1001"/>
        </w:numPr>
      </w:pPr>
      <w:r>
        <w:t xml:space="preserve">Comment le RDRS devrait-il distinguer sa plateforme opérationnelle de base des initiatives financées par des subventions ?</w:t>
      </w:r>
    </w:p>
    <w:p>
      <w:pPr>
        <w:numPr>
          <w:ilvl w:val="0"/>
          <w:numId w:val="1001"/>
        </w:numPr>
      </w:pPr>
      <w:r>
        <w:t xml:space="preserve">Quelles populations ou quels services devraient recevoir la priorité si le scénario central de financement de l’exercice 2027 se produit ?</w:t>
      </w:r>
    </w:p>
    <w:p>
      <w:pPr>
        <w:numPr>
          <w:ilvl w:val="0"/>
          <w:numId w:val="1001"/>
        </w:numPr>
      </w:pPr>
      <w:r>
        <w:t xml:space="preserve">Comment l’agence devrait-elle évaluer la distribution universelle de naloxone par rapport au traitement et au soutien au rétablissement à long terme ?</w:t>
      </w:r>
    </w:p>
    <w:p>
      <w:pPr>
        <w:numPr>
          <w:ilvl w:val="0"/>
          <w:numId w:val="1001"/>
        </w:numPr>
      </w:pPr>
      <w:r>
        <w:t xml:space="preserve">Quels sont les avantages et les risques du financement tressé ? Quelles capacités administratives cela nécessiterait-il ?</w:t>
      </w:r>
    </w:p>
    <w:p>
      <w:pPr>
        <w:numPr>
          <w:ilvl w:val="0"/>
          <w:numId w:val="1001"/>
        </w:numPr>
      </w:pPr>
      <w:r>
        <w:t xml:space="preserve">La baisse des décès par surdose devrait-elle renforcer ou affaiblir les arguments en faveur d’un financement continu ?</w:t>
      </w:r>
    </w:p>
    <w:p>
      <w:pPr>
        <w:numPr>
          <w:ilvl w:val="0"/>
          <w:numId w:val="1001"/>
        </w:numPr>
      </w:pPr>
      <w:r>
        <w:t xml:space="preserve">Quelles mesures le RDRS devrait-il utiliser lorsque les résultats sont retardés, difficiles à attribuer, ou pas entièrement observables ?</w:t>
      </w:r>
    </w:p>
    <w:p>
      <w:pPr>
        <w:numPr>
          <w:ilvl w:val="0"/>
          <w:numId w:val="1001"/>
        </w:numPr>
      </w:pPr>
      <w:r>
        <w:t xml:space="preserve">Quelle réserve financière une agence publique devrait-elle détenir lorsque cela peut réduire les services actuels ?</w:t>
      </w:r>
    </w:p>
    <w:p>
      <w:pPr>
        <w:numPr>
          <w:ilvl w:val="0"/>
          <w:numId w:val="1001"/>
        </w:numPr>
      </w:pPr>
      <w:r>
        <w:t xml:space="preserve">Quel rôle les comtés, les systèmes de santé, les employeurs, les assureurs et les donateurs privés devraient-ils jouer ?</w:t>
      </w:r>
    </w:p>
    <w:p>
      <w:pPr>
        <w:numPr>
          <w:ilvl w:val="0"/>
          <w:numId w:val="1001"/>
        </w:numPr>
      </w:pPr>
      <w:r>
        <w:t xml:space="preserve">Concevez un processus pour étudier les alternatives avant l’échéance de trois semaines du gouverneur. Quelle information a la plus haute valeur ?</w:t>
      </w:r>
    </w:p>
    <w:bookmarkEnd w:id="17"/>
    <w:bookmarkStart w:id="23"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définir la portée du problème.</w:t>
      </w:r>
    </w:p>
    <w:p>
      <w:pPr>
        <w:numPr>
          <w:ilvl w:val="0"/>
          <w:numId w:val="1002"/>
        </w:numPr>
      </w:pPr>
      <w:r>
        <w:t xml:space="preserve">Utilisez l’</w:t>
      </w:r>
      <w:hyperlink r:id="rId18">
        <w:r>
          <w:rPr>
            <w:rStyle w:val="Hyperlink"/>
          </w:rPr>
          <w:t xml:space="preserve">outil de pyramide des métriques</w:t>
        </w:r>
      </w:hyperlink>
      <w:r>
        <w:t xml:space="preserve"> </w:t>
      </w:r>
      <w:r>
        <w:t xml:space="preserve">pour identifier et prioriser les différentes mesures de performance. Cliquez sur l’ovale contenant la métrique pour identifier si elle doit être maximisée (vert), minimisée (rouge), s’il s’agit d’une cible qui est un plancher (vert clair) ou un plafond (rouge clair), ou enfin d’une cible (violet).</w:t>
      </w:r>
    </w:p>
    <w:p>
      <w:pPr>
        <w:numPr>
          <w:ilvl w:val="0"/>
          <w:numId w:val="1002"/>
        </w:numPr>
      </w:pPr>
      <w:r>
        <w:t xml:space="preserve">Utilisez l’</w:t>
      </w:r>
      <w:hyperlink r:id="rId19">
        <w:r>
          <w:rPr>
            <w:rStyle w:val="Hyperlink"/>
          </w:rPr>
          <w:t xml:space="preserve">outil de priorisation des décisions</w:t>
        </w:r>
      </w:hyperlink>
      <w:r>
        <w:t xml:space="preserve"> </w:t>
      </w:r>
      <w:r>
        <w:t xml:space="preserve">pour d’abord lister les différents types de décisions (utilisez les</w:t>
      </w:r>
      <w:r>
        <w:t xml:space="preserve"> </w:t>
      </w:r>
      <w:hyperlink r:id="rId20">
        <w:r>
          <w:rPr>
            <w:rStyle w:val="Hyperlink"/>
          </w:rPr>
          <w:t xml:space="preserve">types de décisions</w:t>
        </w:r>
      </w:hyperlink>
      <w:r>
        <w:t xml:space="preserve"> </w:t>
      </w:r>
      <w:r>
        <w:t xml:space="preserve">comme guide). Celles-ci rempliront ensuite les lignes de la matrice à droite, où les colonnes sont les mesures de performance triées de gauche à droite selon la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vers le bas. Triez les lignes de sorte que les décisions ayant le plus grand impact sur les métriques les plus importantes soient vers le haut. Les cellules dans le coin supérieur gauche devraient avoir la plus grande concentration de cellules rouges et oranges. À ce stade, identifiez les décisions qui devraient recevoir le plus d’attention dans votre étude. Si vous n’avez aucune décision avec un impact moyen ou élevé sur les métriques les plus importantes, revoyez votre liste de décisions.</w:t>
      </w:r>
    </w:p>
    <w:p>
      <w:pPr>
        <w:numPr>
          <w:ilvl w:val="0"/>
          <w:numId w:val="1002"/>
        </w:numPr>
      </w:pPr>
      <w:r>
        <w:t xml:space="preserve">Répétez le processus pour lister et prioriser les incertitudes en utilisant l’</w:t>
      </w:r>
      <w:hyperlink r:id="rId21">
        <w:r>
          <w:rPr>
            <w:rStyle w:val="Hyperlink"/>
          </w:rPr>
          <w:t xml:space="preserve">outil de priorisation des incertitudes</w:t>
        </w:r>
      </w:hyperlink>
      <w:r>
        <w:t xml:space="preserve">. Utilisez les</w:t>
      </w:r>
      <w:r>
        <w:t xml:space="preserve"> </w:t>
      </w:r>
      <w:hyperlink r:id="rId22">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capturées en utilisant la performance moyenne dans le temps ?</w:t>
      </w:r>
    </w:p>
    <w:p>
      <w:pPr>
        <w:numPr>
          <w:ilvl w:val="1"/>
          <w:numId w:val="1003"/>
        </w:numPr>
      </w:pPr>
      <w:r>
        <w:t xml:space="preserve">Quelles sources d’incertitude représentent des formes de risque qui ne sont pas correctement capturées en utilisant des moyennes ?</w:t>
      </w:r>
    </w:p>
    <w:p>
      <w:pPr>
        <w:numPr>
          <w:ilvl w:val="0"/>
          <w:numId w:val="1002"/>
        </w:numPr>
      </w:pPr>
      <w:r>
        <w:t xml:space="preserve">Choisissez la décision unique qui semble avoir le plus grand impact sur la métrique la plus importante.</w:t>
      </w:r>
    </w:p>
    <w:p>
      <w:pPr>
        <w:numPr>
          <w:ilvl w:val="1"/>
          <w:numId w:val="1004"/>
        </w:numPr>
      </w:pPr>
      <w:r>
        <w:t xml:space="preserve">Quelle approche pensez-vous que vous utiliseriez pour prendre cette décision ?</w:t>
      </w:r>
    </w:p>
    <w:p>
      <w:pPr>
        <w:numPr>
          <w:ilvl w:val="1"/>
          <w:numId w:val="1004"/>
        </w:numPr>
      </w:pPr>
      <w:r>
        <w:t xml:space="preserve">Quelles données semblent nécessaires pour prendre cette décision, y compris le calcul de toute mesure de performance où la décision aurait un impact élevé ou moyen.</w:t>
      </w:r>
    </w:p>
    <w:p>
      <w:pPr>
        <w:numPr>
          <w:ilvl w:val="0"/>
          <w:numId w:val="1002"/>
        </w:numPr>
      </w:pPr>
      <w:r>
        <w:t xml:space="preserve">En utilisant la même décision que celle identifiée en (7), identifiez les personnes, départements, groupes ou organisations avec lesquels vous devriez travailler pour mettre en œuvre la décision.</w:t>
      </w:r>
    </w:p>
    <w:bookmarkEnd w:id="23"/>
    <w:bookmarkStart w:id="24" w:name="X3bd3c3b3615d406c4973b74119b02184d708cbe"/>
    <w:p>
      <w:pPr>
        <w:pStyle w:val="Heading1"/>
      </w:pPr>
      <w:r>
        <w:t xml:space="preserve">Notes sur les données publiques et le financement</w:t>
      </w:r>
    </w:p>
    <w:p>
      <w:pPr>
        <w:pStyle w:val="FirstParagraph"/>
      </w:pPr>
      <w:r>
        <w:t xml:space="preserve">• CDC, « Data Resources | Overdose Prevention », estimation préliminaire de 69 973 décès par surdose de drogue aux États-Unis pour les 12 mois se terminant en décembre 2025, une baisse de 13,9% par rapport à l’année précédente (publication de mai 2026).</w:t>
      </w:r>
    </w:p>
    <w:p>
      <w:pPr>
        <w:pStyle w:val="BodyText"/>
      </w:pPr>
      <w:r>
        <w:t xml:space="preserve">• CDC/NCHS, « Drug Overdose Deaths in the United States, 2023–2024 », rapportant 54 045 décès impliquant des opioïdes en 2024 et 47 735 impliquant des opioïdes synthétiques autres que la méthadone.</w:t>
      </w:r>
    </w:p>
    <w:p>
      <w:pPr>
        <w:pStyle w:val="BodyText"/>
      </w:pPr>
      <w:r>
        <w:t xml:space="preserve">• SAMHSA, National Survey on Drug Use and Health de 2024, rapportant 4,8 millions de personnes âgées de 12 ans ou plus souffrant d’un trouble lié à l’usage d’opioïdes au cours de l’année écoulée et 818 000 (17,0%) recevant des médicaments pour ce trouble.</w:t>
      </w:r>
    </w:p>
    <w:p>
      <w:pPr>
        <w:pStyle w:val="BodyText"/>
      </w:pPr>
      <w:r>
        <w:t xml:space="preserve">• SAMHSA, Subventions State Opioid Response de l’exercice 2024 (TI-24-008) : financement total anticipé disponible de 1,4805 milliard de dollars, jusqu’à 59 subventions, avec une continuation dépendant de la disponibilité du financement, de la performance, du reporting et de la conformité.</w:t>
      </w:r>
    </w:p>
    <w:p>
      <w:pPr>
        <w:pStyle w:val="BodyText"/>
      </w:pPr>
      <w:r>
        <w:t xml:space="preserve">• HHS, annonce du 22 septembre 2025, de plus de 1,5 milliard de dollars en subventions de continuation State and Tribal Opioid Response pour l’exercice 2025.</w:t>
      </w:r>
    </w:p>
    <w:p>
      <w:pPr>
        <w:pStyle w:val="BodyText"/>
      </w:pPr>
      <w:r>
        <w:t xml:space="preserve">• GAO des États-Unis, GAO-25-106944, « Opioid Use Disorder Grants », décrivant les charges de reporting, les retards de financement et d’approvisionnement, les fenêtres de mise en œuvre raccourcies, et les exigences concernant les bénéficiaires ultimes.</w:t>
      </w:r>
    </w:p>
    <w:p>
      <w:pPr>
        <w:pStyle w:val="BodyText"/>
      </w:pPr>
      <w:r>
        <w:t xml:space="preserve">• CDC, « Reverse Opioid Overdose to Prevent Death », décrivant la naloxone comme un médicament qui peut inverser une surdose d’opioïdes lorsqu’elle est administrée à temps.</w:t>
      </w:r>
    </w:p>
    <w:bookmarkEnd w:id="24"/>
    <w:bookmarkStart w:id="27" w:name="commentaires-de-chatgpt"/>
    <w:p>
      <w:pPr>
        <w:pStyle w:val="Heading1"/>
      </w:pPr>
      <w:r>
        <w:t xml:space="preserve">Commentaires de ChatGPT</w:t>
      </w:r>
    </w:p>
    <w:bookmarkStart w:id="25" w:name="invite"/>
    <w:p>
      <w:pPr>
        <w:pStyle w:val="Heading2"/>
      </w:pPr>
      <w:r>
        <w:t xml:space="preserve">Invite</w:t>
      </w:r>
    </w:p>
    <w:p>
      <w:pPr>
        <w:pStyle w:val="FirstParagraph"/>
      </w:pPr>
      <w:r>
        <w:t xml:space="preserve">Créez une étude de cas de 4 à 6 pages décrivant les défis auxquels fait face une agence de santé étatique traitant de l’addiction qui doit lever des fonds pour soutenir ses opérations. Le coût principal est son personnel, qui est responsable de la distribution des trousses de naloxone, du traitement de l’addiction et de l’aide aux personnes pour se remettre sur pied. L’agence doit équilibrer les groupes qu’elle peut servir, avec le défi de faire passer l’aiguille du financement entre les agences fédérales et étatiques et les donateurs locaux. Le financement gouvernemental est incertain et s’accompagne d’exigences pour entreprendre des initiatives spécifiques. Appuyez votre résumé avec des statistiques sur l’addiction et les changements dans le financement gouvernemental.</w:t>
      </w:r>
    </w:p>
    <w:bookmarkEnd w:id="25"/>
    <w:bookmarkStart w:id="26" w:name="résumé"/>
    <w:p>
      <w:pPr>
        <w:pStyle w:val="Heading2"/>
      </w:pPr>
      <w:r>
        <w:t xml:space="preserve">Résumé</w:t>
      </w:r>
    </w:p>
    <w:p>
      <w:pPr>
        <w:pStyle w:val="FirstParagraph"/>
      </w:pPr>
      <w:r>
        <w:t xml:space="preserve">Le cas présente une agence d’État fictive de lutte contre l’addiction essayant de préserver son personnel et d’équilibrer la distribution de naloxone, le traitement de l’addiction et le soutien au rétablissement à long terme tout en assemblant des subventions fédérales restreintes, des crédits d’État, des fonds de règlement liés aux opioïdes, des revenus de Medicaid et des dons privés.</w:t>
      </w:r>
    </w:p>
    <w:p>
      <w:pPr>
        <w:pStyle w:val="BodyText"/>
      </w:pPr>
      <w:r>
        <w:t xml:space="preserve">Il comprend :</w:t>
      </w:r>
    </w:p>
    <w:p>
      <w:pPr>
        <w:numPr>
          <w:ilvl w:val="0"/>
          <w:numId w:val="1005"/>
        </w:numPr>
      </w:pPr>
      <w:r>
        <w:t xml:space="preserve">Un budget opérationnel de 118 millions de dollars et un effectif de 506 personnes</w:t>
      </w:r>
    </w:p>
    <w:p>
      <w:pPr>
        <w:numPr>
          <w:ilvl w:val="0"/>
          <w:numId w:val="1005"/>
        </w:numPr>
      </w:pPr>
      <w:r>
        <w:t xml:space="preserve">Des scénarios de financement alternatifs et un déficit projeté de 18,6 millions de dollars</w:t>
      </w:r>
    </w:p>
    <w:p>
      <w:pPr>
        <w:numPr>
          <w:ilvl w:val="0"/>
          <w:numId w:val="1005"/>
        </w:numPr>
      </w:pPr>
      <w:r>
        <w:t xml:space="preserve">Des propositions concurrentes pour servir les communautés rurales, les personnes impliquées dans le système judiciaire, les familles, et les personnes ayant besoin d’aide au logement ou à l’emploi</w:t>
      </w:r>
    </w:p>
    <w:p>
      <w:pPr>
        <w:numPr>
          <w:ilvl w:val="0"/>
          <w:numId w:val="1005"/>
        </w:numPr>
      </w:pPr>
      <w:r>
        <w:t xml:space="preserve">Des restrictions de subventions fédérales, des charges de reporting, et une incertitude sur le calendrier de financement</w:t>
      </w:r>
    </w:p>
    <w:p>
      <w:pPr>
        <w:numPr>
          <w:ilvl w:val="0"/>
          <w:numId w:val="1005"/>
        </w:numPr>
      </w:pPr>
      <w:r>
        <w:t xml:space="preserve">Des pièces quantitatives et dix questions de discussion</w:t>
      </w:r>
    </w:p>
    <w:p>
      <w:pPr>
        <w:numPr>
          <w:ilvl w:val="0"/>
          <w:numId w:val="1005"/>
        </w:numPr>
      </w:pPr>
      <w:r>
        <w:t xml:space="preserve">Aucune solution clairement privilégiée</w:t>
      </w:r>
    </w:p>
    <w:p>
      <w:pPr>
        <w:pStyle w:val="FirstParagraph"/>
      </w:pPr>
      <w:r>
        <w:t xml:space="preserve">Le contexte de santé publique utilise des statistiques actuelles du CDC et de la SAMHSA, y compris des estimations préliminaires d’environ 69 973 décès par surdose aux États-Unis en 2025 et la constatation que seulement 17% des 4,8 millions de personnes estimées souffrant d’un trouble lié à l’usage d’opioïdes ont reçu un traitement médicamenteux en 2024. Les informations sur le financement fédéral s’appuient sur l’annonce de subvention State Opioid Response de 1,4805 milliard de dollars pour l’exercice 2024, plus de 1,5 milliard de dollars en subventions de continuation pour l’exercice 2025, et les constatations du GAO sur les retards de subvention et les charges de reporting.</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warrenpowell.org/decision-framing-tool/#decision-prioritization-tool" TargetMode="External" /><Relationship Type="http://schemas.openxmlformats.org/officeDocument/2006/relationships/hyperlink" Id="rId18" Target="https://warrenpowell.org/decision-framing-tool/#metrics-pyramid-tool" TargetMode="External" /><Relationship Type="http://schemas.openxmlformats.org/officeDocument/2006/relationships/hyperlink" Id="rId21" Target="https://warrenpowell.org/decision-framing-tool/#uncertainty-prioritization-tool" TargetMode="External" /><Relationship Type="http://schemas.openxmlformats.org/officeDocument/2006/relationships/hyperlink" Id="rId20" Target="https://warrenpowell.org/decisionsdecisions/#types-of-decision-settings" TargetMode="External" /><Relationship Type="http://schemas.openxmlformats.org/officeDocument/2006/relationships/hyperlink" Id="rId22"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9" Target="https://warrenpowell.org/decision-framing-tool/#decision-prioritization-tool" TargetMode="External" /><Relationship Type="http://schemas.openxmlformats.org/officeDocument/2006/relationships/hyperlink" Id="rId18" Target="https://warrenpowell.org/decision-framing-tool/#metrics-pyramid-tool" TargetMode="External" /><Relationship Type="http://schemas.openxmlformats.org/officeDocument/2006/relationships/hyperlink" Id="rId21" Target="https://warrenpowell.org/decision-framing-tool/#uncertainty-prioritization-tool" TargetMode="External" /><Relationship Type="http://schemas.openxmlformats.org/officeDocument/2006/relationships/hyperlink" Id="rId20" Target="https://warrenpowell.org/decisionsdecisions/#types-of-decision-settings" TargetMode="External" /><Relationship Type="http://schemas.openxmlformats.org/officeDocument/2006/relationships/hyperlink" Id="rId22"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2026-09-11T15:54:38Z</dcterms:created>
  <dcterms:modified xsi:type="dcterms:W3CDTF">2026-09-11T15:54:38Z</dcterms:modified>
</cp:coreProperties>
</file>

<file path=docProps/custom.xml><?xml version="1.0" encoding="utf-8"?>
<Properties xmlns="http://schemas.openxmlformats.org/officeDocument/2006/custom-properties" xmlns:vt="http://schemas.openxmlformats.org/officeDocument/2006/docPropsVTypes"/>
</file>