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Ridgeway Industrial Systems</w:t>
      </w:r>
    </w:p>
    <w:p>
      <w:pPr>
        <w:pStyle w:val="BodyText"/>
      </w:pPr>
      <w:r>
        <w:t xml:space="preserve">Le carrefour énergétique</w:t>
      </w:r>
    </w:p>
    <w:p>
      <w:pPr>
        <w:pStyle w:val="BodyText"/>
      </w:pPr>
      <w:r>
        <w:t xml:space="preserve">Une décision de réseau de fabrication face à la hausse des coûts de l’électricité</w:t>
      </w:r>
    </w:p>
    <w:p>
      <w:pPr>
        <w:pStyle w:val="BodyText"/>
      </w:pPr>
      <w:r>
        <w:t xml:space="preserve">À 6h20 un lundi froid de février, Elena Marquez, directrice des opérations de Ridgeway Industrial Systems, a ouvert un e-mail du fournisseur d’électricité de l’entreprise. Le fournisseur demandait l’autorisation de mener une étude technique du raccordement de service de Ridgeway. La région avait reçu des demandes pour plusieurs grands centres de données, et le fournisseur d’électricité s’attendait à des investissements substantiels dans les sous-stations, les équipements de transmission et la capacité de production. Certains de ces coûts, avertissait la lettre, pourraient éventuellement se répercuter sur les tarifs industriels.</w:t>
      </w:r>
    </w:p>
    <w:p>
      <w:pPr>
        <w:pStyle w:val="BodyText"/>
      </w:pPr>
      <w:r>
        <w:t xml:space="preserve">Le message est arrivé trois jours avant la réunion de stratégie du conseil d’administration de Ridgeway. L’usine principale de l’entreprise dans le comté de Hamilton avait déjà vu sa facture d’électricité annuelle passer de 8,6 millions $ à 13,9 millions $ en quatre ans. Son équipe financière prévoyait que la facture pourrait dépasser 19 millions $ d’ici 2030 si la trajectoire tarifaire préliminaire du fournisseur était approuvée. L’électricité représentait autrefois moins de 3% du coût de fabrication. Elle approchait désormais 6%, avec l’exposition la plus importante concentrée dans deux gammes de produits à forte intensité énergétique.</w:t>
      </w:r>
    </w:p>
    <w:p>
      <w:pPr>
        <w:pStyle w:val="BodyText"/>
      </w:pPr>
      <w:r>
        <w:t xml:space="preserve">Ridgeway fabriquait des pompes de précision, des échangeurs de chaleur industriels et des assemblages résistants à la corrosion pour des clients de l’industrie chimique, de la transformation alimentaire et du traitement de l’eau. L’usine de Hamilton employait 1 180 personnes, fournissait environ 58% du chiffre d’affaires de l’entreprise, et contenait des opérations spécialisées d’usinage, de soudage, de traitement thermique, de revêtement et de test. Certains équipements pouvaient être déplacés. D’autres systèmes étaient intégrés au bâtiment, liés aux fondations, aux permis environnementaux et aux qualifications clients.</w:t>
      </w:r>
    </w:p>
    <w:p>
      <w:pPr>
        <w:pStyle w:val="BodyText"/>
      </w:pPr>
      <w:r>
        <w:t xml:space="preserve">Marquez avait été chargée de recommander un plan d’investigation et une orientation stratégique initiale. Les alternatives apparentes étaient claires : rester en place et absorber ou gérer les tarifs plus élevés ; installer des panneaux solaires et un stockage par batteries ; convertir certains procédés électriques au gaz naturel ; ou délocaliser une grande partie de l’exploitation vers une autre région. Pourtant, chaque alternative dépendait de prévisions incertaines, d’hypothèses techniques difficiles, et de décisions prises par les fournisseurs d’électricité, les régulateurs, les clients et les employés.</w:t>
      </w:r>
    </w:p>
    <w:bookmarkStart w:id="9" w:name="X8f6b832433c8fb377b7885b94b2168f72088740"/>
    <w:p>
      <w:pPr>
        <w:pStyle w:val="Heading2"/>
      </w:pPr>
      <w:r>
        <w:t xml:space="preserve">La décision devant le conseil d’administration</w:t>
      </w:r>
    </w:p>
    <w:p>
      <w:pPr>
        <w:pStyle w:val="FirstParagraph"/>
      </w:pPr>
      <w:r>
        <w:t xml:space="preserve">Le conseil d’administration ne devait pas approuver immédiatement une nouvelle usine. On lui demandait de décider avec quelle agressivité Ridgeway devait investiguer les alternatives, quels projets devaient passer à des pilotes ou à une ingénierie détaillée, et si l’entreprise devait commencer à sécuriser des terrains et de la capacité de fournisseur ailleurs avant que les concurrents ne le fassent. Cette distinction importait. Une étude prudente pourrait préserver la trésorerie mais laisser disparaître des sites attractifs, des positions d’interconnexion, ou des incitations. Un programme agressif pourrait consommer des millions de dollars avant que la direction ne comprenne si l’augmentation tarifaire actuelle était temporaire, structurelle, ou en partie auto-infligée.</w:t>
      </w:r>
    </w:p>
    <w:bookmarkEnd w:id="9"/>
    <w:bookmarkStart w:id="12" w:name="Xee70243d3a0d035feb7d99b0032bd4a523fe668"/>
    <w:p>
      <w:pPr>
        <w:pStyle w:val="Heading1"/>
      </w:pPr>
      <w:r>
        <w:t xml:space="preserve">Un marché régional de l’électricité sous tension</w:t>
      </w:r>
    </w:p>
    <w:p>
      <w:pPr>
        <w:pStyle w:val="FirstParagraph"/>
      </w:pPr>
      <w:r>
        <w:t xml:space="preserve">Le comté de Hamilton avait passé deux décennies à recruter des industries manufacturières avancées. Plus récemment, la même combinaison de terrains bon marché, de connectivité fibre, d’accès autoroutier, et d’un corridor de transmission disponible avait attiré des développeurs de centres de données. Trois projets étaient en construction et cinq autres avaient demandé un service du fournisseur d’électricité. Les responsables locaux accueillaient favorablement l’assiette fiscale, mais les clients industriels s’interrogeaient sur la manière dont les coûts d’expansion du réseau seraient répartis.</w:t>
      </w:r>
    </w:p>
    <w:p>
      <w:pPr>
        <w:pStyle w:val="BodyText"/>
      </w:pPr>
      <w:r>
        <w:t xml:space="preserve">La tendance nationale était significative. Le Berkeley Lab estimait que les centres de données américains avaient utilisé environ 176 térawattheures d’électricité en 2023, soit approximativement 4,4% de la consommation électrique totale des États-Unis, contre 58 térawattheures en 2014. Son rapport de 2024 estimait que les centres de données pourraient consommer entre 6,7% et 12% de l’électricité américaine d’ici 2028. Une mise à jour ultérieure projetait une estimation centrale de 11,8% d’ici 2030, avec une fourchette de 9,5% à 15,3%.¹ Ces projections n’impliquaient pas que chaque fabricant ferait face à la même augmentation de coût, mais elles renforçaient l’inquiétude de Ridgeway selon laquelle la demande d’électricité entrait dans un régime de croissance différent.</w:t>
      </w:r>
    </w:p>
    <w:p>
      <w:pPr>
        <w:pStyle w:val="BodyText"/>
      </w:pPr>
      <w:r>
        <w:t xml:space="preserve">La facture d’électricité de Ridgeway était plus compliquée que le chiffre moyen en cents par kilowattheure discuté lors des réunions du conseil d’administration. L’usine payait pour l’énergie consommée, la demande de pointe mensuelle, le service de transmission, la capacité, les pénalités de facteur de puissance, et plusieurs suppléments. Un nouveau tarif régional de capacité avait fortement augmenté. L’usine avait également enregistré trois pics de demande inhabituellement élevés lorsque de grands fours, compresseurs et bancs d’essai avaient été démarrés simultanément après des arrêts de maintenance.</w:t>
      </w:r>
    </w:p>
    <w:bookmarkStart w:id="10" w:name="X7b08c7b9a0a5da88309f74bf982d8479484db12"/>
    <w:p>
      <w:pPr>
        <w:pStyle w:val="Heading2"/>
      </w:pPr>
      <w:r>
        <w:t xml:space="preserve">Exhibit 1. Utilisation et coût de l’électricité de l’usine de Hamilton</w:t>
      </w:r>
    </w:p>
    <w:tbl>
      <w:tblPr>
        <w:tblStyle w:val="Table"/>
        <w:tblW w:type="pct" w:w="4924"/>
        <w:tblLayout w:type="fixed"/>
        <w:tblLook w:firstRow="1" w:lastRow="0" w:firstColumn="0" w:lastColumn="0" w:noHBand="0" w:noVBand="0" w:val="0020"/>
      </w:tblPr>
      <w:tblGrid>
        <w:gridCol w:w="967"/>
        <w:gridCol w:w="1148"/>
        <w:gridCol w:w="1450"/>
        <w:gridCol w:w="1148"/>
        <w:gridCol w:w="1874"/>
        <w:gridCol w:w="1209"/>
      </w:tblGrid>
      <w:tr>
        <w:trPr>
          <w:tblHeader w:val="on"/>
        </w:trPr>
        <w:tc>
          <w:tcPr/>
          <w:p>
            <w:pPr>
              <w:pStyle w:val="Compact"/>
            </w:pPr>
            <w:r>
              <w:t xml:space="preserve">Exercice fiscal</w:t>
            </w:r>
          </w:p>
        </w:tc>
        <w:tc>
          <w:tcPr/>
          <w:p>
            <w:pPr>
              <w:pStyle w:val="Compact"/>
              <w:jc w:val="right"/>
            </w:pPr>
            <w:r>
              <w:t xml:space="preserve">Indice de product</w:t>
            </w:r>
          </w:p>
        </w:tc>
        <w:tc>
          <w:tcPr/>
          <w:p>
            <w:pPr>
              <w:pStyle w:val="Compact"/>
            </w:pPr>
            <w:r>
              <w:t xml:space="preserve">ion Utilisation d’élec</w:t>
            </w:r>
          </w:p>
        </w:tc>
        <w:tc>
          <w:tcPr/>
          <w:p>
            <w:pPr>
              <w:pStyle w:val="Compact"/>
            </w:pPr>
            <w:r>
              <w:t xml:space="preserve">tricité (GWh) Dem</w:t>
            </w:r>
          </w:p>
        </w:tc>
        <w:tc>
          <w:tcPr/>
          <w:p>
            <w:pPr>
              <w:pStyle w:val="Compact"/>
            </w:pPr>
            <w:r>
              <w:t xml:space="preserve">ande de pointe (MW) Coût moye</w:t>
            </w:r>
          </w:p>
        </w:tc>
        <w:tc>
          <w:tcPr/>
          <w:p>
            <w:pPr>
              <w:pStyle w:val="Compact"/>
            </w:pPr>
            <w:r>
              <w:t xml:space="preserve">n tout compris ($/MWh) Facture annuelle ($M)</w:t>
            </w:r>
          </w:p>
        </w:tc>
      </w:tr>
      <w:tr>
        <w:tc>
          <w:tcPr/>
          <w:p>
            <w:pPr>
              <w:pStyle w:val="Compact"/>
            </w:pPr>
            <w:r>
              <w:t xml:space="preserve">2022</w:t>
            </w:r>
          </w:p>
        </w:tc>
        <w:tc>
          <w:tcPr/>
          <w:p>
            <w:pPr>
              <w:pStyle w:val="Compact"/>
              <w:jc w:val="right"/>
            </w:pPr>
            <w:r>
              <w:t xml:space="preserve">100</w:t>
            </w:r>
          </w:p>
        </w:tc>
        <w:tc>
          <w:tcPr/>
          <w:p>
            <w:pPr>
              <w:pStyle w:val="Compact"/>
            </w:pPr>
            <w:r>
              <w:t xml:space="preserve">112</w:t>
            </w:r>
          </w:p>
        </w:tc>
        <w:tc>
          <w:tcPr/>
          <w:p>
            <w:pPr>
              <w:pStyle w:val="Compact"/>
            </w:pPr>
            <w:r>
              <w:t xml:space="preserve">19,8</w:t>
            </w:r>
          </w:p>
        </w:tc>
        <w:tc>
          <w:tcPr/>
          <w:p>
            <w:pPr>
              <w:pStyle w:val="Compact"/>
            </w:pPr>
            <w:r>
              <w:t xml:space="preserve">$77</w:t>
            </w:r>
          </w:p>
        </w:tc>
        <w:tc>
          <w:tcPr/>
          <w:p>
            <w:pPr>
              <w:pStyle w:val="Compact"/>
            </w:pPr>
            <w:r>
              <w:t xml:space="preserve">$8,6</w:t>
            </w:r>
          </w:p>
        </w:tc>
      </w:tr>
      <w:tr>
        <w:tc>
          <w:tcPr/>
          <w:p>
            <w:pPr>
              <w:pStyle w:val="Compact"/>
            </w:pPr>
            <w:r>
              <w:t xml:space="preserve">2023</w:t>
            </w:r>
          </w:p>
        </w:tc>
        <w:tc>
          <w:tcPr/>
          <w:p>
            <w:pPr>
              <w:pStyle w:val="Compact"/>
              <w:jc w:val="right"/>
            </w:pPr>
            <w:r>
              <w:t xml:space="preserve">104</w:t>
            </w:r>
          </w:p>
        </w:tc>
        <w:tc>
          <w:tcPr/>
          <w:p>
            <w:pPr>
              <w:pStyle w:val="Compact"/>
            </w:pPr>
            <w:r>
              <w:t xml:space="preserve">116</w:t>
            </w:r>
          </w:p>
        </w:tc>
        <w:tc>
          <w:tcPr/>
          <w:p>
            <w:pPr>
              <w:pStyle w:val="Compact"/>
            </w:pPr>
            <w:r>
              <w:t xml:space="preserve">20,5</w:t>
            </w:r>
          </w:p>
        </w:tc>
        <w:tc>
          <w:tcPr/>
          <w:p>
            <w:pPr>
              <w:pStyle w:val="Compact"/>
            </w:pPr>
            <w:r>
              <w:t xml:space="preserve">$83</w:t>
            </w:r>
          </w:p>
        </w:tc>
        <w:tc>
          <w:tcPr/>
          <w:p>
            <w:pPr>
              <w:pStyle w:val="Compact"/>
            </w:pPr>
            <w:r>
              <w:t xml:space="preserve">$9,6</w:t>
            </w:r>
          </w:p>
        </w:tc>
      </w:tr>
      <w:tr>
        <w:tc>
          <w:tcPr/>
          <w:p>
            <w:pPr>
              <w:pStyle w:val="Compact"/>
            </w:pPr>
            <w:r>
              <w:t xml:space="preserve">2024</w:t>
            </w:r>
          </w:p>
        </w:tc>
        <w:tc>
          <w:tcPr/>
          <w:p>
            <w:pPr>
              <w:pStyle w:val="Compact"/>
              <w:jc w:val="right"/>
            </w:pPr>
            <w:r>
              <w:t xml:space="preserve">107</w:t>
            </w:r>
          </w:p>
        </w:tc>
        <w:tc>
          <w:tcPr/>
          <w:p>
            <w:pPr>
              <w:pStyle w:val="Compact"/>
            </w:pPr>
            <w:r>
              <w:t xml:space="preserve">119</w:t>
            </w:r>
          </w:p>
        </w:tc>
        <w:tc>
          <w:tcPr/>
          <w:p>
            <w:pPr>
              <w:pStyle w:val="Compact"/>
            </w:pPr>
            <w:r>
              <w:t xml:space="preserve">21,4</w:t>
            </w:r>
          </w:p>
        </w:tc>
        <w:tc>
          <w:tcPr/>
          <w:p>
            <w:pPr>
              <w:pStyle w:val="Compact"/>
            </w:pPr>
            <w:r>
              <w:t xml:space="preserve">$92</w:t>
            </w:r>
          </w:p>
        </w:tc>
        <w:tc>
          <w:tcPr/>
          <w:p>
            <w:pPr>
              <w:pStyle w:val="Compact"/>
            </w:pPr>
            <w:r>
              <w:t xml:space="preserve">$10,9</w:t>
            </w:r>
          </w:p>
        </w:tc>
      </w:tr>
      <w:tr>
        <w:tc>
          <w:tcPr/>
          <w:p>
            <w:pPr>
              <w:pStyle w:val="Compact"/>
            </w:pPr>
            <w:r>
              <w:t xml:space="preserve">2025</w:t>
            </w:r>
          </w:p>
        </w:tc>
        <w:tc>
          <w:tcPr/>
          <w:p>
            <w:pPr>
              <w:pStyle w:val="Compact"/>
              <w:jc w:val="right"/>
            </w:pPr>
            <w:r>
              <w:t xml:space="preserve">105</w:t>
            </w:r>
          </w:p>
        </w:tc>
        <w:tc>
          <w:tcPr/>
          <w:p>
            <w:pPr>
              <w:pStyle w:val="Compact"/>
            </w:pPr>
            <w:r>
              <w:t xml:space="preserve">117</w:t>
            </w:r>
          </w:p>
        </w:tc>
        <w:tc>
          <w:tcPr/>
          <w:p>
            <w:pPr>
              <w:pStyle w:val="Compact"/>
            </w:pPr>
            <w:r>
              <w:t xml:space="preserve">22,8</w:t>
            </w:r>
          </w:p>
        </w:tc>
        <w:tc>
          <w:tcPr/>
          <w:p>
            <w:pPr>
              <w:pStyle w:val="Compact"/>
            </w:pPr>
            <w:r>
              <w:t xml:space="preserve">$104</w:t>
            </w:r>
          </w:p>
        </w:tc>
        <w:tc>
          <w:tcPr/>
          <w:p>
            <w:pPr>
              <w:pStyle w:val="Compact"/>
            </w:pPr>
            <w:r>
              <w:t xml:space="preserve">$12,2</w:t>
            </w:r>
          </w:p>
        </w:tc>
      </w:tr>
      <w:tr>
        <w:tc>
          <w:tcPr/>
          <w:p>
            <w:pPr>
              <w:pStyle w:val="Compact"/>
            </w:pPr>
            <w:r>
              <w:t xml:space="preserve">Prévision 2026</w:t>
            </w:r>
          </w:p>
        </w:tc>
        <w:tc>
          <w:tcPr/>
          <w:p>
            <w:pPr>
              <w:pStyle w:val="Compact"/>
              <w:jc w:val="right"/>
            </w:pPr>
            <w:r>
              <w:t xml:space="preserve">109</w:t>
            </w:r>
          </w:p>
        </w:tc>
        <w:tc>
          <w:tcPr/>
          <w:p>
            <w:pPr>
              <w:pStyle w:val="Compact"/>
            </w:pPr>
            <w:r>
              <w:t xml:space="preserve">120</w:t>
            </w:r>
          </w:p>
        </w:tc>
        <w:tc>
          <w:tcPr/>
          <w:p>
            <w:pPr>
              <w:pStyle w:val="Compact"/>
            </w:pPr>
            <w:r>
              <w:t xml:space="preserve">23,2</w:t>
            </w:r>
          </w:p>
        </w:tc>
        <w:tc>
          <w:tcPr/>
          <w:p>
            <w:pPr>
              <w:pStyle w:val="Compact"/>
            </w:pPr>
            <w:r>
              <w:t xml:space="preserve">$116</w:t>
            </w:r>
          </w:p>
        </w:tc>
        <w:tc>
          <w:tcPr/>
          <w:p>
            <w:pPr>
              <w:pStyle w:val="Compact"/>
            </w:pPr>
            <w:r>
              <w:t xml:space="preserve">$13,9</w:t>
            </w:r>
          </w:p>
        </w:tc>
      </w:tr>
    </w:tbl>
    <w:p>
      <w:pPr>
        <w:pStyle w:val="BodyText"/>
      </w:pPr>
      <w:r>
        <w:t xml:space="preserve">La responsable énergie de l’usine, Priya Shah, soutenait que l’entreprise n’avait pas encore séparé le problème tarifaire externe de son propre problème de gestion de charge. Elle estimait qu’un meilleur séquençage des démarrages, la réparation des fuites d’air comprimé, la révision de la planification des fours, et l’arrêt automatique des équipements inactifs pourraient réduire le coût annuel d’électricité de 1,4 million $ à 2,1 millions $. Les responsables des opérations étaient sceptiques. Ils craignaient qu’une gestion agressive des pics n’augmente les en-cours de production, les heures supplémentaires, ou les livraisons manquées.</w:t>
      </w:r>
    </w:p>
    <w:bookmarkEnd w:id="10"/>
    <w:bookmarkStart w:id="11" w:name="le-procédé-de-fabrication"/>
    <w:p>
      <w:pPr>
        <w:pStyle w:val="Heading2"/>
      </w:pPr>
      <w:r>
        <w:t xml:space="preserve">Le procédé de fabrication</w:t>
      </w:r>
    </w:p>
    <w:p>
      <w:pPr>
        <w:pStyle w:val="FirstParagraph"/>
      </w:pPr>
      <w:r>
        <w:t xml:space="preserve">L’exploitation de Hamilton n’était pas un procédé continu unique. L’usinage et le pompage étaient à forte intensité électrique mais relativement flexibles. Le traitement thermique et le durcissement exigeaient des profils de température contrôlés. Les lignes de revêtement avaient des exigences de ventilation strictes. Le centre d’essai hydraulique créait des charges importantes mais intermittentes. Les planificateurs de production organisaient le travail en fonction des dates d’échéance clients, de la disponibilité des machines, des compétences de la main-d’œuvre, et des blocages qualité — pas des prix de l’électricité.</w:t>
      </w:r>
    </w:p>
    <w:p>
      <w:pPr>
        <w:pStyle w:val="BodyText"/>
      </w:pPr>
      <w:r>
        <w:t xml:space="preserve">La direction faisait donc face à un problème de systèmes. Une réduction du coût de l’électricité pourrait créer des coûts ailleurs : délais plus longs, réglages supplémentaires, lots plus importants, stocks plus élevés, réactivité réduite, ou utilisation des équipements plus faible. Inversement, les changements effectués pour des raisons énergétiques pourraient également améliorer la discipline de maintenance et la planification de la production.</w:t>
      </w:r>
    </w:p>
    <w:bookmarkEnd w:id="11"/>
    <w:bookmarkEnd w:id="12"/>
    <w:bookmarkStart w:id="17" w:name="quatre-voies-stratégiques"/>
    <w:p>
      <w:pPr>
        <w:pStyle w:val="Heading1"/>
      </w:pPr>
      <w:r>
        <w:t xml:space="preserve">Quatre voies stratégiques</w:t>
      </w:r>
    </w:p>
    <w:bookmarkStart w:id="13" w:name="améliorer-et-rester"/>
    <w:p>
      <w:pPr>
        <w:pStyle w:val="Heading2"/>
      </w:pPr>
      <w:r>
        <w:t xml:space="preserve">1. Améliorer et rester</w:t>
      </w:r>
    </w:p>
    <w:p>
      <w:pPr>
        <w:pStyle w:val="FirstParagraph"/>
      </w:pPr>
      <w:r>
        <w:t xml:space="preserve">La voie la moins perturbatrice consistait à conserver l’usine de Hamilton et à se concentrer d’abord sur l’efficacité, la planification, la refonte tarifaire, et l’approvisionnement énergétique. Le fournisseur d’électricité avait proposé d’évaluer un tarif de service interruptible qui pourrait réduire les charges annuelles d’environ 900 000 $, mais Ridgeway devrait réduire sa charge à court préavis lors d’un nombre limité d’urgences du réseau. Un commercialisateur d’électricité proposait un contrat à prix fixe sur dix ans pour une partie de l’usage de l’entreprise. Le prix fixe était supérieur à la courbe à terme actuelle mais inférieur au scénario de tarif élevé du fournisseur.</w:t>
      </w:r>
    </w:p>
    <w:p>
      <w:pPr>
        <w:pStyle w:val="BodyText"/>
      </w:pPr>
      <w:r>
        <w:t xml:space="preserve">Cette voie exigeait l’engagement en capital à court terme le plus faible et préservait la flexibilité. Elle laissait aussi Ridgeway exposée à un réseau régional contraint et à la possibilité que le fournisseur d’électricité alloue une part substantielle des coûts de nouvelle infrastructure aux clients industriels existants.</w:t>
      </w:r>
    </w:p>
    <w:bookmarkEnd w:id="13"/>
    <w:bookmarkStart w:id="14" w:name="X36e1f5f39b7c4feb8a9bf39f53ba5b7133ab175"/>
    <w:p>
      <w:pPr>
        <w:pStyle w:val="Heading2"/>
      </w:pPr>
      <w:r>
        <w:t xml:space="preserve">2. Production solaire et stockage par batteries</w:t>
      </w:r>
    </w:p>
    <w:p>
      <w:pPr>
        <w:pStyle w:val="FirstParagraph"/>
      </w:pPr>
      <w:r>
        <w:t xml:space="preserve">Un développeur proposait une installation solaire de 14 mégawatts utilisant le toit de l’usine, des auvents de parking, et une parcelle adjacente. La production prévue la première année était de 19,5 gigawattheures — environ 16% de la consommation annuelle de l’usine. Comme la majeure partie de la production avait lieu en semaine, le développeur prévoyait un niveau élevé d’utilisation sur site. Le projet n’éliminerait pas la connexion au réseau de l’usine ni la plupart des achats nocturnes.</w:t>
      </w:r>
    </w:p>
    <w:p>
      <w:pPr>
        <w:pStyle w:val="BodyText"/>
      </w:pPr>
      <w:r>
        <w:t xml:space="preserve">Une proposition distincte combinait le solaire avec une batterie de 10 mégawatts / 40 mégawattheures. La batterie pourrait réduire les pics de demande, décaler la production solaire vers les opérations en soirée, et soutenir certaines charges critiques lors de brèves interruptions. Elle ne pourrait pas faire fonctionner toute l’usine lors d’une panne prolongée. L’économie du projet dépendait fortement des règles de charge de demande, de la dégradation des batteries, de la qualité de répartition, du traitement fiscal, du coût d’interconnexion, et de la valeur attribuée à la fiabilité.</w:t>
      </w:r>
    </w:p>
    <w:bookmarkEnd w:id="14"/>
    <w:bookmarkStart w:id="15" w:name="X3dd03022117274add376a5da006aa3f3c124a24"/>
    <w:p>
      <w:pPr>
        <w:pStyle w:val="Heading2"/>
      </w:pPr>
      <w:r>
        <w:t xml:space="preserve">Exhibit 2. Propositions préliminaires d’énergie sur site</w:t>
      </w:r>
    </w:p>
    <w:tbl>
      <w:tblPr>
        <w:tblStyle w:val="Table"/>
        <w:tblW w:type="pct" w:w="4926"/>
        <w:tblLayout w:type="fixed"/>
        <w:tblLook w:firstRow="1" w:lastRow="0" w:firstColumn="0" w:lastColumn="0" w:noHBand="0" w:noVBand="0" w:val="0020"/>
      </w:tblPr>
      <w:tblGrid>
        <w:gridCol w:w="1514"/>
        <w:gridCol w:w="1048"/>
        <w:gridCol w:w="1572"/>
        <w:gridCol w:w="990"/>
        <w:gridCol w:w="2678"/>
      </w:tblGrid>
      <w:tr>
        <w:trPr>
          <w:tblHeader w:val="on"/>
        </w:trPr>
        <w:tc>
          <w:tcPr/>
          <w:p>
            <w:pPr>
              <w:pStyle w:val="Compact"/>
              <w:jc w:val="left"/>
            </w:pPr>
            <w:r>
              <w:t xml:space="preserve">Alternative</w:t>
            </w:r>
          </w:p>
        </w:tc>
        <w:tc>
          <w:tcPr/>
          <w:p>
            <w:pPr>
              <w:pStyle w:val="Compact"/>
              <w:jc w:val="left"/>
            </w:pPr>
            <w:r>
              <w:t xml:space="preserve">Capital initial</w:t>
            </w:r>
          </w:p>
        </w:tc>
        <w:tc>
          <w:tcPr/>
          <w:p>
            <w:pPr>
              <w:pStyle w:val="Compact"/>
            </w:pPr>
            <w:r>
              <w:t xml:space="preserve">Économies annuelles estimée</w:t>
            </w:r>
          </w:p>
        </w:tc>
        <w:tc>
          <w:tcPr/>
          <w:p>
            <w:pPr>
              <w:pStyle w:val="Compact"/>
            </w:pPr>
            <w:r>
              <w:t xml:space="preserve">s Retour sur in</w:t>
            </w:r>
          </w:p>
        </w:tc>
        <w:tc>
          <w:tcPr/>
          <w:p>
            <w:pPr>
              <w:pStyle w:val="Compact"/>
            </w:pPr>
            <w:r>
              <w:t xml:space="preserve">vestissement simple Principales incertitudes</w:t>
            </w:r>
          </w:p>
        </w:tc>
      </w:tr>
      <w:tr>
        <w:tc>
          <w:tcPr/>
          <w:p>
            <w:pPr>
              <w:pStyle w:val="Compact"/>
              <w:jc w:val="left"/>
            </w:pPr>
            <w:r>
              <w:t xml:space="preserve">Efficacité et contrôles</w:t>
            </w:r>
          </w:p>
        </w:tc>
        <w:tc>
          <w:tcPr/>
          <w:p>
            <w:pPr>
              <w:pStyle w:val="Compact"/>
              <w:jc w:val="left"/>
            </w:pPr>
            <w:r>
              <w:t xml:space="preserve">6,5M $</w:t>
            </w:r>
          </w:p>
        </w:tc>
        <w:tc>
          <w:tcPr/>
          <w:p>
            <w:pPr>
              <w:pStyle w:val="Compact"/>
            </w:pPr>
            <w:r>
              <w:t xml:space="preserve">1,4M $-2,1M $</w:t>
            </w:r>
          </w:p>
        </w:tc>
        <w:tc>
          <w:tcPr/>
          <w:p>
            <w:pPr>
              <w:pStyle w:val="Compact"/>
            </w:pPr>
            <w:r>
              <w:t xml:space="preserve">3-5 ans</w:t>
            </w:r>
          </w:p>
        </w:tc>
        <w:tc>
          <w:tcPr/>
          <w:p>
            <w:pPr>
              <w:pStyle w:val="Compact"/>
            </w:pPr>
            <w:r>
              <w:t xml:space="preserve">Conformité opérationnelle ; effets sur la production</w:t>
            </w:r>
          </w:p>
        </w:tc>
      </w:tr>
      <w:tr>
        <w:tc>
          <w:tcPr/>
          <w:p>
            <w:pPr>
              <w:pStyle w:val="Compact"/>
              <w:jc w:val="left"/>
            </w:pPr>
            <w:r>
              <w:t xml:space="preserve">Solaire seul</w:t>
            </w:r>
          </w:p>
        </w:tc>
        <w:tc>
          <w:tcPr/>
          <w:p>
            <w:pPr>
              <w:pStyle w:val="Compact"/>
              <w:jc w:val="left"/>
            </w:pPr>
            <w:r>
              <w:t xml:space="preserve">31M $</w:t>
            </w:r>
          </w:p>
        </w:tc>
        <w:tc>
          <w:tcPr/>
          <w:p>
            <w:pPr>
              <w:pStyle w:val="Compact"/>
            </w:pPr>
            <w:r>
              <w:t xml:space="preserve">3,0M $-4,4M $</w:t>
            </w:r>
          </w:p>
        </w:tc>
        <w:tc>
          <w:tcPr/>
          <w:p>
            <w:pPr>
              <w:pStyle w:val="Compact"/>
            </w:pPr>
            <w:r>
              <w:t xml:space="preserve">7-10 ans</w:t>
            </w:r>
          </w:p>
        </w:tc>
        <w:tc>
          <w:tcPr/>
          <w:p>
            <w:pPr>
              <w:pStyle w:val="Compact"/>
            </w:pPr>
            <w:r>
              <w:t xml:space="preserve">Interconnexion ; incitations ; valeur d’exportation</w:t>
            </w:r>
          </w:p>
        </w:tc>
      </w:tr>
      <w:tr>
        <w:tc>
          <w:tcPr/>
          <w:p>
            <w:pPr>
              <w:pStyle w:val="Compact"/>
              <w:jc w:val="left"/>
            </w:pPr>
            <w:r>
              <w:t xml:space="preserve">Solaire plus batterie</w:t>
            </w:r>
          </w:p>
        </w:tc>
        <w:tc>
          <w:tcPr/>
          <w:p>
            <w:pPr>
              <w:pStyle w:val="Compact"/>
              <w:jc w:val="left"/>
            </w:pPr>
            <w:r>
              <w:t xml:space="preserve">48M $</w:t>
            </w:r>
          </w:p>
        </w:tc>
        <w:tc>
          <w:tcPr/>
          <w:p>
            <w:pPr>
              <w:pStyle w:val="Compact"/>
            </w:pPr>
            <w:r>
              <w:t xml:space="preserve">4,6M $-7,0M $</w:t>
            </w:r>
          </w:p>
        </w:tc>
        <w:tc>
          <w:tcPr/>
          <w:p>
            <w:pPr>
              <w:pStyle w:val="Compact"/>
            </w:pPr>
            <w:r>
              <w:t xml:space="preserve">7-11 ans</w:t>
            </w:r>
          </w:p>
        </w:tc>
        <w:tc>
          <w:tcPr/>
          <w:p>
            <w:pPr>
              <w:pStyle w:val="Compact"/>
            </w:pPr>
            <w:r>
              <w:t xml:space="preserve">Charges de demande ; dégradation ; valeur de répartition</w:t>
            </w:r>
          </w:p>
        </w:tc>
      </w:tr>
      <w:tr>
        <w:tc>
          <w:tcPr/>
          <w:p>
            <w:pPr>
              <w:pStyle w:val="Compact"/>
              <w:jc w:val="left"/>
            </w:pPr>
            <w:r>
              <w:t xml:space="preserve">Batterie seule</w:t>
            </w:r>
          </w:p>
        </w:tc>
        <w:tc>
          <w:tcPr/>
          <w:p>
            <w:pPr>
              <w:pStyle w:val="Compact"/>
              <w:jc w:val="left"/>
            </w:pPr>
            <w:r>
              <w:t xml:space="preserve">18M $</w:t>
            </w:r>
          </w:p>
        </w:tc>
        <w:tc>
          <w:tcPr/>
          <w:p>
            <w:pPr>
              <w:pStyle w:val="Compact"/>
            </w:pPr>
            <w:r>
              <w:t xml:space="preserve">1,8M $-3,6M $</w:t>
            </w:r>
          </w:p>
        </w:tc>
        <w:tc>
          <w:tcPr/>
          <w:p>
            <w:pPr>
              <w:pStyle w:val="Compact"/>
            </w:pPr>
            <w:r>
              <w:t xml:space="preserve">5-10 ans</w:t>
            </w:r>
          </w:p>
        </w:tc>
        <w:tc>
          <w:tcPr/>
          <w:p>
            <w:pPr>
              <w:pStyle w:val="Compact"/>
            </w:pPr>
            <w:r>
              <w:t xml:space="preserve">Prévisibilité des pics ; règles du marché</w:t>
            </w:r>
          </w:p>
        </w:tc>
      </w:tr>
    </w:tbl>
    <w:p>
      <w:pPr>
        <w:pStyle w:val="BodyText"/>
      </w:pPr>
      <w:r>
        <w:t xml:space="preserve">Le directeur financier Daniel Brooks a remis en question la comparaison. Les estimations d’économies étaient produites par différents fournisseurs utilisant différentes prévisions d’électricité, hypothèses de financement, taux de dégradation, et définitions du coût évité. Certains modèles créditaient la batterie à la fois pour les économies de pointe de demande et pour la valeur de secours d’urgence, alors même que la même énergie stockée ne pouvait pas toujours servir les deux objectifs simultanément.</w:t>
      </w:r>
    </w:p>
    <w:bookmarkEnd w:id="15"/>
    <w:bookmarkStart w:id="16" w:name="X21f700a271ee097aa311841c080928b4c77744c"/>
    <w:p>
      <w:pPr>
        <w:pStyle w:val="Heading2"/>
      </w:pPr>
      <w:r>
        <w:t xml:space="preserve">3. Convertir la chaleur de procédé au gaz naturel</w:t>
      </w:r>
    </w:p>
    <w:p>
      <w:pPr>
        <w:pStyle w:val="FirstParagraph"/>
      </w:pPr>
      <w:r>
        <w:t xml:space="preserve">Le groupe d’ingénierie de Ridgeway a identifié sept fours électriques, deux systèmes de durcissement, et un système de chauffage d’eau de lavage comme candidats possibles à la conversion au gaz naturel. Ensemble, ils représentaient environ 26 gigawattheures d’utilisation annuelle d’électricité et 5,8 mégawatts de demande de pointe coïncidente. La conversion pourrait réduire l’exposition à l’électricité, mais elle augmenterait l’utilisation directe de carburant et les émissions.</w:t>
      </w:r>
    </w:p>
    <w:p>
      <w:pPr>
        <w:pStyle w:val="BodyText"/>
      </w:pPr>
      <w:r>
        <w:t xml:space="preserve">Les prix du gaz naturel avaient historiquement été volatils, et les prix de l’électricité et du gaz n’étaient pas indépendants car les générateurs alimentés au gaz influençaient souvent les prix de gros de l’électricité. Le fournisseur de gaz local a également averti que Ridgeway pourrait devoir financer une partie du renforcement d’un pipeline. Les permis environnementaux pourraient prendre 12 à 24 mois. Plusieurs clients avaient commencé à demander des informations sur les émissions au niveau des produits, suscitant l’inquiétude qu’une conversion au gaz pourrait entrer en conflit avec les futures exigences d’approvisionnement.</w:t>
      </w:r>
    </w:p>
    <w:bookmarkEnd w:id="16"/>
    <w:bookmarkEnd w:id="17"/>
    <w:bookmarkStart w:id="19" w:name="lalternative-de-délocalisation"/>
    <w:p>
      <w:pPr>
        <w:pStyle w:val="Heading1"/>
      </w:pPr>
      <w:r>
        <w:t xml:space="preserve">L’alternative de délocalisation</w:t>
      </w:r>
    </w:p>
    <w:p>
      <w:pPr>
        <w:pStyle w:val="FirstParagraph"/>
      </w:pPr>
      <w:r>
        <w:t xml:space="preserve">L’option la plus lourde de conséquences était de construire ou d’acquérir une usine dans une autre région. Le conseiller immobilier de Ridgeway a identifié trois emplacements préliminaires. Chacun avait des prix industriels de l’électricité actuels plus bas que le comté de Hamilton, des terrains industriels disponibles, et des incitations de développement économique de l’État. Aucun ne reproduisait la main-d’œuvre qualifiée de Hamilton, le réseau de fournisseurs, et la proximité des clients.</w:t>
      </w:r>
    </w:p>
    <w:bookmarkStart w:id="18" w:name="X8d6f7cabefe8fb68659890ed04aa3b9a6fa800c"/>
    <w:p>
      <w:pPr>
        <w:pStyle w:val="Heading2"/>
      </w:pPr>
      <w:r>
        <w:t xml:space="preserve">Exhibit 3. Comparaison préliminaire des emplacements</w:t>
      </w:r>
    </w:p>
    <w:tbl>
      <w:tblPr>
        <w:tblStyle w:val="Table"/>
        <w:tblW w:type="pct" w:w="4905"/>
        <w:tblLayout w:type="fixed"/>
        <w:tblLook w:firstRow="1" w:lastRow="0" w:firstColumn="0" w:lastColumn="0" w:noHBand="0" w:noVBand="0" w:val="0020"/>
      </w:tblPr>
      <w:tblGrid>
        <w:gridCol w:w="2640"/>
        <w:gridCol w:w="1357"/>
        <w:gridCol w:w="1357"/>
        <w:gridCol w:w="1206"/>
        <w:gridCol w:w="1206"/>
      </w:tblGrid>
      <w:tr>
        <w:trPr>
          <w:tblHeader w:val="on"/>
        </w:trPr>
        <w:tc>
          <w:tcPr/>
          <w:p>
            <w:pPr>
              <w:pStyle w:val="Compact"/>
              <w:jc w:val="left"/>
            </w:pPr>
            <w:r>
              <w:t xml:space="preserve">Facteur</w:t>
            </w:r>
          </w:p>
        </w:tc>
        <w:tc>
          <w:tcPr/>
          <w:p>
            <w:pPr>
              <w:pStyle w:val="Compact"/>
              <w:jc w:val="right"/>
            </w:pPr>
            <w:r>
              <w:t xml:space="preserve">Comté de Hamilton</w:t>
            </w:r>
          </w:p>
        </w:tc>
        <w:tc>
          <w:tcPr/>
          <w:p>
            <w:pPr>
              <w:pStyle w:val="Compact"/>
              <w:jc w:val="right"/>
            </w:pPr>
            <w:r>
              <w:t xml:space="preserve">État de Riverbe</w:t>
            </w:r>
          </w:p>
        </w:tc>
        <w:tc>
          <w:tcPr/>
          <w:p>
            <w:pPr>
              <w:pStyle w:val="Compact"/>
            </w:pPr>
            <w:r>
              <w:t xml:space="preserve">nd État de Pra</w:t>
            </w:r>
          </w:p>
        </w:tc>
        <w:tc>
          <w:tcPr/>
          <w:p>
            <w:pPr>
              <w:pStyle w:val="Compact"/>
            </w:pPr>
            <w:r>
              <w:t xml:space="preserve">irie État du Golfe</w:t>
            </w:r>
          </w:p>
        </w:tc>
      </w:tr>
      <w:tr>
        <w:tc>
          <w:tcPr/>
          <w:p>
            <w:pPr>
              <w:pStyle w:val="Compact"/>
              <w:jc w:val="left"/>
            </w:pPr>
            <w:r>
              <w:t xml:space="preserve">Électricité industrielle : tout com</w:t>
            </w:r>
          </w:p>
        </w:tc>
        <w:tc>
          <w:tcPr/>
          <w:p>
            <w:pPr>
              <w:pStyle w:val="Compact"/>
              <w:jc w:val="right"/>
            </w:pPr>
            <w:r>
              <w:t xml:space="preserve">pris actuel 116</w:t>
            </w:r>
            <w:r>
              <w:br/>
            </w:r>
          </w:p>
        </w:tc>
        <w:tc>
          <w:tcPr/>
          <w:p>
            <w:pPr>
              <w:pStyle w:val="Compact"/>
              <w:jc w:val="right"/>
            </w:pPr>
            <w:r>
              <w:t xml:space="preserve">$/MWh 73$</w:t>
            </w:r>
          </w:p>
        </w:tc>
        <w:tc>
          <w:tcPr/>
          <w:p>
            <w:pPr>
              <w:pStyle w:val="Compact"/>
            </w:pPr>
            <w:r>
              <w:t xml:space="preserve">/MWh 68</w:t>
            </w:r>
          </w:p>
        </w:tc>
        <w:tc>
          <w:tcPr/>
          <w:p>
            <w:pPr>
              <w:pStyle w:val="Compact"/>
            </w:pPr>
            <w:r>
              <w:t xml:space="preserve">$/MWh 79$/MWh</w:t>
            </w:r>
          </w:p>
        </w:tc>
      </w:tr>
      <w:tr>
        <w:tc>
          <w:tcPr/>
          <w:p>
            <w:pPr>
              <w:pStyle w:val="Compact"/>
              <w:jc w:val="left"/>
            </w:pPr>
            <w:r>
              <w:t xml:space="preserve">Incertitude tarifaire à 10 ans</w:t>
            </w:r>
          </w:p>
        </w:tc>
        <w:tc>
          <w:tcPr/>
          <w:p>
            <w:pPr>
              <w:pStyle w:val="Compact"/>
              <w:jc w:val="right"/>
            </w:pPr>
            <w:r>
              <w:t xml:space="preserve">Élevée</w:t>
            </w:r>
          </w:p>
        </w:tc>
        <w:tc>
          <w:tcPr/>
          <w:p>
            <w:pPr>
              <w:pStyle w:val="Compact"/>
              <w:jc w:val="right"/>
            </w:pPr>
            <w:r>
              <w:t xml:space="preserve">Moyenne</w:t>
            </w:r>
          </w:p>
        </w:tc>
        <w:tc>
          <w:tcPr/>
          <w:p>
            <w:pPr>
              <w:pStyle w:val="Compact"/>
            </w:pPr>
            <w:r>
              <w:t xml:space="preserve">Moyenne</w:t>
            </w:r>
          </w:p>
        </w:tc>
        <w:tc>
          <w:tcPr/>
          <w:p>
            <w:pPr>
              <w:pStyle w:val="Compact"/>
            </w:pPr>
            <w:r>
              <w:t xml:space="preserve">Élevée</w:t>
            </w:r>
          </w:p>
        </w:tc>
      </w:tr>
      <w:tr>
        <w:tc>
          <w:tcPr/>
          <w:p>
            <w:pPr>
              <w:pStyle w:val="Compact"/>
              <w:jc w:val="left"/>
            </w:pPr>
            <w:r>
              <w:t xml:space="preserve">Accès au gaz naturel</w:t>
            </w:r>
          </w:p>
        </w:tc>
        <w:tc>
          <w:tcPr/>
          <w:p>
            <w:pPr>
              <w:pStyle w:val="Compact"/>
              <w:jc w:val="right"/>
            </w:pPr>
            <w:r>
              <w:t xml:space="preserve">Adéquat</w:t>
            </w:r>
          </w:p>
        </w:tc>
        <w:tc>
          <w:tcPr/>
          <w:p>
            <w:pPr>
              <w:pStyle w:val="Compact"/>
              <w:jc w:val="right"/>
            </w:pPr>
            <w:r>
              <w:t xml:space="preserve">Fort</w:t>
            </w:r>
          </w:p>
        </w:tc>
        <w:tc>
          <w:tcPr/>
          <w:p>
            <w:pPr>
              <w:pStyle w:val="Compact"/>
            </w:pPr>
            <w:r>
              <w:t xml:space="preserve">Fort</w:t>
            </w:r>
          </w:p>
        </w:tc>
        <w:tc>
          <w:tcPr/>
          <w:p>
            <w:pPr>
              <w:pStyle w:val="Compact"/>
            </w:pPr>
            <w:r>
              <w:t xml:space="preserve">Fort</w:t>
            </w:r>
          </w:p>
        </w:tc>
      </w:tr>
      <w:tr>
        <w:tc>
          <w:tcPr/>
          <w:p>
            <w:pPr>
              <w:pStyle w:val="Compact"/>
              <w:jc w:val="left"/>
            </w:pPr>
            <w:r>
              <w:t xml:space="preserve">Investissement estimé pour nouvelle</w:t>
            </w:r>
          </w:p>
        </w:tc>
        <w:tc>
          <w:tcPr/>
          <w:p>
            <w:pPr>
              <w:pStyle w:val="Compact"/>
              <w:jc w:val="right"/>
            </w:pPr>
            <w:r>
              <w:t xml:space="preserve">usine S.O.</w:t>
            </w:r>
          </w:p>
        </w:tc>
        <w:tc>
          <w:tcPr/>
          <w:p>
            <w:pPr>
              <w:pStyle w:val="Compact"/>
              <w:jc w:val="right"/>
            </w:pPr>
            <w:r>
              <w:t xml:space="preserve">410M</w:t>
            </w:r>
            <w:r>
              <w:br/>
            </w:r>
          </w:p>
        </w:tc>
        <w:tc>
          <w:tcPr/>
          <w:p>
            <w:pPr>
              <w:pStyle w:val="Compact"/>
            </w:pPr>
            <w:r>
              <w:t xml:space="preserve">$ 385M</w:t>
            </w:r>
          </w:p>
        </w:tc>
        <w:tc>
          <w:tcPr/>
          <w:p>
            <w:pPr>
              <w:pStyle w:val="Compact"/>
            </w:pPr>
            <w:r>
              <w:t xml:space="preserve">$ 430M $</w:t>
            </w:r>
          </w:p>
        </w:tc>
      </w:tr>
      <w:tr>
        <w:tc>
          <w:tcPr/>
          <w:p>
            <w:pPr>
              <w:pStyle w:val="Compact"/>
              <w:jc w:val="left"/>
            </w:pPr>
            <w:r>
              <w:t xml:space="preserve">Période de transition</w:t>
            </w:r>
          </w:p>
        </w:tc>
        <w:tc>
          <w:tcPr/>
          <w:p>
            <w:pPr>
              <w:pStyle w:val="Compact"/>
              <w:jc w:val="right"/>
            </w:pPr>
            <w:r>
              <w:t xml:space="preserve">S.O.</w:t>
            </w:r>
          </w:p>
        </w:tc>
        <w:tc>
          <w:tcPr/>
          <w:p>
            <w:pPr>
              <w:pStyle w:val="Compact"/>
              <w:jc w:val="right"/>
            </w:pPr>
            <w:r>
              <w:t xml:space="preserve">4-5 ans</w:t>
            </w:r>
          </w:p>
        </w:tc>
        <w:tc>
          <w:tcPr/>
          <w:p>
            <w:pPr>
              <w:pStyle w:val="Compact"/>
            </w:pPr>
            <w:r>
              <w:t xml:space="preserve">4-6 ans</w:t>
            </w:r>
          </w:p>
        </w:tc>
        <w:tc>
          <w:tcPr/>
          <w:p>
            <w:pPr>
              <w:pStyle w:val="Compact"/>
            </w:pPr>
            <w:r>
              <w:t xml:space="preserve">4-5 ans</w:t>
            </w:r>
          </w:p>
        </w:tc>
      </w:tr>
      <w:tr>
        <w:tc>
          <w:tcPr/>
          <w:p>
            <w:pPr>
              <w:pStyle w:val="Compact"/>
              <w:jc w:val="left"/>
            </w:pPr>
            <w:r>
              <w:t xml:space="preserve">Disponibilité de main-d’œuvre quali</w:t>
            </w:r>
          </w:p>
        </w:tc>
        <w:tc>
          <w:tcPr/>
          <w:p>
            <w:pPr>
              <w:pStyle w:val="Compact"/>
              <w:jc w:val="right"/>
            </w:pPr>
            <w:r>
              <w:t xml:space="preserve">fiée Forte</w:t>
            </w:r>
          </w:p>
        </w:tc>
        <w:tc>
          <w:tcPr/>
          <w:p>
            <w:pPr>
              <w:pStyle w:val="Compact"/>
              <w:jc w:val="right"/>
            </w:pPr>
            <w:r>
              <w:t xml:space="preserve">Modérée</w:t>
            </w:r>
          </w:p>
        </w:tc>
        <w:tc>
          <w:tcPr/>
          <w:p>
            <w:pPr>
              <w:pStyle w:val="Compact"/>
            </w:pPr>
            <w:r>
              <w:t xml:space="preserve">Limitée</w:t>
            </w:r>
          </w:p>
        </w:tc>
        <w:tc>
          <w:tcPr/>
          <w:p>
            <w:pPr>
              <w:pStyle w:val="Compact"/>
            </w:pPr>
            <w:r>
              <w:t xml:space="preserve">Modérée</w:t>
            </w:r>
          </w:p>
        </w:tc>
      </w:tr>
      <w:tr>
        <w:tc>
          <w:tcPr/>
          <w:p>
            <w:pPr>
              <w:pStyle w:val="Compact"/>
              <w:jc w:val="left"/>
            </w:pPr>
            <w:r>
              <w:t xml:space="preserve">Effet fret client Ré</w:t>
            </w:r>
          </w:p>
        </w:tc>
        <w:tc>
          <w:tcPr/>
          <w:p>
            <w:pPr>
              <w:pStyle w:val="Compact"/>
              <w:jc w:val="right"/>
            </w:pPr>
            <w:r>
              <w:t xml:space="preserve">férence +7</w:t>
            </w:r>
          </w:p>
        </w:tc>
        <w:tc>
          <w:tcPr/>
          <w:p>
            <w:pPr>
              <w:pStyle w:val="Compact"/>
              <w:jc w:val="right"/>
            </w:pPr>
            <w:r>
              <w:t xml:space="preserve">M $/an +13M</w:t>
            </w:r>
            <w:r>
              <w:br/>
            </w:r>
          </w:p>
        </w:tc>
        <w:tc>
          <w:tcPr/>
          <w:p>
            <w:pPr>
              <w:pStyle w:val="Compact"/>
            </w:pPr>
            <w:r>
              <w:t xml:space="preserve">$/an +9M $/</w:t>
            </w:r>
          </w:p>
        </w:tc>
        <w:tc>
          <w:tcPr/>
          <w:p>
            <w:pPr>
              <w:pStyle w:val="Compact"/>
            </w:pPr>
            <w:r>
              <w:t xml:space="preserve">an</w:t>
            </w:r>
          </w:p>
        </w:tc>
      </w:tr>
      <w:tr>
        <w:tc>
          <w:tcPr/>
          <w:p>
            <w:pPr>
              <w:pStyle w:val="Compact"/>
              <w:jc w:val="left"/>
            </w:pPr>
            <w:r>
              <w:t xml:space="preserve">Incitations État/local</w:t>
            </w:r>
          </w:p>
        </w:tc>
        <w:tc>
          <w:tcPr/>
          <w:p>
            <w:pPr>
              <w:pStyle w:val="Compact"/>
              <w:jc w:val="right"/>
            </w:pPr>
            <w:r>
              <w:t xml:space="preserve">Limitées</w:t>
            </w:r>
          </w:p>
        </w:tc>
        <w:tc>
          <w:tcPr/>
          <w:p>
            <w:pPr>
              <w:pStyle w:val="Compact"/>
              <w:jc w:val="right"/>
            </w:pPr>
            <w:r>
              <w:t xml:space="preserve">54M $</w:t>
            </w:r>
          </w:p>
        </w:tc>
        <w:tc>
          <w:tcPr/>
          <w:p>
            <w:pPr>
              <w:pStyle w:val="Compact"/>
            </w:pPr>
            <w:r>
              <w:t xml:space="preserve">72M $</w:t>
            </w:r>
          </w:p>
        </w:tc>
        <w:tc>
          <w:tcPr/>
          <w:p>
            <w:pPr>
              <w:pStyle w:val="Compact"/>
            </w:pPr>
            <w:r>
              <w:t xml:space="preserve">61M $</w:t>
            </w:r>
          </w:p>
        </w:tc>
      </w:tr>
      <w:tr>
        <w:tc>
          <w:tcPr/>
          <w:p>
            <w:pPr>
              <w:pStyle w:val="Compact"/>
              <w:jc w:val="left"/>
            </w:pPr>
            <w:r>
              <w:t xml:space="preserve">Exposition météorologique</w:t>
            </w:r>
          </w:p>
        </w:tc>
        <w:tc>
          <w:tcPr/>
          <w:p>
            <w:pPr>
              <w:pStyle w:val="Compact"/>
              <w:jc w:val="right"/>
            </w:pPr>
            <w:r>
              <w:t xml:space="preserve">Modérée</w:t>
            </w:r>
          </w:p>
        </w:tc>
        <w:tc>
          <w:tcPr/>
          <w:p>
            <w:pPr>
              <w:pStyle w:val="Compact"/>
              <w:jc w:val="right"/>
            </w:pPr>
            <w:r>
              <w:t xml:space="preserve">Inondati</w:t>
            </w:r>
          </w:p>
        </w:tc>
        <w:tc>
          <w:tcPr/>
          <w:p>
            <w:pPr>
              <w:pStyle w:val="Compact"/>
            </w:pPr>
            <w:r>
              <w:t xml:space="preserve">on Tempêt</w:t>
            </w:r>
          </w:p>
        </w:tc>
        <w:tc>
          <w:tcPr/>
          <w:p>
            <w:pPr>
              <w:pStyle w:val="Compact"/>
            </w:pPr>
            <w:r>
              <w:t xml:space="preserve">es hivernales Ouragans</w:t>
            </w:r>
          </w:p>
        </w:tc>
      </w:tr>
    </w:tbl>
    <w:p>
      <w:pPr>
        <w:pStyle w:val="BodyText"/>
      </w:pPr>
      <w:r>
        <w:t xml:space="preserve">Un déménagement complet n’était pas la seule alternative de réseau. Ridgeway pourrait délocaliser uniquement les procédés les plus intensifs en énergie, ajouter une seconde usine, externaliser le traitement thermique, ou construire une nouvelle capacité ailleurs tout en réduisant progressivement le rôle de Hamilton. Chaque approche créait des coûts de coordination, des stocks dupliqués, et des défis de contrôle qualité. Les clients dans des industries réglementées pourraient exiger des mois de validation avant d’accepter des produits provenant d’une nouvelle installation.</w:t>
      </w:r>
    </w:p>
    <w:p>
      <w:pPr>
        <w:pStyle w:val="BodyText"/>
      </w:pPr>
      <w:r>
        <w:t xml:space="preserve">Les ressources humaines estimaient que moins de 20% des employés de Hamilton se relocaliseraient. Le remplacement de soudeurs, machinistes, inspecteurs, spécialistes de la maintenance, et superviseurs de production expérimentés pourrait allonger la période de montée en puissance. La communauté de Hamilton avait soutenu Ridgeway lors de ralentissements antérieurs, et les responsables locaux avertissaient qu’une fermeture affecterait les fournisseurs, les écoles, et les finances municipales.</w:t>
      </w:r>
    </w:p>
    <w:bookmarkEnd w:id="18"/>
    <w:bookmarkEnd w:id="19"/>
    <w:bookmarkStart w:id="21" w:name="Xc213d9b9fb5f57a0e3d24a019fe60339afc64df"/>
    <w:p>
      <w:pPr>
        <w:pStyle w:val="Heading1"/>
      </w:pPr>
      <w:r>
        <w:t xml:space="preserve">Quel était le problème que Ridgeway résolvait ?</w:t>
      </w:r>
    </w:p>
    <w:p>
      <w:pPr>
        <w:pStyle w:val="FirstParagraph"/>
      </w:pPr>
      <w:r>
        <w:t xml:space="preserve">L’équipe de direction n’était pas d’accord sur l’objectif. Brooks présentait le problème comme la minimisation de la valeur actuelle des coûts d’énergie et de transition. Shah mettait l’accent sur la réduction de la demande de pointe et la résilience. Le responsable de la fabrication voulait protéger le débit, la qualité, et le service client. Le directeur du développement durable soutenait que les décisions de capital devraient être cohérentes avec les probables exigences futures d’émissions des clients. Le directeur de la stratégie considérait la question de l’électricité comme un élément d’une question plus large : si Hamilton demeurait le bon emplacement pour la prochaine génération de technologie de production de Ridgeway.</w:t>
      </w:r>
    </w:p>
    <w:p>
      <w:pPr>
        <w:pStyle w:val="BodyText"/>
      </w:pPr>
      <w:r>
        <w:t xml:space="preserve">Le choix de l’objectif changeait l’analyse. Un projet de solaire et de stockage pourrait avoir un rendement financier inférieur à un projet d’efficacité mais offrir plus de protection contre les pannes. La conversion au gaz naturel pourrait réduire le coût à court terme mais augmenter l’exposition à la réglementation du carbone. La délocalisation pourrait offrir des prix d’électricité plus bas tout en créant des coûts de fret, de main-d’œuvre, et d’exécution plus élevés. Une décision fondée sur les tarifs actuels pourrait sembler différente d’une décision fondée sur la flexibilité de répondre aux conditions futures.</w:t>
      </w:r>
    </w:p>
    <w:bookmarkStart w:id="20" w:name="mesures-proposées-par-léquipe-de-projet"/>
    <w:p>
      <w:pPr>
        <w:pStyle w:val="Heading2"/>
      </w:pPr>
      <w:r>
        <w:t xml:space="preserve">Mesures proposées par l’équipe de projet</w:t>
      </w:r>
    </w:p>
    <w:p>
      <w:pPr>
        <w:numPr>
          <w:ilvl w:val="0"/>
          <w:numId w:val="1001"/>
        </w:numPr>
      </w:pPr>
      <w:r>
        <w:t xml:space="preserve">Valeur actuelle nette et besoins de trésorerie annuels sur des horizons de 5, 10, 15, et 20 ans.</w:t>
      </w:r>
    </w:p>
    <w:p>
      <w:pPr>
        <w:numPr>
          <w:ilvl w:val="0"/>
          <w:numId w:val="1001"/>
        </w:numPr>
      </w:pPr>
      <w:r>
        <w:t xml:space="preserve">Coût de fabrication par unité, incluant l’énergie, la main-d’œuvre, le fret, les stocks, et les effets de transition.</w:t>
      </w:r>
    </w:p>
    <w:p>
      <w:pPr>
        <w:numPr>
          <w:ilvl w:val="0"/>
          <w:numId w:val="1001"/>
        </w:numPr>
      </w:pPr>
      <w:r>
        <w:t xml:space="preserve">Heures de production perdues attendues et valeur d’une résilience améliorée.</w:t>
      </w:r>
    </w:p>
    <w:p>
      <w:pPr>
        <w:numPr>
          <w:ilvl w:val="0"/>
          <w:numId w:val="1001"/>
        </w:numPr>
      </w:pPr>
      <w:r>
        <w:t xml:space="preserve">Émissions de gaz à effet de serre et exposition aux futures exigences clients ou réglementaires.</w:t>
      </w:r>
    </w:p>
    <w:p>
      <w:pPr>
        <w:numPr>
          <w:ilvl w:val="0"/>
          <w:numId w:val="1001"/>
        </w:numPr>
      </w:pPr>
      <w:r>
        <w:t xml:space="preserve">Délai de mise en œuvre, probabilité de retard, et probabilité de dépassement de coût.</w:t>
      </w:r>
    </w:p>
    <w:p>
      <w:pPr>
        <w:numPr>
          <w:ilvl w:val="0"/>
          <w:numId w:val="1001"/>
        </w:numPr>
      </w:pPr>
      <w:r>
        <w:t xml:space="preserve">Réversibilité : la capacité d’étendre, d’arrêter, ou de rediriger l’investissement à mesure que les conditions changent.</w:t>
      </w:r>
    </w:p>
    <w:p>
      <w:pPr>
        <w:numPr>
          <w:ilvl w:val="0"/>
          <w:numId w:val="1001"/>
        </w:numPr>
      </w:pPr>
      <w:r>
        <w:t xml:space="preserve">Effets sur les employés, les fournisseurs, les clients, et la communauté de Hamilton.</w:t>
      </w:r>
    </w:p>
    <w:bookmarkEnd w:id="20"/>
    <w:bookmarkEnd w:id="21"/>
    <w:bookmarkStart w:id="24" w:name="lincertitude-dans-toutes-les-directions"/>
    <w:p>
      <w:pPr>
        <w:pStyle w:val="Heading1"/>
      </w:pPr>
      <w:r>
        <w:t xml:space="preserve">L’incertitude dans toutes les directions</w:t>
      </w:r>
    </w:p>
    <w:p>
      <w:pPr>
        <w:pStyle w:val="FirstParagraph"/>
      </w:pPr>
      <w:r>
        <w:t xml:space="preserve">L’équipe de projet a développé trois scénarios de tarifs d’électricité mais n’a pas pu s’accorder sur les probabilités. Le scénario haut du fournisseur d’électricité supposait une croissance rapide des centres de données et un investissement substantiel en transmission. Son scénario bas supposait que les grands nouveaux utilisateurs financeraient une plus grande part de l’infrastructure requise et que plusieurs projets proposés seraient retardés ou annulés. Les consultants de Ridgeway ont ajouté une quatrième possibilité : les régulateurs régionaux pourraient introduire un tarif spécial pour les très grandes nouvelles charges, réduisant la pression sur les coûts pour les clients existants.</w:t>
      </w:r>
    </w:p>
    <w:bookmarkStart w:id="22" w:name="X1640781f5fdad3960ab3e234b6f5329d46c140b"/>
    <w:p>
      <w:pPr>
        <w:pStyle w:val="Heading2"/>
      </w:pPr>
      <w:r>
        <w:t xml:space="preserve">Exhibit 4. Scénarios de tarifs d’électricité de Hamilton</w:t>
      </w:r>
    </w:p>
    <w:tbl>
      <w:tblPr>
        <w:tblStyle w:val="Table"/>
        <w:tblW w:type="pct" w:w="4921"/>
        <w:tblLayout w:type="fixed"/>
        <w:tblLook w:firstRow="1" w:lastRow="0" w:firstColumn="0" w:lastColumn="0" w:noHBand="0" w:noVBand="0" w:val="0020"/>
      </w:tblPr>
      <w:tblGrid>
        <w:gridCol w:w="1194"/>
        <w:gridCol w:w="1194"/>
        <w:gridCol w:w="1194"/>
        <w:gridCol w:w="4211"/>
      </w:tblGrid>
      <w:tr>
        <w:trPr>
          <w:tblHeader w:val="on"/>
        </w:trPr>
        <w:tc>
          <w:tcPr/>
          <w:p>
            <w:pPr>
              <w:pStyle w:val="Compact"/>
              <w:jc w:val="left"/>
            </w:pPr>
            <w:r>
              <w:t xml:space="preserve">Scénario</w:t>
            </w:r>
          </w:p>
        </w:tc>
        <w:tc>
          <w:tcPr/>
          <w:p>
            <w:pPr>
              <w:pStyle w:val="Compact"/>
            </w:pPr>
            <w:r>
              <w:t xml:space="preserve">Tarif tout compris</w:t>
            </w:r>
          </w:p>
        </w:tc>
        <w:tc>
          <w:tcPr/>
          <w:p>
            <w:pPr>
              <w:pStyle w:val="Compact"/>
            </w:pPr>
            <w:r>
              <w:t xml:space="preserve">2030 Tarif tout c</w:t>
            </w:r>
          </w:p>
        </w:tc>
        <w:tc>
          <w:tcPr/>
          <w:p>
            <w:pPr>
              <w:pStyle w:val="Compact"/>
              <w:jc w:val="left"/>
            </w:pPr>
            <w:r>
              <w:t xml:space="preserve">ompris 2035 Description</w:t>
            </w:r>
          </w:p>
        </w:tc>
      </w:tr>
      <w:tr>
        <w:tc>
          <w:tcPr/>
          <w:p>
            <w:pPr>
              <w:pStyle w:val="Compact"/>
              <w:jc w:val="left"/>
            </w:pPr>
            <w:r>
              <w:t xml:space="preserve">Répit 1</w:t>
            </w:r>
          </w:p>
        </w:tc>
        <w:tc>
          <w:tcPr/>
          <w:p>
            <w:pPr>
              <w:pStyle w:val="Compact"/>
            </w:pPr>
            <w:r>
              <w:t xml:space="preserve">24$/MWh 1</w:t>
            </w:r>
          </w:p>
        </w:tc>
        <w:tc>
          <w:tcPr/>
          <w:p>
            <w:pPr>
              <w:pStyle w:val="Compact"/>
            </w:pPr>
            <w:r>
              <w:t xml:space="preserve">30$/MWh N</w:t>
            </w:r>
          </w:p>
        </w:tc>
        <w:tc>
          <w:tcPr/>
          <w:p>
            <w:pPr>
              <w:pStyle w:val="Compact"/>
              <w:jc w:val="left"/>
            </w:pPr>
            <w:r>
              <w:t xml:space="preserve">ouveaux tarifs de grande charge et construction plus lente de centres de données</w:t>
            </w:r>
          </w:p>
        </w:tc>
      </w:tr>
      <w:tr>
        <w:tc>
          <w:tcPr/>
          <w:p>
            <w:pPr>
              <w:pStyle w:val="Compact"/>
              <w:jc w:val="left"/>
            </w:pPr>
            <w:r>
              <w:t xml:space="preserve">Croissance gérée</w:t>
            </w:r>
          </w:p>
        </w:tc>
        <w:tc>
          <w:tcPr/>
          <w:p>
            <w:pPr>
              <w:pStyle w:val="Compact"/>
            </w:pPr>
            <w:r>
              <w:t xml:space="preserve">145$/MWh</w:t>
            </w:r>
          </w:p>
        </w:tc>
        <w:tc>
          <w:tcPr/>
          <w:p>
            <w:pPr>
              <w:pStyle w:val="Compact"/>
            </w:pPr>
            <w:r>
              <w:t xml:space="preserve">158$/MWh</w:t>
            </w:r>
          </w:p>
        </w:tc>
        <w:tc>
          <w:tcPr/>
          <w:p>
            <w:pPr>
              <w:pStyle w:val="Compact"/>
              <w:jc w:val="left"/>
            </w:pPr>
            <w:r>
              <w:t xml:space="preserve">Investissement en réseau réparti entre les clients ; croissance de la demande modérée</w:t>
            </w:r>
          </w:p>
        </w:tc>
      </w:tr>
      <w:tr>
        <w:tc>
          <w:tcPr/>
          <w:p>
            <w:pPr>
              <w:pStyle w:val="Compact"/>
              <w:jc w:val="left"/>
            </w:pPr>
            <w:r>
              <w:t xml:space="preserve">Pénurie de capacité</w:t>
            </w:r>
          </w:p>
        </w:tc>
        <w:tc>
          <w:tcPr/>
          <w:p>
            <w:pPr>
              <w:pStyle w:val="Compact"/>
            </w:pPr>
            <w:r>
              <w:t xml:space="preserve">171$/MWh</w:t>
            </w:r>
          </w:p>
        </w:tc>
        <w:tc>
          <w:tcPr/>
          <w:p>
            <w:pPr>
              <w:pStyle w:val="Compact"/>
            </w:pPr>
            <w:r>
              <w:t xml:space="preserve">198$/MWh</w:t>
            </w:r>
          </w:p>
        </w:tc>
        <w:tc>
          <w:tcPr/>
          <w:p>
            <w:pPr>
              <w:pStyle w:val="Compact"/>
              <w:jc w:val="left"/>
            </w:pPr>
            <w:r>
              <w:t xml:space="preserve">Ajouts rapides de charge, retards de transmission, charges de capacité élevées</w:t>
            </w:r>
          </w:p>
        </w:tc>
      </w:tr>
      <w:tr>
        <w:tc>
          <w:tcPr/>
          <w:p>
            <w:pPr>
              <w:pStyle w:val="Compact"/>
              <w:jc w:val="left"/>
            </w:pPr>
            <w:r>
              <w:t xml:space="preserve">Réseau volatil</w:t>
            </w:r>
          </w:p>
        </w:tc>
        <w:tc>
          <w:tcPr/>
          <w:p>
            <w:pPr>
              <w:pStyle w:val="Compact"/>
            </w:pPr>
            <w:r>
              <w:t xml:space="preserve">135-190$/MWh</w:t>
            </w:r>
          </w:p>
        </w:tc>
        <w:tc>
          <w:tcPr/>
          <w:p>
            <w:pPr>
              <w:pStyle w:val="Compact"/>
            </w:pPr>
            <w:r>
              <w:t xml:space="preserve">140-220$/MWh</w:t>
            </w:r>
          </w:p>
        </w:tc>
        <w:tc>
          <w:tcPr/>
          <w:p>
            <w:pPr>
              <w:pStyle w:val="Compact"/>
              <w:jc w:val="left"/>
            </w:pPr>
            <w:r>
              <w:t xml:space="preserve">Pics de prix fréquents et structures tarifaires changeantes</w:t>
            </w:r>
          </w:p>
        </w:tc>
      </w:tr>
    </w:tbl>
    <w:p>
      <w:pPr>
        <w:pStyle w:val="BodyText"/>
      </w:pPr>
      <w:r>
        <w:t xml:space="preserve">Les prévisions de gaz naturel étaient tout aussi incertaines. Le modèle d’ingénierie utilisait un prix livré de 6,40 $ par million de Btu, augmentant de 2,5% par an. La finance a demandé des sensibilités à 4$, 8$, et 12$. L’équipe de développement durable a demandé un scénario de coût du carbone. Les opérations ont demandé si le service de gaz serait réduit lors de conditions météorologiques hivernales extrêmes.</w:t>
      </w:r>
    </w:p>
    <w:p>
      <w:pPr>
        <w:pStyle w:val="BodyText"/>
      </w:pPr>
      <w:r>
        <w:t xml:space="preserve">Les hypothèses technologiques et politiques comptaient également. Les offres de solaire et de batterie pourraient changer avant l’approbation d’interconnexion. Les incitations fiscales pourraient être modifiées. La performance de la batterie dépendrait des modèles de cyclage et de la température. Un nouveau procédé de fabrication en développement pourrait réduire l’utilisation des fours de 40% — ou ne pas être qualifié auprès des clients. Le plus grand client de Ridgeway négociait un contrat de cinq ans qui pourrait augmenter le volume de Hamilton de 18%, mais l’attribution n’était pas assurée.</w:t>
      </w:r>
    </w:p>
    <w:bookmarkEnd w:id="22"/>
    <w:bookmarkStart w:id="23" w:name="X6e96a872fbaeb224737d0fb4ef2479d62b14f9c"/>
    <w:p>
      <w:pPr>
        <w:pStyle w:val="Heading2"/>
      </w:pPr>
      <w:r>
        <w:t xml:space="preserve">Exhibit 5. Incertitudes clés et décisions potentiellement affectées</w:t>
      </w:r>
    </w:p>
    <w:tbl>
      <w:tblPr>
        <w:tblStyle w:val="Table"/>
        <w:tblW w:type="pct" w:w="4938"/>
        <w:tblLayout w:type="fixed"/>
        <w:tblLook w:firstRow="1" w:lastRow="0" w:firstColumn="0" w:lastColumn="0" w:noHBand="0" w:noVBand="0" w:val="0020"/>
      </w:tblPr>
      <w:tblGrid>
        <w:gridCol w:w="1672"/>
        <w:gridCol w:w="1721"/>
        <w:gridCol w:w="2164"/>
        <w:gridCol w:w="2262"/>
      </w:tblGrid>
      <w:tr>
        <w:trPr>
          <w:tblHeader w:val="on"/>
        </w:trPr>
        <w:tc>
          <w:tcPr/>
          <w:p>
            <w:pPr>
              <w:pStyle w:val="Compact"/>
              <w:jc w:val="left"/>
            </w:pPr>
            <w:r>
              <w:t xml:space="preserve">Incertitude</w:t>
            </w:r>
          </w:p>
        </w:tc>
        <w:tc>
          <w:tcPr/>
          <w:p>
            <w:pPr>
              <w:pStyle w:val="Compact"/>
              <w:jc w:val="left"/>
            </w:pPr>
            <w:r>
              <w:t xml:space="preserve">Résultat bas/alternatif</w:t>
            </w:r>
          </w:p>
        </w:tc>
        <w:tc>
          <w:tcPr/>
          <w:p>
            <w:pPr>
              <w:pStyle w:val="Compact"/>
              <w:jc w:val="left"/>
            </w:pPr>
            <w:r>
              <w:t xml:space="preserve">Résultat élevé/alternatif</w:t>
            </w:r>
          </w:p>
        </w:tc>
        <w:tc>
          <w:tcPr/>
          <w:p>
            <w:pPr>
              <w:pStyle w:val="Compact"/>
              <w:jc w:val="center"/>
            </w:pPr>
            <w:r>
              <w:t xml:space="preserve">Décisions les plus affectées</w:t>
            </w:r>
          </w:p>
        </w:tc>
      </w:tr>
      <w:tr>
        <w:tc>
          <w:tcPr/>
          <w:p>
            <w:pPr>
              <w:pStyle w:val="Compact"/>
              <w:jc w:val="left"/>
            </w:pPr>
            <w:r>
              <w:t xml:space="preserve">Tarifs régionaux d’électricité</w:t>
            </w:r>
          </w:p>
        </w:tc>
        <w:tc>
          <w:tcPr/>
          <w:p>
            <w:pPr>
              <w:pStyle w:val="Compact"/>
              <w:jc w:val="left"/>
            </w:pPr>
            <w:r>
              <w:t xml:space="preserve">Les coûts se stabilisent</w:t>
            </w:r>
          </w:p>
        </w:tc>
        <w:tc>
          <w:tcPr/>
          <w:p>
            <w:pPr>
              <w:pStyle w:val="Compact"/>
              <w:jc w:val="left"/>
            </w:pPr>
            <w:r>
              <w:t xml:space="preserve">Les tarifs et charges de demande</w:t>
            </w:r>
          </w:p>
        </w:tc>
        <w:tc>
          <w:tcPr/>
          <w:p>
            <w:pPr>
              <w:pStyle w:val="Compact"/>
              <w:jc w:val="center"/>
            </w:pPr>
            <w:r>
              <w:t xml:space="preserve">augmentent fortement Délocalisation, solaire, stockage, efficacité</w:t>
            </w:r>
          </w:p>
        </w:tc>
      </w:tr>
      <w:tr>
        <w:tc>
          <w:tcPr/>
          <w:p>
            <w:pPr>
              <w:pStyle w:val="Compact"/>
              <w:jc w:val="left"/>
            </w:pPr>
            <w:r>
              <w:t xml:space="preserve">Prix du gaz naturel</w:t>
            </w:r>
          </w:p>
        </w:tc>
        <w:tc>
          <w:tcPr/>
          <w:p>
            <w:pPr>
              <w:pStyle w:val="Compact"/>
              <w:jc w:val="left"/>
            </w:pPr>
            <w:r>
              <w:t xml:space="preserve">Offre abondante ; prix modérés L</w:t>
            </w:r>
          </w:p>
        </w:tc>
        <w:tc>
          <w:tcPr/>
          <w:p>
            <w:pPr>
              <w:pStyle w:val="Compact"/>
              <w:jc w:val="left"/>
            </w:pPr>
            <w:r>
              <w:t xml:space="preserve">a demande d’exportation ou la perturbation a</w:t>
            </w:r>
          </w:p>
        </w:tc>
        <w:tc>
          <w:tcPr/>
          <w:p>
            <w:pPr>
              <w:pStyle w:val="Compact"/>
              <w:jc w:val="center"/>
            </w:pPr>
            <w:r>
              <w:t xml:space="preserve">ugmente les prix Conversion de procédé, cogénération</w:t>
            </w:r>
          </w:p>
        </w:tc>
      </w:tr>
      <w:tr>
        <w:tc>
          <w:tcPr/>
          <w:p>
            <w:pPr>
              <w:pStyle w:val="Compact"/>
              <w:jc w:val="left"/>
            </w:pPr>
            <w:r>
              <w:t xml:space="preserve">Demande de production</w:t>
            </w:r>
          </w:p>
        </w:tc>
        <w:tc>
          <w:tcPr/>
          <w:p>
            <w:pPr>
              <w:pStyle w:val="Compact"/>
              <w:jc w:val="left"/>
            </w:pPr>
            <w:r>
              <w:t xml:space="preserve">Stable ou en déclin</w:t>
            </w:r>
          </w:p>
        </w:tc>
        <w:tc>
          <w:tcPr/>
          <w:p>
            <w:pPr>
              <w:pStyle w:val="Compact"/>
              <w:jc w:val="left"/>
            </w:pPr>
            <w:r>
              <w:t xml:space="preserve">Attribution d’un client majeur ; croi</w:t>
            </w:r>
          </w:p>
        </w:tc>
        <w:tc>
          <w:tcPr/>
          <w:p>
            <w:pPr>
              <w:pStyle w:val="Compact"/>
              <w:jc w:val="center"/>
            </w:pPr>
            <w:r>
              <w:t xml:space="preserve">ssance de 18% Dimensionnement de l’usine, délocalisation, échelle solaire</w:t>
            </w:r>
          </w:p>
        </w:tc>
      </w:tr>
      <w:tr>
        <w:tc>
          <w:tcPr/>
          <w:p>
            <w:pPr>
              <w:pStyle w:val="Compact"/>
              <w:jc w:val="left"/>
            </w:pPr>
            <w:r>
              <w:t xml:space="preserve">Exigences d’émissions des clients</w:t>
            </w:r>
          </w:p>
        </w:tc>
        <w:tc>
          <w:tcPr/>
          <w:p>
            <w:pPr>
              <w:pStyle w:val="Compact"/>
              <w:jc w:val="left"/>
            </w:pPr>
            <w:r>
              <w:t xml:space="preserve">Rapport volontaire S</w:t>
            </w:r>
          </w:p>
        </w:tc>
        <w:tc>
          <w:tcPr/>
          <w:p>
            <w:pPr>
              <w:pStyle w:val="Compact"/>
              <w:jc w:val="left"/>
            </w:pPr>
            <w:r>
              <w:t xml:space="preserve">euils d’approvisionnement contraignants</w:t>
            </w:r>
          </w:p>
        </w:tc>
        <w:tc>
          <w:tcPr/>
          <w:p>
            <w:pPr>
              <w:pStyle w:val="Compact"/>
              <w:jc w:val="center"/>
            </w:pPr>
            <w:r>
              <w:t xml:space="preserve">Gaz naturel, délocalisation, approvisionnement renouvelable</w:t>
            </w:r>
          </w:p>
        </w:tc>
      </w:tr>
      <w:tr>
        <w:tc>
          <w:tcPr/>
          <w:p>
            <w:pPr>
              <w:pStyle w:val="Compact"/>
              <w:jc w:val="left"/>
            </w:pPr>
            <w:r>
              <w:t xml:space="preserve">Délai d’interconnexion</w:t>
            </w:r>
          </w:p>
        </w:tc>
        <w:tc>
          <w:tcPr/>
          <w:p>
            <w:pPr>
              <w:pStyle w:val="Compact"/>
              <w:jc w:val="left"/>
            </w:pPr>
            <w:r>
              <w:t xml:space="preserve">18 mois 4</w:t>
            </w:r>
          </w:p>
        </w:tc>
        <w:tc>
          <w:tcPr/>
          <w:p>
            <w:pPr>
              <w:pStyle w:val="Compact"/>
              <w:jc w:val="left"/>
            </w:pPr>
            <w:r>
              <w:t xml:space="preserve">+ ans et coût majeur de mise à niveau</w:t>
            </w:r>
          </w:p>
        </w:tc>
        <w:tc>
          <w:tcPr/>
          <w:p>
            <w:pPr>
              <w:pStyle w:val="Compact"/>
              <w:jc w:val="center"/>
            </w:pPr>
            <w:r>
              <w:t xml:space="preserve">Solaire et batterie</w:t>
            </w:r>
          </w:p>
        </w:tc>
      </w:tr>
      <w:tr>
        <w:tc>
          <w:tcPr/>
          <w:p>
            <w:pPr>
              <w:pStyle w:val="Compact"/>
              <w:jc w:val="left"/>
            </w:pPr>
            <w:r>
              <w:t xml:space="preserve">Nouvelle technologie de procédé</w:t>
            </w:r>
          </w:p>
        </w:tc>
        <w:tc>
          <w:tcPr/>
          <w:p>
            <w:pPr>
              <w:pStyle w:val="Compact"/>
              <w:jc w:val="left"/>
            </w:pPr>
            <w:r>
              <w:t xml:space="preserve">Qualification réussie</w:t>
            </w:r>
          </w:p>
        </w:tc>
        <w:tc>
          <w:tcPr/>
          <w:p>
            <w:pPr>
              <w:pStyle w:val="Compact"/>
              <w:jc w:val="left"/>
            </w:pPr>
            <w:r>
              <w:t xml:space="preserve">Retard ou échec technique</w:t>
            </w:r>
          </w:p>
        </w:tc>
        <w:tc>
          <w:tcPr/>
          <w:p>
            <w:pPr>
              <w:pStyle w:val="Compact"/>
              <w:jc w:val="center"/>
            </w:pPr>
            <w:r>
              <w:t xml:space="preserve">Conversion des fours, planification de capacité</w:t>
            </w:r>
          </w:p>
        </w:tc>
      </w:tr>
      <w:tr>
        <w:tc>
          <w:tcPr/>
          <w:p>
            <w:pPr>
              <w:pStyle w:val="Compact"/>
              <w:jc w:val="left"/>
            </w:pPr>
            <w:r>
              <w:t xml:space="preserve">Risque de panne du fournisseur d’é</w:t>
            </w:r>
          </w:p>
        </w:tc>
        <w:tc>
          <w:tcPr/>
          <w:p>
            <w:pPr>
              <w:pStyle w:val="Compact"/>
              <w:jc w:val="left"/>
            </w:pPr>
            <w:r>
              <w:t xml:space="preserve">lectricité La fiabilité historiqu</w:t>
            </w:r>
          </w:p>
        </w:tc>
        <w:tc>
          <w:tcPr/>
          <w:p>
            <w:pPr>
              <w:pStyle w:val="Compact"/>
              <w:jc w:val="left"/>
            </w:pPr>
            <w:r>
              <w:t xml:space="preserve">e se maintient La congestion du réseau aug</w:t>
            </w:r>
          </w:p>
        </w:tc>
        <w:tc>
          <w:tcPr/>
          <w:p>
            <w:pPr>
              <w:pStyle w:val="Compact"/>
              <w:jc w:val="center"/>
            </w:pPr>
            <w:r>
              <w:t xml:space="preserve">mente les interruptions Batterie, micro-réseau, délocalisation</w:t>
            </w:r>
          </w:p>
        </w:tc>
      </w:tr>
    </w:tbl>
    <w:bookmarkEnd w:id="23"/>
    <w:bookmarkEnd w:id="24"/>
    <w:bookmarkStart w:id="25" w:name="apprendre-avant-de-sengager"/>
    <w:p>
      <w:pPr>
        <w:pStyle w:val="Heading1"/>
      </w:pPr>
      <w:r>
        <w:t xml:space="preserve">Apprendre avant de s’engager</w:t>
      </w:r>
    </w:p>
    <w:p>
      <w:pPr>
        <w:pStyle w:val="FirstParagraph"/>
      </w:pPr>
      <w:r>
        <w:t xml:space="preserve">Marquez a proposé que Ridgeway sépare les actions qui créaient de l’information des actions qui engageaient l’entreprise de manière irréversible. Le sous-comptage des lignes de production, la négociation d’options tarifaires, la réalisation d’études de toiture et d’interconnexion, le test de contrôles automatisés de pointe, et la conversion d’un petit four pourraient révéler des informations utiles. Sécuriser une option sur un terrain dans un autre État pourrait préserver une alternative de délocalisation sans autoriser la construction.</w:t>
      </w:r>
    </w:p>
    <w:p>
      <w:pPr>
        <w:pStyle w:val="BodyText"/>
      </w:pPr>
      <w:r>
        <w:t xml:space="preserve">Pourtant, même l’apprentissage avait un coût. Un programme complet d’ingénierie et de localisation était estimé à 6,8 millions $ sur 18 mois. Le développeur solaire exigeait un dépôt pour geler les prix. Le site de délocalisation le plus attractif ne resterait disponible que six mois. La file d’attente d’interconnexion du fournisseur d’électricité s’allongeait. Attendre la certitude pourrait en soi restreindre les choix de Ridgeway.</w:t>
      </w:r>
    </w:p>
    <w:bookmarkEnd w:id="25"/>
    <w:bookmarkStart w:id="27" w:name="le-programme-dinvestigation-proposé"/>
    <w:p>
      <w:pPr>
        <w:pStyle w:val="Heading1"/>
      </w:pPr>
      <w:r>
        <w:t xml:space="preserve">Le programme d’investigation proposé</w:t>
      </w:r>
    </w:p>
    <w:p>
      <w:pPr>
        <w:pStyle w:val="FirstParagraph"/>
      </w:pPr>
      <w:r>
        <w:t xml:space="preserve">Le comité exécutif a assemblé un programme de travail proposé. Le conseil d’administration pourrait tout approuver, sélectionner des parties, ou demander à la direction de redessiner l’effort.</w:t>
      </w:r>
    </w:p>
    <w:bookmarkStart w:id="26" w:name="X45d805c7e2bc85a3d216833dfa9503f35b7500f"/>
    <w:p>
      <w:pPr>
        <w:pStyle w:val="Heading2"/>
      </w:pPr>
      <w:r>
        <w:t xml:space="preserve">Exhibit 6. Investigations et pilotes proposés</w:t>
      </w:r>
    </w:p>
    <w:tbl>
      <w:tblPr>
        <w:tblStyle w:val="Table"/>
        <w:tblW w:type="pct" w:w="4943"/>
        <w:tblLayout w:type="fixed"/>
        <w:tblLook w:firstRow="1" w:lastRow="0" w:firstColumn="0" w:lastColumn="0" w:noHBand="0" w:noVBand="0" w:val="0020"/>
      </w:tblPr>
      <w:tblGrid>
        <w:gridCol w:w="1866"/>
        <w:gridCol w:w="455"/>
        <w:gridCol w:w="819"/>
        <w:gridCol w:w="3049"/>
        <w:gridCol w:w="1638"/>
      </w:tblGrid>
      <w:tr>
        <w:trPr>
          <w:tblHeader w:val="on"/>
        </w:trPr>
        <w:tc>
          <w:tcPr/>
          <w:p>
            <w:pPr>
              <w:pStyle w:val="Compact"/>
              <w:jc w:val="left"/>
            </w:pPr>
            <w:r>
              <w:t xml:space="preserve">Initiative</w:t>
            </w:r>
          </w:p>
        </w:tc>
        <w:tc>
          <w:tcPr/>
          <w:p>
            <w:pPr>
              <w:pStyle w:val="Compact"/>
              <w:jc w:val="left"/>
            </w:pPr>
            <w:r>
              <w:t xml:space="preserve">Coût</w:t>
            </w:r>
          </w:p>
        </w:tc>
        <w:tc>
          <w:tcPr/>
          <w:p>
            <w:pPr>
              <w:pStyle w:val="Compact"/>
              <w:jc w:val="left"/>
            </w:pPr>
            <w:r>
              <w:t xml:space="preserve">Délai</w:t>
            </w:r>
          </w:p>
        </w:tc>
        <w:tc>
          <w:tcPr/>
          <w:p>
            <w:pPr>
              <w:pStyle w:val="Compact"/>
              <w:jc w:val="center"/>
            </w:pPr>
            <w:r>
              <w:t xml:space="preserve">Objectif d’apprentissage principal</w:t>
            </w:r>
          </w:p>
        </w:tc>
        <w:tc>
          <w:tcPr/>
          <w:p>
            <w:pPr>
              <w:pStyle w:val="Compact"/>
              <w:jc w:val="center"/>
            </w:pPr>
            <w:r>
              <w:t xml:space="preserve">Engagement potentiel créé</w:t>
            </w:r>
          </w:p>
        </w:tc>
      </w:tr>
      <w:tr>
        <w:tc>
          <w:tcPr/>
          <w:p>
            <w:pPr>
              <w:pStyle w:val="Compact"/>
              <w:jc w:val="left"/>
            </w:pPr>
            <w:r>
              <w:t xml:space="preserve">Étude de données d’intervalle et d’énergi</w:t>
            </w:r>
          </w:p>
        </w:tc>
        <w:tc>
          <w:tcPr/>
          <w:p>
            <w:pPr>
              <w:pStyle w:val="Compact"/>
              <w:jc w:val="left"/>
            </w:pPr>
            <w:r>
              <w:t xml:space="preserve">e de procé</w:t>
            </w:r>
          </w:p>
        </w:tc>
        <w:tc>
          <w:tcPr/>
          <w:p>
            <w:pPr>
              <w:pStyle w:val="Compact"/>
              <w:jc w:val="left"/>
            </w:pPr>
            <w:r>
              <w:t xml:space="preserve">dé 0,55M $ 4</w:t>
            </w:r>
          </w:p>
        </w:tc>
        <w:tc>
          <w:tcPr/>
          <w:p>
            <w:pPr>
              <w:pStyle w:val="Compact"/>
              <w:jc w:val="center"/>
            </w:pPr>
            <w:r>
              <w:t xml:space="preserve">mois Identifier les charges, pics, flexibilité, et consomm</w:t>
            </w:r>
          </w:p>
        </w:tc>
        <w:tc>
          <w:tcPr/>
          <w:p>
            <w:pPr>
              <w:pStyle w:val="Compact"/>
              <w:jc w:val="center"/>
            </w:pPr>
            <w:r>
              <w:t xml:space="preserve">ation évitable Minimal</w:t>
            </w:r>
          </w:p>
        </w:tc>
      </w:tr>
      <w:tr>
        <w:tc>
          <w:tcPr/>
          <w:p>
            <w:pPr>
              <w:pStyle w:val="Compact"/>
              <w:jc w:val="left"/>
            </w:pPr>
            <w:r>
              <w:t xml:space="preserve">Pilote de planification de production</w:t>
            </w:r>
          </w:p>
        </w:tc>
        <w:tc>
          <w:tcPr/>
          <w:p>
            <w:pPr>
              <w:pStyle w:val="Compact"/>
            </w:pPr>
          </w:p>
        </w:tc>
        <w:tc>
          <w:tcPr/>
          <w:p>
            <w:pPr>
              <w:pStyle w:val="Compact"/>
              <w:jc w:val="left"/>
            </w:pPr>
            <w:r>
              <w:t xml:space="preserve">0,35M $ 6 mois</w:t>
            </w:r>
          </w:p>
        </w:tc>
        <w:tc>
          <w:tcPr/>
          <w:p>
            <w:pPr>
              <w:pStyle w:val="Compact"/>
              <w:jc w:val="center"/>
            </w:pPr>
            <w:r>
              <w:t xml:space="preserve">Mesurer le compromis entre pics d’énergie et performance d</w:t>
            </w:r>
          </w:p>
        </w:tc>
        <w:tc>
          <w:tcPr/>
          <w:p>
            <w:pPr>
              <w:pStyle w:val="Compact"/>
              <w:jc w:val="center"/>
            </w:pPr>
            <w:r>
              <w:t xml:space="preserve">e livraison Perturbation opérationnelle</w:t>
            </w:r>
          </w:p>
        </w:tc>
      </w:tr>
      <w:tr>
        <w:tc>
          <w:tcPr/>
          <w:p>
            <w:pPr>
              <w:pStyle w:val="Compact"/>
              <w:jc w:val="left"/>
            </w:pPr>
            <w:r>
              <w:t xml:space="preserve">Ingénierie solaire/interconnexion</w:t>
            </w:r>
          </w:p>
        </w:tc>
        <w:tc>
          <w:tcPr/>
          <w:p>
            <w:pPr>
              <w:pStyle w:val="Compact"/>
              <w:jc w:val="left"/>
            </w:pPr>
            <w:r>
              <w:t xml:space="preserve">0,80M $</w:t>
            </w:r>
          </w:p>
        </w:tc>
        <w:tc>
          <w:tcPr/>
          <w:p>
            <w:pPr>
              <w:pStyle w:val="Compact"/>
              <w:jc w:val="left"/>
            </w:pPr>
            <w:r>
              <w:t xml:space="preserve">9-18 mois C</w:t>
            </w:r>
          </w:p>
        </w:tc>
        <w:tc>
          <w:tcPr/>
          <w:p>
            <w:pPr>
              <w:pStyle w:val="Compact"/>
              <w:jc w:val="center"/>
            </w:pPr>
            <w:r>
              <w:t xml:space="preserve">onfirmer la taille faisable, le coût de mise à niveau, et le calend</w:t>
            </w:r>
          </w:p>
        </w:tc>
        <w:tc>
          <w:tcPr/>
          <w:p>
            <w:pPr>
              <w:pStyle w:val="Compact"/>
              <w:jc w:val="center"/>
            </w:pPr>
            <w:r>
              <w:t xml:space="preserve">rier Dépôt et position en file d’attente</w:t>
            </w:r>
          </w:p>
        </w:tc>
      </w:tr>
      <w:tr>
        <w:tc>
          <w:tcPr/>
          <w:p>
            <w:pPr>
              <w:pStyle w:val="Compact"/>
              <w:jc w:val="left"/>
            </w:pPr>
            <w:r>
              <w:t xml:space="preserve">Pilote de batterie 2 MW / 8 MWh</w:t>
            </w:r>
          </w:p>
        </w:tc>
        <w:tc>
          <w:tcPr/>
          <w:p>
            <w:pPr>
              <w:pStyle w:val="Compact"/>
              <w:jc w:val="left"/>
            </w:pPr>
            <w:r>
              <w:t xml:space="preserve">4,2M $</w:t>
            </w:r>
          </w:p>
        </w:tc>
        <w:tc>
          <w:tcPr/>
          <w:p>
            <w:pPr>
              <w:pStyle w:val="Compact"/>
              <w:jc w:val="left"/>
            </w:pPr>
            <w:r>
              <w:t xml:space="preserve">12 mois</w:t>
            </w:r>
          </w:p>
        </w:tc>
        <w:tc>
          <w:tcPr/>
          <w:p>
            <w:pPr>
              <w:pStyle w:val="Compact"/>
              <w:jc w:val="center"/>
            </w:pPr>
            <w:r>
              <w:t xml:space="preserve">Tester la prédiction de pointe, les contrôles, la dégradation, et l</w:t>
            </w:r>
          </w:p>
        </w:tc>
        <w:tc>
          <w:tcPr/>
          <w:p>
            <w:pPr>
              <w:pStyle w:val="Compact"/>
              <w:jc w:val="center"/>
            </w:pPr>
            <w:r>
              <w:t xml:space="preserve">a résilience Équipement avec incertitude de revente</w:t>
            </w:r>
          </w:p>
        </w:tc>
      </w:tr>
      <w:tr>
        <w:tc>
          <w:tcPr/>
          <w:p>
            <w:pPr>
              <w:pStyle w:val="Compact"/>
              <w:jc w:val="left"/>
            </w:pPr>
            <w:r>
              <w:t xml:space="preserve">Conversion d’un seul four au gaz 1</w:t>
            </w:r>
          </w:p>
        </w:tc>
        <w:tc>
          <w:tcPr/>
          <w:p>
            <w:pPr>
              <w:pStyle w:val="Compact"/>
              <w:jc w:val="left"/>
            </w:pPr>
            <w:r>
              <w:t xml:space="preserve">,6M $</w:t>
            </w:r>
          </w:p>
        </w:tc>
        <w:tc>
          <w:tcPr/>
          <w:p>
            <w:pPr>
              <w:pStyle w:val="Compact"/>
              <w:jc w:val="left"/>
            </w:pPr>
            <w:r>
              <w:t xml:space="preserve">12-18 mois Va</w:t>
            </w:r>
          </w:p>
        </w:tc>
        <w:tc>
          <w:tcPr/>
          <w:p>
            <w:pPr>
              <w:pStyle w:val="Compact"/>
              <w:jc w:val="center"/>
            </w:pPr>
            <w:r>
              <w:t xml:space="preserve">lider la qualité du produit, les économies de carburant, les permis</w:t>
            </w:r>
          </w:p>
        </w:tc>
        <w:tc>
          <w:tcPr/>
          <w:p>
            <w:pPr>
              <w:pStyle w:val="Compact"/>
              <w:jc w:val="center"/>
            </w:pPr>
            <w:r>
              <w:t xml:space="preserve">, et les émissions Actif spécifique au procédé</w:t>
            </w:r>
          </w:p>
        </w:tc>
      </w:tr>
      <w:tr>
        <w:tc>
          <w:tcPr/>
          <w:p>
            <w:pPr>
              <w:pStyle w:val="Compact"/>
              <w:jc w:val="left"/>
            </w:pPr>
            <w:r>
              <w:t xml:space="preserve">Diligence raisonnable de sites alternatif</w:t>
            </w:r>
          </w:p>
        </w:tc>
        <w:tc>
          <w:tcPr/>
          <w:p>
            <w:pPr>
              <w:pStyle w:val="Compact"/>
              <w:jc w:val="left"/>
            </w:pPr>
            <w:r>
              <w:t xml:space="preserve">s 1,1M</w:t>
            </w:r>
            <w:r>
              <w:br/>
            </w:r>
          </w:p>
        </w:tc>
        <w:tc>
          <w:tcPr/>
          <w:p>
            <w:pPr>
              <w:pStyle w:val="Compact"/>
              <w:jc w:val="left"/>
            </w:pPr>
            <w:r>
              <w:t xml:space="preserve">$ 6 mois</w:t>
            </w:r>
          </w:p>
        </w:tc>
        <w:tc>
          <w:tcPr/>
          <w:p>
            <w:pPr>
              <w:pStyle w:val="Compact"/>
              <w:jc w:val="center"/>
            </w:pPr>
            <w:r>
              <w:t xml:space="preserve">Valider les services publics, la main-d’œuvre, les incitations,</w:t>
            </w:r>
          </w:p>
        </w:tc>
        <w:tc>
          <w:tcPr/>
          <w:p>
            <w:pPr>
              <w:pStyle w:val="Compact"/>
              <w:jc w:val="center"/>
            </w:pPr>
            <w:r>
              <w:t xml:space="preserve">la logistique, et les permis Signale une délocalisation possible</w:t>
            </w:r>
          </w:p>
        </w:tc>
      </w:tr>
      <w:tr>
        <w:tc>
          <w:tcPr/>
          <w:p>
            <w:pPr>
              <w:pStyle w:val="Compact"/>
              <w:jc w:val="left"/>
            </w:pPr>
            <w:r>
              <w:t xml:space="preserve">Option foncière à Riverbend</w:t>
            </w:r>
          </w:p>
        </w:tc>
        <w:tc>
          <w:tcPr/>
          <w:p>
            <w:pPr>
              <w:pStyle w:val="Compact"/>
              <w:jc w:val="left"/>
            </w:pPr>
            <w:r>
              <w:t xml:space="preserve">2,5M $</w:t>
            </w:r>
          </w:p>
        </w:tc>
        <w:tc>
          <w:tcPr/>
          <w:p>
            <w:pPr>
              <w:pStyle w:val="Compact"/>
              <w:jc w:val="left"/>
            </w:pPr>
            <w:r>
              <w:t xml:space="preserve">Option de 18 mois</w:t>
            </w:r>
          </w:p>
        </w:tc>
        <w:tc>
          <w:tcPr/>
          <w:p>
            <w:pPr>
              <w:pStyle w:val="Compact"/>
              <w:jc w:val="center"/>
            </w:pPr>
            <w:r>
              <w:t xml:space="preserve">Préserver le site préféré pendant que l’analyse se poursuit</w:t>
            </w:r>
          </w:p>
        </w:tc>
        <w:tc>
          <w:tcPr/>
          <w:p>
            <w:pPr>
              <w:pStyle w:val="Compact"/>
              <w:jc w:val="center"/>
            </w:pPr>
            <w:r>
              <w:t xml:space="preserve">Les frais d’option ne sont pas remboursables</w:t>
            </w:r>
          </w:p>
        </w:tc>
      </w:tr>
    </w:tbl>
    <w:p>
      <w:pPr>
        <w:pStyle w:val="BodyText"/>
      </w:pPr>
      <w:r>
        <w:t xml:space="preserve">Les initiatives n’étaient pas indépendantes. Le pilote de planification pourrait réduire la valeur apparente d’une batterie. La qualification réussie du nouveau procédé à basse température pourrait réduire à la fois la consommation d’électricité et l’argument pour la conversion au gaz. Une décision de délocalisation pourrait rendre inutilisables des investissements majeurs à Hamilton. D’un autre côté, retarder les projets d’efficacité en raison d’un déménagement possible pourrait entraîner des années de coûts évitables.</w:t>
      </w:r>
    </w:p>
    <w:bookmarkEnd w:id="26"/>
    <w:bookmarkEnd w:id="27"/>
    <w:bookmarkStart w:id="28" w:name="organiser-la-décision"/>
    <w:p>
      <w:pPr>
        <w:pStyle w:val="Heading1"/>
      </w:pPr>
      <w:r>
        <w:t xml:space="preserve">Organiser la décision</w:t>
      </w:r>
    </w:p>
    <w:p>
      <w:pPr>
        <w:pStyle w:val="FirstParagraph"/>
      </w:pPr>
      <w:r>
        <w:t xml:space="preserve">Marquez a envisagé un processus par étapes avec quatre portes. La première diagnostiquerait la source de l’augmentation de la facture et établirait une base de référence commune. La seconde filtrerait les alternatives pour leur faisabilité technique, réglementaire, et opérationnelle. La troisième autoriserait les pilotes et préserverait les options sélectionnées. La quatrième engagerait le capital dans un portefeuille à long terme ou une transition de réseau de fabrication.</w:t>
      </w:r>
    </w:p>
    <w:p>
      <w:pPr>
        <w:pStyle w:val="BodyText"/>
      </w:pPr>
      <w:r>
        <w:t xml:space="preserve">Plusieurs membres du conseil d’administration n’aimaient pas la complexité apparente. L’un a soutenu que Ridgeway devrait se déplacer rapidement vers un État à moindre coût. Un autre croyait que les entreprises manufacturières surestimaient systématiquement les économies de délocalisation et sous-estimaient les perturbations. Un troisième a demandé pourquoi Ridgeway devrait posséder des actifs solaires alors qu’un développeur pourrait les financer. Le président souhaitait une recommandation compréhensible, mesurable, et liée à des déclencheurs futurs explicites.</w:t>
      </w:r>
    </w:p>
    <w:bookmarkEnd w:id="28"/>
    <w:bookmarkStart w:id="29" w:name="la-nuit-avant-la-réunion"/>
    <w:p>
      <w:pPr>
        <w:pStyle w:val="Heading1"/>
      </w:pPr>
      <w:r>
        <w:t xml:space="preserve">La nuit avant la réunion</w:t>
      </w:r>
    </w:p>
    <w:p>
      <w:pPr>
        <w:pStyle w:val="FirstParagraph"/>
      </w:pPr>
      <w:r>
        <w:t xml:space="preserve">Le mercredi soir, Marquez a examiné la dernière présentation. Elle contenait plus de 70 diapositives et aucun classement unique des alternatives. Le modèle financier favorisait l’efficacité suivie d’une conversion partielle au gaz sous ses hypothèses de base. L’analyse de résilience favorisait le solaire plus le stockage. L’analyse de développement durable favorisait l’efficacité, l’approvisionnement renouvelable, et l’électrification sélective. Le modèle de réseau favorisait le maintien de Hamilton à moins que le scénario de tarif élevé ne persiste pendant au moins sept ans. Le conseiller immobilier a averti que l’option de Riverbend pourrait ne plus être disponible après la prochaine réunion du conseil d’administration.</w:t>
      </w:r>
    </w:p>
    <w:p>
      <w:pPr>
        <w:pStyle w:val="BodyText"/>
      </w:pPr>
      <w:r>
        <w:t xml:space="preserve">Marquez comprenait pourquoi les analyses différaient : chaque équipe résolvait une version différente du problème. Ce qu’elle ne savait pas, c’était si le conseil d’administration devait exiger une recommandation intégrée unique maintenant ou approuver une séquence d’investigations conçues pour clarifier la décision au fil du temps.</w:t>
      </w:r>
    </w:p>
    <w:p>
      <w:pPr>
        <w:pStyle w:val="BodyText"/>
      </w:pPr>
      <w:r>
        <w:t xml:space="preserve">À 22h14, le directeur général a envoyé un dernier message : « Demain, j’ai besoin que vous nous disiez ce que nous devrions investiguer, ce que nous devrions faire immédiatement, et quelles conditions nous amèneraient à changer de cap. »</w:t>
      </w:r>
    </w:p>
    <w:bookmarkEnd w:id="29"/>
    <w:bookmarkStart w:id="30" w:name="questions-de-discussion"/>
    <w:p>
      <w:pPr>
        <w:pStyle w:val="Heading1"/>
      </w:pPr>
      <w:r>
        <w:t xml:space="preserve">Questions de discussion</w:t>
      </w:r>
    </w:p>
    <w:p>
      <w:pPr>
        <w:numPr>
          <w:ilvl w:val="0"/>
          <w:numId w:val="1002"/>
        </w:numPr>
      </w:pPr>
      <w:r>
        <w:t xml:space="preserve">Comment Ridgeway devrait-elle définir le problème de décision ? S’agit-il principalement d’un problème d’approvisionnement énergétique, d’un problème de conception de procédé, d’un problème de résilience, ou d’un problème de réseau de fabrication ?</w:t>
      </w:r>
    </w:p>
    <w:p>
      <w:pPr>
        <w:numPr>
          <w:ilvl w:val="0"/>
          <w:numId w:val="1002"/>
        </w:numPr>
      </w:pPr>
      <w:r>
        <w:t xml:space="preserve">Quelles mesures de performance la direction devrait-elle utiliser ? Quelles mesures sont des objectifs, des contraintes, ou des indicateurs diagnostiques ?</w:t>
      </w:r>
    </w:p>
    <w:p>
      <w:pPr>
        <w:numPr>
          <w:ilvl w:val="0"/>
          <w:numId w:val="1002"/>
        </w:numPr>
      </w:pPr>
      <w:r>
        <w:t xml:space="preserve">Quelles données supplémentaires Ridgeway devrait-elle recueillir avant de comparer les alternatives ? Quelles informations manquantes sont les plus susceptibles de changer la décision ?</w:t>
      </w:r>
    </w:p>
    <w:p>
      <w:pPr>
        <w:numPr>
          <w:ilvl w:val="0"/>
          <w:numId w:val="1002"/>
        </w:numPr>
      </w:pPr>
      <w:r>
        <w:t xml:space="preserve">Comment l’entreprise devrait-elle distinguer les augmentations tarifaires d’origine externe des coûts causés par ses propres pratiques d’exploitation ?</w:t>
      </w:r>
    </w:p>
    <w:p>
      <w:pPr>
        <w:numPr>
          <w:ilvl w:val="0"/>
          <w:numId w:val="1002"/>
        </w:numPr>
      </w:pPr>
      <w:r>
        <w:t xml:space="preserve">Le solaire, le stockage par batteries, la conversion au gaz naturel, et la délocalisation devraient-ils être évalués comme des alternatives mutuellement exclusives ou comme des éléments de portefeuilles et de stratégies par étapes ?</w:t>
      </w:r>
    </w:p>
    <w:p>
      <w:pPr>
        <w:numPr>
          <w:ilvl w:val="0"/>
          <w:numId w:val="1002"/>
        </w:numPr>
      </w:pPr>
      <w:r>
        <w:t xml:space="preserve">Quelles investigations ou pilotes proposés ont la plus grande valeur d’information ? Lesquels semblent trop coûteux ou trop lents par rapport à ce qu’ils pourraient enseigner ?</w:t>
      </w:r>
    </w:p>
    <w:p>
      <w:pPr>
        <w:numPr>
          <w:ilvl w:val="0"/>
          <w:numId w:val="1002"/>
        </w:numPr>
      </w:pPr>
      <w:r>
        <w:t xml:space="preserve">Quelles hypothèses rendraient la délocalisation attractive ? Quelles hypothèses rendraient la délocalisation clairement inférieure ?</w:t>
      </w:r>
    </w:p>
    <w:p>
      <w:pPr>
        <w:numPr>
          <w:ilvl w:val="0"/>
          <w:numId w:val="1002"/>
        </w:numPr>
      </w:pPr>
      <w:r>
        <w:t xml:space="preserve">Comment Ridgeway devrait-elle valoriser la fiabilité, la réversibilité, l’exposition aux émissions, la perturbation de la main-d’œuvre, et les effets communautaires aux côtés des rendements financiers ?</w:t>
      </w:r>
    </w:p>
    <w:p>
      <w:pPr>
        <w:numPr>
          <w:ilvl w:val="0"/>
          <w:numId w:val="1002"/>
        </w:numPr>
      </w:pPr>
      <w:r>
        <w:t xml:space="preserve">Quelles actions Ridgeway devrait-elle entreprendre immédiatement, même avant que l’incertitude ne soit résolue ? Quels engagements devrait-elle reporter ?</w:t>
      </w:r>
    </w:p>
    <w:p>
      <w:pPr>
        <w:numPr>
          <w:ilvl w:val="0"/>
          <w:numId w:val="1002"/>
        </w:numPr>
      </w:pPr>
      <w:r>
        <w:t xml:space="preserve">Concevoir un ensemble de portes de décision et de conditions de déclenchement pour les trois prochaines années. Quelles observations amèneraient Ridgeway à étendre, arrêter, ou rediriger chaque initiative ?</w:t>
      </w:r>
    </w:p>
    <w:bookmarkEnd w:id="30"/>
    <w:bookmarkStart w:id="36" w:name="questions-de-cadrage-de-la-décision"/>
    <w:p>
      <w:pPr>
        <w:pStyle w:val="Heading1"/>
      </w:pPr>
      <w:r>
        <w:t xml:space="preserve">Questions de cadrage de la décision</w:t>
      </w:r>
    </w:p>
    <w:p>
      <w:pPr>
        <w:numPr>
          <w:ilvl w:val="0"/>
          <w:numId w:val="1003"/>
        </w:numPr>
      </w:pPr>
      <w:r>
        <w:t xml:space="preserve">Identifier et décrire les responsabilités du décideur. Cela devrait déterminer la portée du problème.</w:t>
      </w:r>
    </w:p>
    <w:p>
      <w:pPr>
        <w:numPr>
          <w:ilvl w:val="0"/>
          <w:numId w:val="1003"/>
        </w:numPr>
      </w:pPr>
      <w:r>
        <w:t xml:space="preserve">Utiliser l’</w:t>
      </w:r>
      <w:hyperlink r:id="rId31">
        <w:r>
          <w:rPr>
            <w:rStyle w:val="Hyperlink"/>
          </w:rPr>
          <w:t xml:space="preserve">outil de pyramide des mesures</w:t>
        </w:r>
      </w:hyperlink>
      <w:r>
        <w:t xml:space="preserve"> </w:t>
      </w:r>
      <w:r>
        <w:t xml:space="preserve">pour identifier et prioriser les différentes mesures de performance. Cliquer sur l’ovale contenant la mesure pour identifier s’il s’agit d’une mesure à maximiser (vert), à minimiser (rouge), d’une cible qui est un plancher (vert clair) ou un plafond (rouge clair), ou enfin d’une cible (violet).</w:t>
      </w:r>
    </w:p>
    <w:p>
      <w:pPr>
        <w:numPr>
          <w:ilvl w:val="0"/>
          <w:numId w:val="1003"/>
        </w:numPr>
      </w:pPr>
      <w:r>
        <w:t xml:space="preserve">Utiliser l’</w:t>
      </w:r>
      <w:hyperlink r:id="rId32">
        <w:r>
          <w:rPr>
            <w:rStyle w:val="Hyperlink"/>
          </w:rPr>
          <w:t xml:space="preserve">outil de priorisation des décisions</w:t>
        </w:r>
      </w:hyperlink>
      <w:r>
        <w:t xml:space="preserve"> </w:t>
      </w:r>
      <w:r>
        <w:t xml:space="preserve">pour d’abord lister les différents types de décisions (utiliser les</w:t>
      </w:r>
      <w:r>
        <w:t xml:space="preserve"> </w:t>
      </w:r>
      <w:hyperlink r:id="rId33">
        <w:r>
          <w:rPr>
            <w:rStyle w:val="Hyperlink"/>
          </w:rPr>
          <w:t xml:space="preserve">types de décisions</w:t>
        </w:r>
      </w:hyperlink>
      <w:r>
        <w:t xml:space="preserve"> </w:t>
      </w:r>
      <w:r>
        <w:t xml:space="preserve">comme guide). Celles-ci alimenteront ensuite les lignes de la matrice à droite, où les colonnes sont les mesures de performance triées de gauche à droite par ordre de priorité dans la pyramide ci-dessus. Cliquer sur chaque cellule pour indiquer si l’impact de la décision sur chaque mesure est élevé (rouge), moyen (orange), faible (jaune) ou nul (blanc).</w:t>
      </w:r>
    </w:p>
    <w:p>
      <w:pPr>
        <w:numPr>
          <w:ilvl w:val="0"/>
          <w:numId w:val="1003"/>
        </w:numPr>
      </w:pPr>
      <w:r>
        <w:t xml:space="preserve">Vous pouvez saisir la poignée (trois barres) la plus à gauche sur chaque ligne pour la déplacer vers le haut ou vers le bas. Trier les lignes de sorte que les décisions ayant le plus grand impact sur les mesures les plus importantes soient vers le haut. Les cellules dans le coin supérieur gauche devraient avoir la plus grande concentration de cellules rouges et orange. À ce stade, identifier les décisions qui devraient recevoir le plus d’attention dans votre étude. Si vous n’avez aucune décision avec un impact moyen ou élevé sur les mesures les plus importantes, revoir votre liste de décisions.</w:t>
      </w:r>
    </w:p>
    <w:p>
      <w:pPr>
        <w:numPr>
          <w:ilvl w:val="0"/>
          <w:numId w:val="1003"/>
        </w:numPr>
      </w:pPr>
      <w:r>
        <w:t xml:space="preserve">Répéter le processus pour lister et prioriser les incertitudes en utilisant l’</w:t>
      </w:r>
      <w:hyperlink r:id="rId34">
        <w:r>
          <w:rPr>
            <w:rStyle w:val="Hyperlink"/>
          </w:rPr>
          <w:t xml:space="preserve">outil de priorisation des incertitudes</w:t>
        </w:r>
      </w:hyperlink>
      <w:r>
        <w:t xml:space="preserve">. Utiliser les</w:t>
      </w:r>
      <w:r>
        <w:t xml:space="preserve"> </w:t>
      </w:r>
      <w:hyperlink r:id="rId35">
        <w:r>
          <w:rPr>
            <w:rStyle w:val="Hyperlink"/>
          </w:rPr>
          <w:t xml:space="preserve">catégories d’incertitude</w:t>
        </w:r>
      </w:hyperlink>
      <w:r>
        <w:t xml:space="preserve"> </w:t>
      </w:r>
      <w:r>
        <w:t xml:space="preserve">pour vous aider à les identifier.</w:t>
      </w:r>
    </w:p>
    <w:p>
      <w:pPr>
        <w:numPr>
          <w:ilvl w:val="0"/>
          <w:numId w:val="1003"/>
        </w:numPr>
      </w:pPr>
      <w:r>
        <w:t xml:space="preserve">Il est important de différencier les incertitudes qui peuvent être évaluées en moyenne, ou comme des événements de risque :</w:t>
      </w:r>
    </w:p>
    <w:p>
      <w:pPr>
        <w:numPr>
          <w:ilvl w:val="1"/>
          <w:numId w:val="1004"/>
        </w:numPr>
      </w:pPr>
      <w:r>
        <w:t xml:space="preserve">Quelles sources d’incertitude seraient captées en utilisant la performance moyenne dans le temps ?</w:t>
      </w:r>
    </w:p>
    <w:p>
      <w:pPr>
        <w:numPr>
          <w:ilvl w:val="1"/>
          <w:numId w:val="1004"/>
        </w:numPr>
      </w:pPr>
      <w:r>
        <w:t xml:space="preserve">Quelles sources d’incertitude représentent des formes de risque qui ne sont pas correctement captées en utilisant des moyennes ?</w:t>
      </w:r>
    </w:p>
    <w:p>
      <w:pPr>
        <w:numPr>
          <w:ilvl w:val="0"/>
          <w:numId w:val="1003"/>
        </w:numPr>
      </w:pPr>
      <w:r>
        <w:t xml:space="preserve">Choisir la décision unique qui semble avoir l’impact le plus élevé sur la mesure la plus importante.</w:t>
      </w:r>
    </w:p>
    <w:p>
      <w:pPr>
        <w:numPr>
          <w:ilvl w:val="1"/>
          <w:numId w:val="1005"/>
        </w:numPr>
      </w:pPr>
      <w:r>
        <w:t xml:space="preserve">Quelle approche pensez-vous utiliser pour prendre cette décision ?</w:t>
      </w:r>
    </w:p>
    <w:p>
      <w:pPr>
        <w:numPr>
          <w:ilvl w:val="1"/>
          <w:numId w:val="1005"/>
        </w:numPr>
      </w:pPr>
      <w:r>
        <w:t xml:space="preserve">Quelles données semblent nécessaires pour prendre cette décision, y compris le calcul de toute mesure de performance où la décision aurait un impact élevé ou moyen.</w:t>
      </w:r>
    </w:p>
    <w:p>
      <w:pPr>
        <w:numPr>
          <w:ilvl w:val="0"/>
          <w:numId w:val="1003"/>
        </w:numPr>
      </w:pPr>
      <w:r>
        <w:t xml:space="preserve">En utilisant la même décision que vous avez identifiée en (7), identifier les personnes, départements, groupes ou organisations avec lesquels vous devriez travailler pour mettre en œuvre la décision.</w:t>
      </w:r>
    </w:p>
    <w:bookmarkEnd w:id="36"/>
    <w:bookmarkStart w:id="37" w:name="notes-de-source-et-conventions-du-cas"/>
    <w:p>
      <w:pPr>
        <w:pStyle w:val="Heading1"/>
      </w:pPr>
      <w:r>
        <w:t xml:space="preserve">Notes de source et conventions du cas</w:t>
      </w:r>
    </w:p>
    <w:p>
      <w:pPr>
        <w:pStyle w:val="FirstParagraph"/>
      </w:pPr>
      <w:r>
        <w:t xml:space="preserve">Il s’agit d’un cas fictif développé pour la discussion en classe. Ridgeway Industrial Systems, le comté de Hamilton, tous les individus, toutes les propositions de projet, et toutes les données opérationnelles de l’entreprise sont inventés. Le cas est intentionnellement non résolu et n’implique pas qu’une alternative soit préférée.</w:t>
      </w:r>
    </w:p>
    <w:p>
      <w:pPr>
        <w:pStyle w:val="BodyText"/>
      </w:pPr>
      <w:r>
        <w:t xml:space="preserve">¹ Le contexte national des centres de données est basé sur le Lawrence Berkeley National Laboratory, 2024 United States Data Center Energy Usage Report et les mises à jour connexes. Le Berkeley Lab a rapporté environ 176 TWh d’utilisation d’électricité par les centres de données américains en 2023, soit environ 4,4% de l’électricité totale des États-Unis, et une fourchette de projection pour 2028 de 6,7%-12%. Sa mise à jour de 2025 estimait que les centres de données pourraient représenter 9,5%-15,3% de l’utilisation d’électricité des États-Unis en 2030, avec une estimation centrale de 11,8%.</w:t>
      </w:r>
    </w:p>
    <w:p>
      <w:pPr>
        <w:pStyle w:val="BodyText"/>
      </w:pPr>
      <w:r>
        <w:t xml:space="preserve">Référence contextuelle supplémentaire : U.S. Energy Information Administration, Electric Power Monthly et Electricity Monthly Update. L’EIA a rapporté un revenu industriel moyen national d’environ 8,71 cents par kWh en mai 2026, bien que les prix industriels varient substantiellement selon la région, le tarif, le profil de charge, et les charges spécifiques au client. Le tarif fictif de Hamilton inclut la demande, la capacité, la transmission, et d’autres charges et ne devrait donc pas être interprété comme une moyenne nationale.</w:t>
      </w:r>
    </w:p>
    <w:p>
      <w:pPr>
        <w:pStyle w:val="BodyText"/>
      </w:pPr>
      <w:r>
        <w:t xml:space="preserve">Les estimations de gaz naturel et de technologie dans les pièces jointes sont des hypothèses de cas plutôt que des prévisions. Dans une analyse réelle, Ridgeway utiliserait des tarifs de fournisseur d’électricité spécifiques au site, des données d’intervalle, des devis de fournisseurs, des études d’ingénierie, des conseils fiscaux, des examens environnementaux, et des distributions de probabilité plutôt que des estimations ponctuelles uniques.</w:t>
      </w:r>
    </w:p>
    <w:bookmarkEnd w:id="37"/>
    <w:bookmarkStart w:id="40" w:name="notes-chatgpt"/>
    <w:p>
      <w:pPr>
        <w:pStyle w:val="Heading1"/>
      </w:pPr>
      <w:r>
        <w:t xml:space="preserve">Notes ChatGPT</w:t>
      </w:r>
    </w:p>
    <w:bookmarkStart w:id="38" w:name="invite"/>
    <w:p>
      <w:pPr>
        <w:pStyle w:val="Heading2"/>
      </w:pPr>
      <w:r>
        <w:t xml:space="preserve">Invite</w:t>
      </w:r>
    </w:p>
    <w:p>
      <w:pPr>
        <w:pStyle w:val="FirstParagraph"/>
      </w:pPr>
      <w:r>
        <w:t xml:space="preserve">Un fabricant industriel est confronté à une forte augmentation de sa facture d’électricité alors que les tarifs augmentent en raison des demandes croissantes des centres de données. L’entreprise peut déplacer son centre de fabrication (à grands frais) vers un autre emplacement. Elle peut investir dans des panneaux solaires et un stockage par batteries. Elle peut modifier son procédé de fabrication pour déplacer ses besoins énergétiques de l’électricité vers le gaz naturel. Décrire le processus qu’une entreprise pourrait utiliser pour investiguer les alternatives.</w:t>
      </w:r>
    </w:p>
    <w:bookmarkEnd w:id="38"/>
    <w:bookmarkStart w:id="39" w:name="résumé"/>
    <w:p>
      <w:pPr>
        <w:pStyle w:val="Heading2"/>
      </w:pPr>
      <w:r>
        <w:t xml:space="preserve">Résumé</w:t>
      </w:r>
    </w:p>
    <w:p>
      <w:pPr>
        <w:pStyle w:val="FirstParagraph"/>
      </w:pPr>
      <w:r>
        <w:t xml:space="preserve">Le cas inclut :</w:t>
      </w:r>
    </w:p>
    <w:p>
      <w:pPr>
        <w:numPr>
          <w:ilvl w:val="0"/>
          <w:numId w:val="1006"/>
        </w:numPr>
      </w:pPr>
      <w:r>
        <w:t xml:space="preserve">Un fabricant industriel fictif confronté à une augmentation rapide des coûts d’électricité</w:t>
      </w:r>
    </w:p>
    <w:p>
      <w:pPr>
        <w:numPr>
          <w:ilvl w:val="0"/>
          <w:numId w:val="1006"/>
        </w:numPr>
      </w:pPr>
      <w:r>
        <w:t xml:space="preserve">Une croissance de la demande d’électricité régionale associée à de nouveaux centres de données</w:t>
      </w:r>
    </w:p>
    <w:p>
      <w:pPr>
        <w:numPr>
          <w:ilvl w:val="0"/>
          <w:numId w:val="1006"/>
        </w:numPr>
      </w:pPr>
      <w:r>
        <w:t xml:space="preserve">Des données détaillées sur l’utilisation d’énergie de l’usine et le coût des services publics</w:t>
      </w:r>
    </w:p>
    <w:p>
      <w:pPr>
        <w:numPr>
          <w:ilvl w:val="0"/>
          <w:numId w:val="1006"/>
        </w:numPr>
      </w:pPr>
      <w:r>
        <w:t xml:space="preserve">Des alternatives de solaire, de stockage par batteries, de conversion au gaz naturel, d’efficacité, d’approvisionnement, et de délocalisation</w:t>
      </w:r>
    </w:p>
    <w:p>
      <w:pPr>
        <w:numPr>
          <w:ilvl w:val="0"/>
          <w:numId w:val="1006"/>
        </w:numPr>
      </w:pPr>
      <w:r>
        <w:t xml:space="preserve">Trois régions potentielles de délocalisation</w:t>
      </w:r>
    </w:p>
    <w:p>
      <w:pPr>
        <w:numPr>
          <w:ilvl w:val="0"/>
          <w:numId w:val="1006"/>
        </w:numPr>
      </w:pPr>
      <w:r>
        <w:t xml:space="preserve">Des scénarios de prix d’électricité jusqu’en 2035</w:t>
      </w:r>
    </w:p>
    <w:p>
      <w:pPr>
        <w:numPr>
          <w:ilvl w:val="0"/>
          <w:numId w:val="1006"/>
        </w:numPr>
      </w:pPr>
      <w:r>
        <w:t xml:space="preserve">Des considérations opérationnelles, financières, environnementales, de main-d’œuvre, et de service client</w:t>
      </w:r>
    </w:p>
    <w:p>
      <w:pPr>
        <w:numPr>
          <w:ilvl w:val="0"/>
          <w:numId w:val="1006"/>
        </w:numPr>
      </w:pPr>
      <w:r>
        <w:t xml:space="preserve">Des investigations et projets pilotes proposés</w:t>
      </w:r>
    </w:p>
    <w:p>
      <w:pPr>
        <w:numPr>
          <w:ilvl w:val="0"/>
          <w:numId w:val="1006"/>
        </w:numPr>
      </w:pPr>
      <w:r>
        <w:t xml:space="preserve">Des perspectives exécutives concurrentes et aucune solution clairement préférée</w:t>
      </w:r>
    </w:p>
    <w:p>
      <w:pPr>
        <w:numPr>
          <w:ilvl w:val="0"/>
          <w:numId w:val="1006"/>
        </w:numPr>
      </w:pPr>
      <w:r>
        <w:t xml:space="preserve">Dix questions de discussion en classe</w:t>
      </w:r>
    </w:p>
    <w:p>
      <w:pPr>
        <w:pStyle w:val="FirstParagraph"/>
      </w:pPr>
      <w:r>
        <w:t xml:space="preserve">Le contexte national des centres de données est soutenu par les estimations du Lawrence Berkeley National Laboratory montrant une croissance substantielle de la consommation d’électricité des centres de données américains et une large fourchette de demande possible jusqu’en 2030.</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warrenpowell.org/decision-framing-tool/#decision-prioritization-tool" TargetMode="External" /><Relationship Type="http://schemas.openxmlformats.org/officeDocument/2006/relationships/hyperlink" Id="rId31" Target="https://warrenpowell.org/decision-framing-tool/#metrics-pyramid-tool" TargetMode="External" /><Relationship Type="http://schemas.openxmlformats.org/officeDocument/2006/relationships/hyperlink" Id="rId34" Target="https://warrenpowell.org/decision-framing-tool/#uncertainty-prioritization-tool" TargetMode="External" /><Relationship Type="http://schemas.openxmlformats.org/officeDocument/2006/relationships/hyperlink" Id="rId33" Target="https://warrenpowell.org/decisionsdecisions/#types-of-decision-settings" TargetMode="External" /><Relationship Type="http://schemas.openxmlformats.org/officeDocument/2006/relationships/hyperlink" Id="rId3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32" Target="https://warrenpowell.org/decision-framing-tool/#decision-prioritization-tool" TargetMode="External" /><Relationship Type="http://schemas.openxmlformats.org/officeDocument/2006/relationships/hyperlink" Id="rId31" Target="https://warrenpowell.org/decision-framing-tool/#metrics-pyramid-tool" TargetMode="External" /><Relationship Type="http://schemas.openxmlformats.org/officeDocument/2006/relationships/hyperlink" Id="rId34" Target="https://warrenpowell.org/decision-framing-tool/#uncertainty-prioritization-tool" TargetMode="External" /><Relationship Type="http://schemas.openxmlformats.org/officeDocument/2006/relationships/hyperlink" Id="rId33" Target="https://warrenpowell.org/decisionsdecisions/#types-of-decision-settings" TargetMode="External" /><Relationship Type="http://schemas.openxmlformats.org/officeDocument/2006/relationships/hyperlink" Id="rId3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2026-09-11T15:56:36Z</dcterms:created>
  <dcterms:modified xsi:type="dcterms:W3CDTF">2026-09-11T15:56:36Z</dcterms:modified>
</cp:coreProperties>
</file>

<file path=docProps/custom.xml><?xml version="1.0" encoding="utf-8"?>
<Properties xmlns="http://schemas.openxmlformats.org/officeDocument/2006/custom-properties" xmlns:vt="http://schemas.openxmlformats.org/officeDocument/2006/docPropsVTypes"/>
</file>