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Comment un comté devrait-il réagir lorsque les décès par overdose restent élevés—alors que la crise nationale semble s’atténuer ?</w:t>
      </w:r>
    </w:p>
    <w:tbl>
      <w:tblPr>
        <w:tblStyle w:val="Table"/>
        <w:tblW w:type="auto" w:w="0"/>
        <w:tblLook w:firstRow="0" w:lastRow="0" w:firstColumn="0" w:lastColumn="0" w:noHBand="0" w:noVBand="0" w:val="0000"/>
      </w:tblPr>
      <w:tblGrid>
        <w:gridCol w:w="7920"/>
      </w:tblGrid>
      <w:tr>
        <w:tc>
          <w:tcPr/>
          <w:p>
            <w:pPr>
              <w:pStyle w:val="Compact"/>
              <w:jc w:val="left"/>
            </w:pPr>
            <w:r>
              <w:t xml:space="preserve">CONTEXTE  DÉCIDEUR  DATE DE DÉCISION\</w:t>
            </w:r>
          </w:p>
        </w:tc>
      </w:tr>
      <w:tr>
        <w:tc>
          <w:tcPr/>
          <w:p>
            <w:pPr>
              <w:pStyle w:val="Compact"/>
              <w:jc w:val="left"/>
            </w:pPr>
            <w:r>
              <w:t xml:space="preserve">Riverton County, un comté fictif mixte urbain-rural Dr Elena Torres, Commissaire à la santé du comté Septembre 2026</w:t>
            </w:r>
          </w:p>
        </w:tc>
      </w:tr>
    </w:tbl>
    <w:p>
      <w:r>
        <w:pict>
          <v:rect style="width:0;height:1.5pt" o:hralign="center" o:hrstd="t" o:hr="t"/>
        </w:pict>
      </w:r>
    </w:p>
    <w:bookmarkStart w:id="9" w:name="section"/>
    <w:p>
      <w:pPr>
        <w:pStyle w:val="Heading1"/>
      </w:pPr>
    </w:p>
    <w:bookmarkEnd w:id="9"/>
    <w:bookmarkStart w:id="11" w:name="un-lundi-matin-difficile"/>
    <w:p>
      <w:pPr>
        <w:pStyle w:val="Heading1"/>
      </w:pPr>
      <w:r>
        <w:t xml:space="preserve">Un lundi matin difficile</w:t>
      </w:r>
    </w:p>
    <w:p>
      <w:pPr>
        <w:pStyle w:val="FirstParagraph"/>
      </w:pPr>
      <w:r>
        <w:t xml:space="preserve">À 7h10, le Dr Elena Torres a ouvert le tableau de bord hebdomadaire de mortalité et a vu un nouveau marqueur rouge : un employé d’entrepôt de 31 ans était mort d’une overdose présumée de fentanyl dans un motel près de l’Interstate 48. C’était le quarante-troisième décès par overdose de l’année dans le comté de Riverton. Deux décès supplémentaires attendaient encore les résultats toxicologiques.</w:t>
      </w:r>
    </w:p>
    <w:p>
      <w:pPr>
        <w:pStyle w:val="BodyText"/>
      </w:pPr>
      <w:r>
        <w:t xml:space="preserve">Le chiffre était inférieur à celui de l’année précédente à la même période, mais cela ne ressemblait pas à un progrès. Les services médicaux d’urgence avaient administré de la naloxone 286 fois depuis janvier. La prison du comté rapportait que près d’une nouvelle personne détenue sur trois présentait un dépistage positif pour un trouble lié à l’usage de substances. Le service des urgences du plus grand hôpital avait traité 412 overdoses non mortelles, et les équipes de proximité observaient de plus en plus de personnes combinant fentanyl et cocaïne ou méthamphétamine.</w:t>
      </w:r>
    </w:p>
    <w:p>
      <w:pPr>
        <w:pStyle w:val="BodyText"/>
      </w:pPr>
      <w:r>
        <w:t xml:space="preserve">Au niveau national, cependant, la situation avait changé. Les décès par overdose de drogue aux États-Unis ont fortement diminué en 2024, puis à nouveau en 2025. Les décès estimés impliquant des opioïdes sont passés d’environ 83 140 en 2023 à environ 54 743 en 2024, puis à 44 564 en 2025. L’amélioration était encourageante—mais inégale : plusieurs États ont tout de même enregistré des augmentations en 2025.¹ ²</w:t>
      </w:r>
    </w:p>
    <w:p>
      <w:pPr>
        <w:pStyle w:val="BodyText"/>
      </w:pPr>
      <w:r>
        <w:t xml:space="preserve">Le directeur exécutif du comté de Riverton avait convoqué Torres à une réunion budgétaire à 16h00. Une subvention fédérale temporaire soutenant les travailleurs de proximité, la distribution de naloxone et une unité mobile de traitement allait expirer dans neuf mois. Le comté ne pouvait remplacer qu’une partie du financement. On avait demandé à Torres de recommander ce qui devait être préservé, ce qui devait être repensé et ce qui—le cas échéant—devait être abandonné.</w:t>
      </w:r>
    </w:p>
    <w:bookmarkStart w:id="10" w:name="le-défi-central"/>
    <w:p>
      <w:pPr>
        <w:pStyle w:val="Heading2"/>
      </w:pPr>
      <w:r>
        <w:t xml:space="preserve">Le défi central</w:t>
      </w:r>
    </w:p>
    <w:p>
      <w:pPr>
        <w:pStyle w:val="FirstParagraph"/>
      </w:pPr>
      <w:r>
        <w:t xml:space="preserve">Riverton devrait-elle considérer la récente baisse des décès comme la preuve que sa stratégie actuelle fonctionne, comme un répit temporaire, ou comme un signal indiquant que les ressources devraient être redirigées vers une autre phase de l’épidémie ?</w:t>
      </w:r>
    </w:p>
    <w:bookmarkEnd w:id="10"/>
    <w:bookmarkEnd w:id="11"/>
    <w:bookmarkStart w:id="12" w:name="le-comté-de-riverton"/>
    <w:p>
      <w:pPr>
        <w:pStyle w:val="Heading1"/>
      </w:pPr>
      <w:r>
        <w:t xml:space="preserve">Le comté de Riverton</w:t>
      </w:r>
    </w:p>
    <w:p>
      <w:pPr>
        <w:pStyle w:val="FirstParagraph"/>
      </w:pPr>
      <w:r>
        <w:t xml:space="preserve">Le comté de Riverton comptait 618 000 habitants. Son corridor oriental comprenait une université, deux hôpitaux, ainsi que des entreprises technologiques et logistiques en croissance. Ses cantons occidentaux étaient plus ruraux, avec moins de prestataires de traitement et des transports publics limités. Le revenu médian des ménages était de 71 400 $, mais cinq quartiers présentaient des taux de pauvreté supérieurs à 25 %. La population du comté était composée de 46 % de Blancs, 27 % de Noirs, 19 % d’Hispaniques, 5 % d’Asiatiques et 3 % d’autres ou multiraciaux. Toutes les données de Riverton dans ce cas sont fictives mais conçues pour refléter les conditions rencontrées par de nombreuses communautés américaines.</w:t>
      </w:r>
    </w:p>
    <w:bookmarkEnd w:id="12"/>
    <w:bookmarkStart w:id="13" w:name="un-environnement-doverdose-en-évolution"/>
    <w:p>
      <w:pPr>
        <w:pStyle w:val="Heading1"/>
      </w:pPr>
      <w:r>
        <w:t xml:space="preserve">Un environnement d’overdose en évolution</w:t>
      </w:r>
    </w:p>
    <w:p>
      <w:pPr>
        <w:pStyle w:val="FirstParagraph"/>
      </w:pPr>
      <w:r>
        <w:t xml:space="preserve">La réponse de Riverton aux overdoses avait été conçue durant une période de hausse rapide des décès. En 2026, la situation était plus complexe. Moins de personnes mouraient, mais l’offre de drogues illicites restait imprévisible. Le fentanyl demeurait la menace dominante, et de nombreux décès impliquaient plusieurs substances. Les données nationales montraient que le taux de décès liés aux opioïdes synthétiques avait chuté substantiellement entre 2023 et 2024, mais le taux restait de 14,3 décès pour 100 000 personnes.³</w:t>
      </w:r>
    </w:p>
    <w:p>
      <w:pPr>
        <w:pStyle w:val="BodyText"/>
      </w:pPr>
      <w:r>
        <w:t xml:space="preserve">Le système de surveillance du comté présentait également des limites. Les données de mortalité confirmées accusaient un retard de trois à cinq mois. Les registres des SMU étaient disponibles en quelques jours mais ne couvraient que les incidents ayant fait l’objet d’une intervention du 911. Les données hospitalières excluaient les personnes traitées en dehors du comté ou celles qui refusaient le transport. Les équipes de proximité recueillaient des observations précieuses, mais leurs rapports n’étaient pas standardisés.</w:t>
      </w:r>
    </w:p>
    <w:bookmarkEnd w:id="13"/>
    <w:bookmarkStart w:id="14" w:name="le-portefeuille-de-réponse-actuel"/>
    <w:p>
      <w:pPr>
        <w:pStyle w:val="Heading1"/>
      </w:pPr>
      <w:r>
        <w:t xml:space="preserve">Le portefeuille de réponse actuel</w:t>
      </w:r>
    </w:p>
    <w:p>
      <w:pPr>
        <w:pStyle w:val="FirstParagraph"/>
      </w:pPr>
      <w:r>
        <w:rPr>
          <w:b/>
          <w:bCs/>
        </w:rPr>
        <w:t xml:space="preserve">Accès à la naloxone :</w:t>
      </w:r>
      <w:r>
        <w:t xml:space="preserve"> </w:t>
      </w:r>
      <w:r>
        <w:t xml:space="preserve">Des kits gratuits distribués via les pharmacies, bibliothèques, refuges, équipes de proximité et distributeurs automatiques. La distribution était passée de 8 400 kits en 2023 à 22 600 en 2025.</w:t>
      </w:r>
    </w:p>
    <w:p>
      <w:pPr>
        <w:pStyle w:val="BodyText"/>
      </w:pPr>
      <w:r>
        <w:rPr>
          <w:b/>
          <w:bCs/>
        </w:rPr>
        <w:t xml:space="preserve">Traitement mobile :</w:t>
      </w:r>
      <w:r>
        <w:t xml:space="preserve"> </w:t>
      </w:r>
      <w:r>
        <w:t xml:space="preserve">Un bus visitait chaque semaine six sites à haut risque et pouvait initier la buprénorphine, fournir des soins de plaies et orienter les patients vers des soins à plus long terme.</w:t>
      </w:r>
    </w:p>
    <w:p>
      <w:pPr>
        <w:pStyle w:val="BodyText"/>
      </w:pPr>
      <w:r>
        <w:rPr>
          <w:b/>
          <w:bCs/>
        </w:rPr>
        <w:t xml:space="preserve">Suivi post-overdose :</w:t>
      </w:r>
      <w:r>
        <w:t xml:space="preserve"> </w:t>
      </w:r>
      <w:r>
        <w:t xml:space="preserve">Des spécialistes pairs en rétablissement tentaient de contacter les survivants d’overdose dans les 48 heures suivant une intervention des SMU ou une prise en charge hospitalière.</w:t>
      </w:r>
    </w:p>
    <w:p>
      <w:pPr>
        <w:pStyle w:val="BodyText"/>
      </w:pPr>
      <w:r>
        <w:rPr>
          <w:b/>
          <w:bCs/>
        </w:rPr>
        <w:t xml:space="preserve">Prévention en milieu scolaire et professionnel :</w:t>
      </w:r>
      <w:r>
        <w:t xml:space="preserve"> </w:t>
      </w:r>
      <w:r>
        <w:t xml:space="preserve">Des programmes axés sur la stigmatisation, la prescription sécuritaire, la reconnaissance des overdoses et les voies d’accès aux soins.</w:t>
      </w:r>
    </w:p>
    <w:p>
      <w:pPr>
        <w:pStyle w:val="BodyText"/>
      </w:pPr>
      <w:r>
        <w:rPr>
          <w:b/>
          <w:bCs/>
        </w:rPr>
        <w:t xml:space="preserve">Coordination des données :</w:t>
      </w:r>
      <w:r>
        <w:t xml:space="preserve"> </w:t>
      </w:r>
      <w:r>
        <w:t xml:space="preserve">Une petite équipe d’épidémiologie combinait les informations des SMU, des hôpitaux, de la prison, des traitements et de la mortalité dans un tableau de bord mensuel.</w:t>
      </w:r>
    </w:p>
    <w:bookmarkEnd w:id="14"/>
    <w:bookmarkStart w:id="15" w:name="points-de-vue-contradictoires"/>
    <w:p>
      <w:pPr>
        <w:pStyle w:val="Heading1"/>
      </w:pPr>
      <w:r>
        <w:t xml:space="preserve">Points de vue contradictoires</w:t>
      </w:r>
    </w:p>
    <w:p>
      <w:pPr>
        <w:pStyle w:val="FirstParagraph"/>
      </w:pPr>
      <w:r>
        <w:t xml:space="preserve">Le directeur exécutif du comté, Marcus Lee, se concentrait sur la viabilité budgétaire. Il soutenait la naloxone, mais s’interrogeait sur la pertinence pour un comté d’exploiter un bus de traitement alors qu’il existait des prestataires privés. Le système hospitalier privilégiait l’expansion du traitement médicamenteux dans les services d’urgence, mais souhaitait que le comté finance des navigateurs capables d’organiser le suivi des soins. Les responsables policiers soutenaient que les marchés de drogue en plein air et les overdoses répétées exerçaient une pression sur les ressources de sécurité publique. Les défenseurs communautaires avertissaient que des approches axées sur la répression pourraient pousser les personnes vers des environnements plus isolés, où une overdose serait moins susceptible d’être témoignée.</w:t>
      </w:r>
    </w:p>
    <w:p>
      <w:pPr>
        <w:pStyle w:val="BodyText"/>
      </w:pPr>
      <w:r>
        <w:t xml:space="preserve">Les prestataires de traitement mettaient l’accent sur la capacité plutôt que sur la sensibilisation. Leurs cliniques disposaient de créneaux disponibles, mais de nombreux patients ne restaient pas en soins. Le transport, l’instabilité résidentielle, la peur du sevrage, des expériences négatives antérieures et les horaires de travail constituaient des obstacles courants. À l’échelle nationale, 48,4 millions de personnes de 12 ans et plus présentaient un trouble lié à l’usage de substances en 2024.⁴ L’enquête nationale montrait également une variation substantielle dans la gravité et le type de trouble lié à l’usage d’opioïdes, complexifiant tout modèle unique de soins.⁵</w:t>
      </w:r>
    </w:p>
    <w:bookmarkEnd w:id="15"/>
    <w:bookmarkStart w:id="16" w:name="préoccupations-liées-à-léquité"/>
    <w:p>
      <w:pPr>
        <w:pStyle w:val="Heading1"/>
      </w:pPr>
      <w:r>
        <w:t xml:space="preserve">Préoccupations liées à l’équité</w:t>
      </w:r>
    </w:p>
    <w:p>
      <w:pPr>
        <w:pStyle w:val="FirstParagraph"/>
      </w:pPr>
      <w:r>
        <w:t xml:space="preserve">Le déclin global du comté cachait des tendances divergentes. Les overdoses mortelles avaient chuté de 28 % chez les résidents Blancs depuis 2023, mais de seulement 6 % chez les résidents Noirs ; les décès chez les résidents âgés de 45 à 64 ans n’avaient pas diminué du tout. Des recherches antérieures des CDC avaient constaté un élargissement des disparités raciales et associaient des taux d’overdose plus élevés à l’inégalité des revenus et à un accès limité au traitement antérieur.⁶ Le comité consultatif du comté insistait pour que Torres traite explicitement ces différences, mais les membres n’étaient pas d’accord sur la question de savoir si les ressources devaient être allouées proportionnellement à la population, au fardeau des overdoses, aux lacunes en matière de traitement ou au désavantage du quartier.</w:t>
      </w:r>
    </w:p>
    <w:bookmarkEnd w:id="16"/>
    <w:bookmarkStart w:id="17" w:name="limpasse-budgétaire"/>
    <w:p>
      <w:pPr>
        <w:pStyle w:val="Heading1"/>
      </w:pPr>
      <w:r>
        <w:t xml:space="preserve">L’impasse budgétaire</w:t>
      </w:r>
    </w:p>
    <w:p>
      <w:pPr>
        <w:pStyle w:val="FirstParagraph"/>
      </w:pPr>
      <w:r>
        <w:t xml:space="preserve">La subvention expirant fournissait 4,8 millions de $ du budget annuel de 12,6 millions de $ de Riverton consacré à la réponse aux overdoses. Le directeur exécutif du comté offrait 2,4 millions de $ en fonds de remplacement, laissant un écart de 2,4 millions de $. Torres pouvait soumettre un ensemble combinant réductions, refonte des programmes et demande de fonds supplémentaires du comté, mais toute demande supérieure à 2,4 millions de $ entrerait en concurrence avec la santé maternelle, la surveillance des maladies transmissibles et le personnel de santé environnementale.</w:t>
      </w:r>
    </w:p>
    <w:bookmarkEnd w:id="17"/>
    <w:bookmarkStart w:id="18" w:name="programmes-en-cours-dexamen"/>
    <w:p>
      <w:pPr>
        <w:pStyle w:val="Heading1"/>
      </w:pPr>
      <w:r>
        <w:t xml:space="preserve">Programmes en cours d’examen</w:t>
      </w:r>
    </w:p>
    <w:tbl>
      <w:tblPr>
        <w:tblStyle w:val="Table"/>
        <w:tblW w:type="pct" w:w="4931"/>
        <w:tblLayout w:type="fixed"/>
        <w:tblLook w:firstRow="1" w:lastRow="0" w:firstColumn="0" w:lastColumn="0" w:noHBand="0" w:noVBand="0" w:val="0020"/>
      </w:tblPr>
      <w:tblGrid>
        <w:gridCol w:w="1201"/>
        <w:gridCol w:w="764"/>
        <w:gridCol w:w="2184"/>
        <w:gridCol w:w="2894"/>
        <w:gridCol w:w="764"/>
      </w:tblGrid>
      <w:tr>
        <w:trPr>
          <w:tblHeader w:val="on"/>
        </w:trPr>
        <w:tc>
          <w:tcPr/>
          <w:p>
            <w:pPr>
              <w:pStyle w:val="Compact"/>
              <w:jc w:val="left"/>
            </w:pPr>
            <w:r>
              <w:t xml:space="preserve">Programme</w:t>
            </w:r>
          </w:p>
        </w:tc>
        <w:tc>
          <w:tcPr/>
          <w:p>
            <w:pPr>
              <w:pStyle w:val="Compact"/>
              <w:jc w:val="right"/>
            </w:pPr>
            <w:r>
              <w:t xml:space="preserve">Coût annuel</w:t>
            </w:r>
          </w:p>
        </w:tc>
        <w:tc>
          <w:tcPr/>
          <w:p>
            <w:pPr>
              <w:pStyle w:val="Compact"/>
              <w:jc w:val="center"/>
            </w:pPr>
            <w:r>
              <w:t xml:space="preserve">Résultat sélectionné</w:t>
            </w:r>
          </w:p>
        </w:tc>
        <w:tc>
          <w:tcPr/>
          <w:p>
            <w:pPr>
              <w:pStyle w:val="Compact"/>
              <w:jc w:val="center"/>
            </w:pPr>
            <w:r>
              <w:t xml:space="preserve">Préoccupation observée</w:t>
            </w:r>
          </w:p>
        </w:tc>
        <w:tc>
          <w:tcPr/>
          <w:p>
            <w:pPr>
              <w:pStyle w:val="Compact"/>
              <w:jc w:val="right"/>
            </w:pPr>
            <w:r>
              <w:t xml:space="preserve">Part de subvention</w:t>
            </w:r>
          </w:p>
        </w:tc>
      </w:tr>
      <w:tr>
        <w:tc>
          <w:tcPr/>
          <w:p>
            <w:pPr>
              <w:pStyle w:val="Compact"/>
              <w:jc w:val="left"/>
            </w:pPr>
            <w:r>
              <w:t xml:space="preserve">Réseau de naloxone</w:t>
            </w:r>
          </w:p>
        </w:tc>
        <w:tc>
          <w:tcPr/>
          <w:p>
            <w:pPr>
              <w:pStyle w:val="Compact"/>
              <w:jc w:val="right"/>
            </w:pPr>
            <w:r>
              <w:t xml:space="preserve">2,1 M$</w:t>
            </w:r>
          </w:p>
        </w:tc>
        <w:tc>
          <w:tcPr/>
          <w:p>
            <w:pPr>
              <w:pStyle w:val="Compact"/>
              <w:jc w:val="center"/>
            </w:pPr>
            <w:r>
              <w:t xml:space="preserve">22 600 kits ; 1 140 renversements rapp</w:t>
            </w:r>
          </w:p>
        </w:tc>
        <w:tc>
          <w:tcPr/>
          <w:p>
            <w:pPr>
              <w:pStyle w:val="Compact"/>
              <w:jc w:val="center"/>
            </w:pPr>
            <w:r>
              <w:t xml:space="preserve">ortés Taux d’utilisation inconnu ; les kits de remp</w:t>
            </w:r>
          </w:p>
        </w:tc>
        <w:tc>
          <w:tcPr/>
          <w:p>
            <w:pPr>
              <w:pStyle w:val="Compact"/>
              <w:jc w:val="right"/>
            </w:pPr>
            <w:r>
              <w:t xml:space="preserve">lacement souvent non suivis 38%</w:t>
            </w:r>
          </w:p>
        </w:tc>
      </w:tr>
      <w:tr>
        <w:tc>
          <w:tcPr/>
          <w:p>
            <w:pPr>
              <w:pStyle w:val="Compact"/>
              <w:jc w:val="left"/>
            </w:pPr>
            <w:r>
              <w:t xml:space="preserve">Unité mobile</w:t>
            </w:r>
          </w:p>
        </w:tc>
        <w:tc>
          <w:tcPr/>
          <w:p>
            <w:pPr>
              <w:pStyle w:val="Compact"/>
              <w:jc w:val="right"/>
            </w:pPr>
            <w:r>
              <w:t xml:space="preserve">2,8 M$</w:t>
            </w:r>
          </w:p>
        </w:tc>
        <w:tc>
          <w:tcPr/>
          <w:p>
            <w:pPr>
              <w:pStyle w:val="Compact"/>
              <w:jc w:val="center"/>
            </w:pPr>
            <w:r>
              <w:t xml:space="preserve">3 420 visites ; 684 initiations de trai</w:t>
            </w:r>
          </w:p>
        </w:tc>
        <w:tc>
          <w:tcPr/>
          <w:p>
            <w:pPr>
              <w:pStyle w:val="Compact"/>
              <w:jc w:val="center"/>
            </w:pPr>
            <w:r>
              <w:t xml:space="preserve">tement médicamenteux Seulement 34 % maintenus en tr</w:t>
            </w:r>
          </w:p>
        </w:tc>
        <w:tc>
          <w:tcPr/>
          <w:p>
            <w:pPr>
              <w:pStyle w:val="Compact"/>
              <w:jc w:val="right"/>
            </w:pPr>
            <w:r>
              <w:t xml:space="preserve">aitement à 90 jours 61%</w:t>
            </w:r>
          </w:p>
        </w:tc>
      </w:tr>
      <w:tr>
        <w:tc>
          <w:tcPr/>
          <w:p>
            <w:pPr>
              <w:pStyle w:val="Compact"/>
              <w:jc w:val="left"/>
            </w:pPr>
            <w:r>
              <w:t xml:space="preserve">Pairs post-overdose</w:t>
            </w:r>
          </w:p>
        </w:tc>
        <w:tc>
          <w:tcPr/>
          <w:p>
            <w:pPr>
              <w:pStyle w:val="Compact"/>
              <w:jc w:val="right"/>
            </w:pPr>
            <w:r>
              <w:t xml:space="preserve">1,7 M$</w:t>
            </w:r>
          </w:p>
        </w:tc>
        <w:tc>
          <w:tcPr/>
          <w:p>
            <w:pPr>
              <w:pStyle w:val="Compact"/>
              <w:jc w:val="center"/>
            </w:pPr>
            <w:r>
              <w:t xml:space="preserve">1 126 orientations ; 438 contacts</w:t>
            </w:r>
          </w:p>
        </w:tc>
        <w:tc>
          <w:tcPr/>
          <w:p>
            <w:pPr>
              <w:pStyle w:val="Compact"/>
              <w:jc w:val="center"/>
            </w:pPr>
            <w:r>
              <w:t xml:space="preserve">De nombreux survivants inaccessibles ou refusant l’ai</w:t>
            </w:r>
          </w:p>
        </w:tc>
        <w:tc>
          <w:tcPr/>
          <w:p>
            <w:pPr>
              <w:pStyle w:val="Compact"/>
              <w:jc w:val="right"/>
            </w:pPr>
            <w:r>
              <w:t xml:space="preserve">de 47%</w:t>
            </w:r>
          </w:p>
        </w:tc>
      </w:tr>
      <w:tr>
        <w:tc>
          <w:tcPr/>
          <w:p>
            <w:pPr>
              <w:pStyle w:val="Compact"/>
              <w:jc w:val="left"/>
            </w:pPr>
            <w:r>
              <w:t xml:space="preserve">Programmes de préventi</w:t>
            </w:r>
          </w:p>
        </w:tc>
        <w:tc>
          <w:tcPr/>
          <w:p>
            <w:pPr>
              <w:pStyle w:val="Compact"/>
              <w:jc w:val="right"/>
            </w:pPr>
            <w:r>
              <w:t xml:space="preserve">on 1,3 M$</w:t>
            </w:r>
          </w:p>
        </w:tc>
        <w:tc>
          <w:tcPr/>
          <w:p>
            <w:pPr>
              <w:pStyle w:val="Compact"/>
              <w:jc w:val="center"/>
            </w:pPr>
            <w:r>
              <w:t xml:space="preserve">18 400 élèves/travailleurs atteints</w:t>
            </w:r>
          </w:p>
        </w:tc>
        <w:tc>
          <w:tcPr/>
          <w:p>
            <w:pPr>
              <w:pStyle w:val="Compact"/>
              <w:jc w:val="center"/>
            </w:pPr>
            <w:r>
              <w:t xml:space="preserve">Aucun lien direct avec les résultats de mortalit</w:t>
            </w:r>
          </w:p>
        </w:tc>
        <w:tc>
          <w:tcPr/>
          <w:p>
            <w:pPr>
              <w:pStyle w:val="Compact"/>
              <w:jc w:val="right"/>
            </w:pPr>
            <w:r>
              <w:t xml:space="preserve">é 29%</w:t>
            </w:r>
          </w:p>
        </w:tc>
      </w:tr>
      <w:tr>
        <w:tc>
          <w:tcPr/>
          <w:p>
            <w:pPr>
              <w:pStyle w:val="Compact"/>
              <w:jc w:val="left"/>
            </w:pPr>
            <w:r>
              <w:t xml:space="preserve">Surveillance/données</w:t>
            </w:r>
          </w:p>
        </w:tc>
        <w:tc>
          <w:tcPr/>
          <w:p>
            <w:pPr>
              <w:pStyle w:val="Compact"/>
              <w:jc w:val="right"/>
            </w:pPr>
            <w:r>
              <w:t xml:space="preserve">1,2 M$</w:t>
            </w:r>
          </w:p>
        </w:tc>
        <w:tc>
          <w:tcPr/>
          <w:p>
            <w:pPr>
              <w:pStyle w:val="Compact"/>
              <w:jc w:val="center"/>
            </w:pPr>
            <w:r>
              <w:t xml:space="preserve">Tableau de bord mensuel ; alertes de</w:t>
            </w:r>
          </w:p>
        </w:tc>
        <w:tc>
          <w:tcPr/>
          <w:p>
            <w:pPr>
              <w:pStyle w:val="Compact"/>
              <w:jc w:val="center"/>
            </w:pPr>
            <w:r>
              <w:t xml:space="preserve">foyers Retards de partage des données et définitio</w:t>
            </w:r>
          </w:p>
        </w:tc>
        <w:tc>
          <w:tcPr/>
          <w:p>
            <w:pPr>
              <w:pStyle w:val="Compact"/>
              <w:jc w:val="right"/>
            </w:pPr>
            <w:r>
              <w:t xml:space="preserve">ns incohérentes 52%</w:t>
            </w:r>
          </w:p>
        </w:tc>
      </w:tr>
      <w:tr>
        <w:tc>
          <w:tcPr/>
          <w:p>
            <w:pPr>
              <w:pStyle w:val="Compact"/>
              <w:jc w:val="left"/>
            </w:pPr>
            <w:r>
              <w:t xml:space="preserve">Contrats avec les pres</w:t>
            </w:r>
          </w:p>
        </w:tc>
        <w:tc>
          <w:tcPr/>
          <w:p>
            <w:pPr>
              <w:pStyle w:val="Compact"/>
              <w:jc w:val="right"/>
            </w:pPr>
            <w:r>
              <w:t xml:space="preserve">tataires 3,</w:t>
            </w:r>
          </w:p>
        </w:tc>
        <w:tc>
          <w:tcPr/>
          <w:p>
            <w:pPr>
              <w:pStyle w:val="Compact"/>
              <w:jc w:val="center"/>
            </w:pPr>
            <w:r>
              <w:t xml:space="preserve">5 M$ 2 260 places de traitement f</w:t>
            </w:r>
          </w:p>
        </w:tc>
        <w:tc>
          <w:tcPr/>
          <w:p>
            <w:pPr>
              <w:pStyle w:val="Compact"/>
              <w:jc w:val="center"/>
            </w:pPr>
            <w:r>
              <w:t xml:space="preserve">inancées Taux d’utilisation moyen de 72 % ; accès</w:t>
            </w:r>
          </w:p>
        </w:tc>
        <w:tc>
          <w:tcPr/>
          <w:p>
            <w:pPr>
              <w:pStyle w:val="Compact"/>
              <w:jc w:val="right"/>
            </w:pPr>
            <w:r>
              <w:t xml:space="preserve">rural limité 23%</w:t>
            </w:r>
          </w:p>
        </w:tc>
      </w:tr>
    </w:tbl>
    <w:p>
      <w:pPr>
        <w:pStyle w:val="BodyText"/>
      </w:pPr>
      <w:r>
        <w:t xml:space="preserve">Remarque : Les coûts et résultats sont fictifs. La « part de subvention » correspond à la portion actuellement financée par l’aide fédérale expirante.</w:t>
      </w:r>
    </w:p>
    <w:bookmarkEnd w:id="18"/>
    <w:bookmarkStart w:id="19" w:name="X2da4fbdc32e8ad7d165425f99aa43b511596211"/>
    <w:p>
      <w:pPr>
        <w:pStyle w:val="Heading1"/>
      </w:pPr>
      <w:r>
        <w:t xml:space="preserve">Orientations possibles—non mutuellement exclusives</w:t>
      </w:r>
    </w:p>
    <w:p>
      <w:pPr>
        <w:pStyle w:val="FirstParagraph"/>
      </w:pPr>
      <w:r>
        <w:rPr>
          <w:b/>
          <w:bCs/>
        </w:rPr>
        <w:t xml:space="preserve">Se concentrer sur la prévention de la mortalité.</w:t>
      </w:r>
      <w:r>
        <w:t xml:space="preserve"> </w:t>
      </w:r>
      <w:r>
        <w:t xml:space="preserve">Protéger la distribution de naloxone et le suivi des points chauds, en acceptant une continuité de traitement plus faible.</w:t>
      </w:r>
    </w:p>
    <w:p>
      <w:pPr>
        <w:pStyle w:val="BodyText"/>
      </w:pPr>
      <w:r>
        <w:rPr>
          <w:b/>
          <w:bCs/>
        </w:rPr>
        <w:t xml:space="preserve">Se réorienter vers la rétention en traitement.</w:t>
      </w:r>
      <w:r>
        <w:t xml:space="preserve"> </w:t>
      </w:r>
      <w:r>
        <w:t xml:space="preserve">Réduire la distribution large et investir dans le transport, la navigation en matière de soins, la gestion des contingences et un suivi plus long.</w:t>
      </w:r>
    </w:p>
    <w:p>
      <w:pPr>
        <w:pStyle w:val="BodyText"/>
      </w:pPr>
      <w:r>
        <w:rPr>
          <w:b/>
          <w:bCs/>
        </w:rPr>
        <w:t xml:space="preserve">Cibler les populations et les lieux à forte charge.</w:t>
      </w:r>
      <w:r>
        <w:t xml:space="preserve"> </w:t>
      </w:r>
      <w:r>
        <w:t xml:space="preserve">Utiliser les données par quartier et démographiques pour concentrer les ressources, même si l’accès à l’échelle du comté devient moins uniforme.</w:t>
      </w:r>
    </w:p>
    <w:p>
      <w:pPr>
        <w:pStyle w:val="BodyText"/>
      </w:pPr>
      <w:r>
        <w:rPr>
          <w:b/>
          <w:bCs/>
        </w:rPr>
        <w:t xml:space="preserve">Déplacer les services vers les institutions grand public.</w:t>
      </w:r>
      <w:r>
        <w:t xml:space="preserve"> </w:t>
      </w:r>
      <w:r>
        <w:t xml:space="preserve">Contracter avec les hôpitaux, les cabinets de soins primaires, les pharmacies et la prison plutôt que de maintenir des programmes gérés par le comté.</w:t>
      </w:r>
    </w:p>
    <w:p>
      <w:pPr>
        <w:pStyle w:val="BodyText"/>
      </w:pPr>
      <w:r>
        <w:rPr>
          <w:b/>
          <w:bCs/>
        </w:rPr>
        <w:t xml:space="preserve">Constituer un portefeuille plus adaptatif.</w:t>
      </w:r>
      <w:r>
        <w:t xml:space="preserve"> </w:t>
      </w:r>
      <w:r>
        <w:t xml:space="preserve">Réserver une partie du budget pour des expérimentations rapides liées à des indicateurs avancés, avec des programmes étendus ou arrêtés à mesure que les preuves s’accumulent.</w:t>
      </w:r>
    </w:p>
    <w:bookmarkEnd w:id="19"/>
    <w:bookmarkStart w:id="20" w:name="que-signifierait-le-succès"/>
    <w:p>
      <w:pPr>
        <w:pStyle w:val="Heading1"/>
      </w:pPr>
      <w:r>
        <w:t xml:space="preserve">Que signifierait le succès ?</w:t>
      </w:r>
    </w:p>
    <w:p>
      <w:pPr>
        <w:pStyle w:val="FirstParagraph"/>
      </w:pPr>
      <w:r>
        <w:t xml:space="preserve">Les parties prenantes ne s’accordaient pas sur l’objectif. Le directeur exécutif du comté voulait moins de décès par dollar. L’hôpital privilégiait l’initiation du traitement et la réduction de l’utilisation des urgences. Les défenseurs mettaient l’accent sur la survie, la dignité et l’accès équitable. Les responsables policiers se concentraient sur la consommation de drogue en public et les appels répétés. Les prestataires mesuraient la rétention en soins. L’équipe d’épidémiologie avertissait qu’une amélioration apparente d’un indicateur donné pourrait refléter un déplacement, des retards de déclaration, des changements dans la composition des drogues ou un retour à la moyenne.</w:t>
      </w:r>
    </w:p>
    <w:p>
      <w:pPr>
        <w:pStyle w:val="BodyText"/>
      </w:pPr>
      <w:r>
        <w:t xml:space="preserve">Torres devait également décider de la quantité de preuves suffisante. Une importante intervention communautaire financée au niveau fédéral n’avait pas réussi à démontrer une réduction statistiquement significative des taux de décès par overdose d’opioïdes pendant sa période d’évaluation, malgré une augmentation des pratiques fondées sur des données probantes—une illustration de la difficulté de traduire un large ensemble de services en résultats mesurables à l’échelle de la population.⁷</w:t>
      </w:r>
    </w:p>
    <w:bookmarkEnd w:id="20"/>
    <w:bookmarkStart w:id="21" w:name="Xdc9bda43cdcc115d7de9fe66c72971c53217a6f"/>
    <w:p>
      <w:pPr>
        <w:pStyle w:val="Heading1"/>
      </w:pPr>
      <w:r>
        <w:t xml:space="preserve">Exhibit 1. Indicateurs d’overdose de Riverton</w:t>
      </w:r>
    </w:p>
    <w:tbl>
      <w:tblPr>
        <w:tblStyle w:val="Table"/>
        <w:tblW w:type="pct" w:w="4899"/>
        <w:tblLayout w:type="fixed"/>
        <w:tblLook w:firstRow="1" w:lastRow="0" w:firstColumn="0" w:lastColumn="0" w:noHBand="0" w:noVBand="0" w:val="0020"/>
      </w:tblPr>
      <w:tblGrid>
        <w:gridCol w:w="2880"/>
        <w:gridCol w:w="960"/>
        <w:gridCol w:w="960"/>
        <w:gridCol w:w="960"/>
        <w:gridCol w:w="960"/>
        <w:gridCol w:w="1040"/>
      </w:tblGrid>
      <w:tr>
        <w:trPr>
          <w:tblHeader w:val="on"/>
        </w:trPr>
        <w:tc>
          <w:tcPr/>
          <w:p>
            <w:pPr>
              <w:pStyle w:val="Compact"/>
              <w:jc w:val="left"/>
            </w:pPr>
            <w:r>
              <w:t xml:space="preserve">Indicateur</w:t>
            </w:r>
          </w:p>
        </w:tc>
        <w:tc>
          <w:tcPr/>
          <w:p>
            <w:pPr>
              <w:pStyle w:val="Compact"/>
              <w:jc w:val="center"/>
            </w:pPr>
            <w:r>
              <w:t xml:space="preserve">2022</w:t>
            </w:r>
          </w:p>
        </w:tc>
        <w:tc>
          <w:tcPr/>
          <w:p>
            <w:pPr>
              <w:pStyle w:val="Compact"/>
              <w:jc w:val="center"/>
            </w:pPr>
            <w:r>
              <w:t xml:space="preserve">2023</w:t>
            </w:r>
          </w:p>
        </w:tc>
        <w:tc>
          <w:tcPr/>
          <w:p>
            <w:pPr>
              <w:pStyle w:val="Compact"/>
              <w:jc w:val="center"/>
            </w:pPr>
            <w:r>
              <w:t xml:space="preserve">2024</w:t>
            </w:r>
          </w:p>
        </w:tc>
        <w:tc>
          <w:tcPr/>
          <w:p>
            <w:pPr>
              <w:pStyle w:val="Compact"/>
              <w:jc w:val="center"/>
            </w:pPr>
            <w:r>
              <w:t xml:space="preserve">2025</w:t>
            </w:r>
          </w:p>
        </w:tc>
        <w:tc>
          <w:tcPr/>
          <w:p>
            <w:pPr>
              <w:pStyle w:val="Compact"/>
              <w:jc w:val="right"/>
            </w:pPr>
            <w:r>
              <w:t xml:space="preserve">2026 (à ce jour)*</w:t>
            </w:r>
          </w:p>
        </w:tc>
      </w:tr>
      <w:tr>
        <w:tc>
          <w:tcPr/>
          <w:p>
            <w:pPr>
              <w:pStyle w:val="Compact"/>
              <w:jc w:val="left"/>
            </w:pPr>
            <w:r>
              <w:t xml:space="preserve">Overdoses mortelles</w:t>
            </w:r>
          </w:p>
        </w:tc>
        <w:tc>
          <w:tcPr/>
          <w:p>
            <w:pPr>
              <w:pStyle w:val="Compact"/>
              <w:jc w:val="center"/>
            </w:pPr>
            <w:r>
              <w:t xml:space="preserve">118</w:t>
            </w:r>
          </w:p>
        </w:tc>
        <w:tc>
          <w:tcPr/>
          <w:p>
            <w:pPr>
              <w:pStyle w:val="Compact"/>
              <w:jc w:val="center"/>
            </w:pPr>
            <w:r>
              <w:t xml:space="preserve">136</w:t>
            </w:r>
          </w:p>
        </w:tc>
        <w:tc>
          <w:tcPr/>
          <w:p>
            <w:pPr>
              <w:pStyle w:val="Compact"/>
              <w:jc w:val="center"/>
            </w:pPr>
            <w:r>
              <w:t xml:space="preserve">129</w:t>
            </w:r>
          </w:p>
        </w:tc>
        <w:tc>
          <w:tcPr/>
          <w:p>
            <w:pPr>
              <w:pStyle w:val="Compact"/>
              <w:jc w:val="center"/>
            </w:pPr>
            <w:r>
              <w:t xml:space="preserve">101</w:t>
            </w:r>
          </w:p>
        </w:tc>
        <w:tc>
          <w:tcPr/>
          <w:p>
            <w:pPr>
              <w:pStyle w:val="Compact"/>
              <w:jc w:val="right"/>
            </w:pPr>
            <w:r>
              <w:t xml:space="preserve">43</w:t>
            </w:r>
          </w:p>
        </w:tc>
      </w:tr>
      <w:tr>
        <w:tc>
          <w:tcPr/>
          <w:p>
            <w:pPr>
              <w:pStyle w:val="Compact"/>
              <w:jc w:val="left"/>
            </w:pPr>
            <w:r>
              <w:t xml:space="preserve">Overdoses non mortelles traitées par</w:t>
            </w:r>
          </w:p>
        </w:tc>
        <w:tc>
          <w:tcPr/>
          <w:p>
            <w:pPr>
              <w:pStyle w:val="Compact"/>
              <w:jc w:val="center"/>
            </w:pPr>
            <w:r>
              <w:t xml:space="preserve">les SMU 6</w:t>
            </w:r>
          </w:p>
        </w:tc>
        <w:tc>
          <w:tcPr/>
          <w:p>
            <w:pPr>
              <w:pStyle w:val="Compact"/>
              <w:jc w:val="center"/>
            </w:pPr>
            <w:r>
              <w:t xml:space="preserve">42 7</w:t>
            </w:r>
          </w:p>
        </w:tc>
        <w:tc>
          <w:tcPr/>
          <w:p>
            <w:pPr>
              <w:pStyle w:val="Compact"/>
              <w:jc w:val="center"/>
            </w:pPr>
            <w:r>
              <w:t xml:space="preserve">14 7</w:t>
            </w:r>
          </w:p>
        </w:tc>
        <w:tc>
          <w:tcPr/>
          <w:p>
            <w:pPr>
              <w:pStyle w:val="Compact"/>
              <w:jc w:val="center"/>
            </w:pPr>
            <w:r>
              <w:t xml:space="preserve">46 6</w:t>
            </w:r>
          </w:p>
        </w:tc>
        <w:tc>
          <w:tcPr/>
          <w:p>
            <w:pPr>
              <w:pStyle w:val="Compact"/>
              <w:jc w:val="right"/>
            </w:pPr>
            <w:r>
              <w:t xml:space="preserve">91 286</w:t>
            </w:r>
          </w:p>
        </w:tc>
      </w:tr>
      <w:tr>
        <w:tc>
          <w:tcPr/>
          <w:p>
            <w:pPr>
              <w:pStyle w:val="Compact"/>
              <w:jc w:val="left"/>
            </w:pPr>
            <w:r>
              <w:t xml:space="preserve">Administrations de naloxone par les</w:t>
            </w:r>
          </w:p>
        </w:tc>
        <w:tc>
          <w:tcPr/>
          <w:p>
            <w:pPr>
              <w:pStyle w:val="Compact"/>
              <w:jc w:val="center"/>
            </w:pPr>
            <w:r>
              <w:t xml:space="preserve">SMU 508</w:t>
            </w:r>
          </w:p>
        </w:tc>
        <w:tc>
          <w:tcPr/>
          <w:p>
            <w:pPr>
              <w:pStyle w:val="Compact"/>
              <w:jc w:val="center"/>
            </w:pPr>
            <w:r>
              <w:t xml:space="preserve">575</w:t>
            </w:r>
          </w:p>
        </w:tc>
        <w:tc>
          <w:tcPr/>
          <w:p>
            <w:pPr>
              <w:pStyle w:val="Compact"/>
              <w:jc w:val="center"/>
            </w:pPr>
            <w:r>
              <w:t xml:space="preserve">612</w:t>
            </w:r>
          </w:p>
        </w:tc>
        <w:tc>
          <w:tcPr/>
          <w:p>
            <w:pPr>
              <w:pStyle w:val="Compact"/>
              <w:jc w:val="center"/>
            </w:pPr>
            <w:r>
              <w:t xml:space="preserve">584</w:t>
            </w:r>
          </w:p>
        </w:tc>
        <w:tc>
          <w:tcPr/>
          <w:p>
            <w:pPr>
              <w:pStyle w:val="Compact"/>
              <w:jc w:val="right"/>
            </w:pPr>
            <w:r>
              <w:t xml:space="preserve">241</w:t>
            </w:r>
          </w:p>
        </w:tc>
      </w:tr>
      <w:tr>
        <w:tc>
          <w:tcPr/>
          <w:p>
            <w:pPr>
              <w:pStyle w:val="Compact"/>
              <w:jc w:val="left"/>
            </w:pPr>
            <w:r>
              <w:t xml:space="preserve">Prises en charge hospitalières pour</w:t>
            </w:r>
          </w:p>
        </w:tc>
        <w:tc>
          <w:tcPr/>
          <w:p>
            <w:pPr>
              <w:pStyle w:val="Compact"/>
              <w:jc w:val="center"/>
            </w:pPr>
            <w:r>
              <w:t xml:space="preserve">overdose</w:t>
            </w:r>
          </w:p>
        </w:tc>
        <w:tc>
          <w:tcPr/>
          <w:p>
            <w:pPr>
              <w:pStyle w:val="Compact"/>
              <w:jc w:val="center"/>
            </w:pPr>
            <w:r>
              <w:t xml:space="preserve">884</w:t>
            </w:r>
          </w:p>
        </w:tc>
        <w:tc>
          <w:tcPr/>
          <w:p>
            <w:pPr>
              <w:pStyle w:val="Compact"/>
              <w:jc w:val="center"/>
            </w:pPr>
            <w:r>
              <w:t xml:space="preserve">963</w:t>
            </w:r>
          </w:p>
        </w:tc>
        <w:tc>
          <w:tcPr/>
          <w:p>
            <w:pPr>
              <w:pStyle w:val="Compact"/>
              <w:jc w:val="center"/>
            </w:pPr>
            <w:r>
              <w:t xml:space="preserve">1 022</w:t>
            </w:r>
          </w:p>
        </w:tc>
        <w:tc>
          <w:tcPr/>
          <w:p>
            <w:pPr>
              <w:pStyle w:val="Compact"/>
              <w:jc w:val="right"/>
            </w:pPr>
            <w:r>
              <w:t xml:space="preserve">947 412</w:t>
            </w:r>
          </w:p>
        </w:tc>
      </w:tr>
      <w:tr>
        <w:tc>
          <w:tcPr/>
          <w:p>
            <w:pPr>
              <w:pStyle w:val="Compact"/>
              <w:jc w:val="left"/>
            </w:pPr>
            <w:r>
              <w:t xml:space="preserve">Initiations de traitement médicament</w:t>
            </w:r>
          </w:p>
        </w:tc>
        <w:tc>
          <w:tcPr/>
          <w:p>
            <w:pPr>
              <w:pStyle w:val="Compact"/>
              <w:jc w:val="center"/>
            </w:pPr>
            <w:r>
              <w:t xml:space="preserve">eux</w:t>
            </w:r>
          </w:p>
        </w:tc>
        <w:tc>
          <w:tcPr/>
          <w:p>
            <w:pPr>
              <w:pStyle w:val="Compact"/>
              <w:jc w:val="center"/>
            </w:pPr>
            <w:r>
              <w:t xml:space="preserve">611</w:t>
            </w:r>
          </w:p>
        </w:tc>
        <w:tc>
          <w:tcPr/>
          <w:p>
            <w:pPr>
              <w:pStyle w:val="Compact"/>
              <w:jc w:val="center"/>
            </w:pPr>
            <w:r>
              <w:t xml:space="preserve">782</w:t>
            </w:r>
          </w:p>
        </w:tc>
        <w:tc>
          <w:tcPr/>
          <w:p>
            <w:pPr>
              <w:pStyle w:val="Compact"/>
              <w:jc w:val="center"/>
            </w:pPr>
            <w:r>
              <w:t xml:space="preserve">1 036</w:t>
            </w:r>
          </w:p>
        </w:tc>
        <w:tc>
          <w:tcPr/>
          <w:p>
            <w:pPr>
              <w:pStyle w:val="Compact"/>
              <w:jc w:val="right"/>
            </w:pPr>
            <w:r>
              <w:t xml:space="preserve">1 194 566</w:t>
            </w:r>
          </w:p>
        </w:tc>
      </w:tr>
      <w:tr>
        <w:tc>
          <w:tcPr/>
          <w:p>
            <w:pPr>
              <w:pStyle w:val="Compact"/>
              <w:jc w:val="left"/>
            </w:pPr>
            <w:r>
              <w:t xml:space="preserve">Rétention en traitement à 90 jours</w:t>
            </w:r>
          </w:p>
        </w:tc>
        <w:tc>
          <w:tcPr/>
          <w:p>
            <w:pPr>
              <w:pStyle w:val="Compact"/>
              <w:jc w:val="center"/>
            </w:pPr>
            <w:r>
              <w:t xml:space="preserve">29%</w:t>
            </w:r>
          </w:p>
        </w:tc>
        <w:tc>
          <w:tcPr/>
          <w:p>
            <w:pPr>
              <w:pStyle w:val="Compact"/>
              <w:jc w:val="center"/>
            </w:pPr>
            <w:r>
              <w:t xml:space="preserve">31%</w:t>
            </w:r>
          </w:p>
        </w:tc>
        <w:tc>
          <w:tcPr/>
          <w:p>
            <w:pPr>
              <w:pStyle w:val="Compact"/>
              <w:jc w:val="center"/>
            </w:pPr>
            <w:r>
              <w:t xml:space="preserve">34%</w:t>
            </w:r>
          </w:p>
        </w:tc>
        <w:tc>
          <w:tcPr/>
          <w:p>
            <w:pPr>
              <w:pStyle w:val="Compact"/>
              <w:jc w:val="center"/>
            </w:pPr>
            <w:r>
              <w:t xml:space="preserve">36%</w:t>
            </w:r>
          </w:p>
        </w:tc>
        <w:tc>
          <w:tcPr/>
          <w:p>
            <w:pPr>
              <w:pStyle w:val="Compact"/>
              <w:jc w:val="right"/>
            </w:pPr>
            <w:r>
              <w:t xml:space="preserve">35%</w:t>
            </w:r>
          </w:p>
        </w:tc>
      </w:tr>
    </w:tbl>
    <w:p>
      <w:pPr>
        <w:pStyle w:val="BodyText"/>
      </w:pPr>
      <w:r>
        <w:t xml:space="preserve">*Jusqu’au 31 août 2026. Tous les chiffres de Riverton sont fictifs. Les valeurs cumulées de l’année en cours ne sont pas directement comparables aux totaux annuels complets.</w:t>
      </w:r>
    </w:p>
    <w:bookmarkEnd w:id="21"/>
    <w:bookmarkStart w:id="22" w:name="exhibit-2.-résultats-inégaux-20232025"/>
    <w:p>
      <w:pPr>
        <w:pStyle w:val="Heading1"/>
      </w:pPr>
      <w:r>
        <w:t xml:space="preserve">Exhibit 2. Résultats inégaux, 2023–2025</w:t>
      </w:r>
    </w:p>
    <w:tbl>
      <w:tblPr>
        <w:tblStyle w:val="Table"/>
        <w:tblW w:type="pct" w:w="4884"/>
        <w:tblLayout w:type="fixed"/>
        <w:tblLook w:firstRow="1" w:lastRow="0" w:firstColumn="0" w:lastColumn="0" w:noHBand="0" w:noVBand="0" w:val="0020"/>
      </w:tblPr>
      <w:tblGrid>
        <w:gridCol w:w="2762"/>
        <w:gridCol w:w="1657"/>
        <w:gridCol w:w="1657"/>
        <w:gridCol w:w="1657"/>
      </w:tblGrid>
      <w:tr>
        <w:trPr>
          <w:tblHeader w:val="on"/>
        </w:trPr>
        <w:tc>
          <w:tcPr/>
          <w:p>
            <w:pPr>
              <w:pStyle w:val="Compact"/>
              <w:jc w:val="left"/>
            </w:pPr>
            <w:r>
              <w:t xml:space="preserve">Groupe de population</w:t>
            </w:r>
          </w:p>
        </w:tc>
        <w:tc>
          <w:tcPr/>
          <w:p>
            <w:pPr>
              <w:pStyle w:val="Compact"/>
              <w:jc w:val="center"/>
            </w:pPr>
            <w:r>
              <w:t xml:space="preserve">Décès 2023</w:t>
            </w:r>
          </w:p>
        </w:tc>
        <w:tc>
          <w:tcPr/>
          <w:p>
            <w:pPr>
              <w:pStyle w:val="Compact"/>
              <w:jc w:val="center"/>
            </w:pPr>
            <w:r>
              <w:t xml:space="preserve">Décès 2025</w:t>
            </w:r>
          </w:p>
        </w:tc>
        <w:tc>
          <w:tcPr/>
          <w:p>
            <w:pPr>
              <w:pStyle w:val="Compact"/>
              <w:jc w:val="center"/>
            </w:pPr>
            <w:r>
              <w:t xml:space="preserve">Variation</w:t>
            </w:r>
          </w:p>
        </w:tc>
      </w:tr>
      <w:tr>
        <w:tc>
          <w:tcPr/>
          <w:p>
            <w:pPr>
              <w:pStyle w:val="Compact"/>
              <w:jc w:val="left"/>
            </w:pPr>
            <w:r>
              <w:t xml:space="preserve">Résidents Blancs</w:t>
            </w:r>
          </w:p>
        </w:tc>
        <w:tc>
          <w:tcPr/>
          <w:p>
            <w:pPr>
              <w:pStyle w:val="Compact"/>
              <w:jc w:val="center"/>
            </w:pPr>
            <w:r>
              <w:t xml:space="preserve">76</w:t>
            </w:r>
          </w:p>
        </w:tc>
        <w:tc>
          <w:tcPr/>
          <w:p>
            <w:pPr>
              <w:pStyle w:val="Compact"/>
              <w:jc w:val="center"/>
            </w:pPr>
            <w:r>
              <w:t xml:space="preserve">55</w:t>
            </w:r>
          </w:p>
        </w:tc>
        <w:tc>
          <w:tcPr/>
          <w:p>
            <w:pPr>
              <w:pStyle w:val="Compact"/>
              <w:jc w:val="center"/>
            </w:pPr>
            <w:r>
              <w:t xml:space="preserve">-28%</w:t>
            </w:r>
          </w:p>
        </w:tc>
      </w:tr>
      <w:tr>
        <w:tc>
          <w:tcPr/>
          <w:p>
            <w:pPr>
              <w:pStyle w:val="Compact"/>
              <w:jc w:val="left"/>
            </w:pPr>
            <w:r>
              <w:t xml:space="preserve">Résidents Noirs</w:t>
            </w:r>
          </w:p>
        </w:tc>
        <w:tc>
          <w:tcPr/>
          <w:p>
            <w:pPr>
              <w:pStyle w:val="Compact"/>
              <w:jc w:val="center"/>
            </w:pPr>
            <w:r>
              <w:t xml:space="preserve">34</w:t>
            </w:r>
          </w:p>
        </w:tc>
        <w:tc>
          <w:tcPr/>
          <w:p>
            <w:pPr>
              <w:pStyle w:val="Compact"/>
              <w:jc w:val="center"/>
            </w:pPr>
            <w:r>
              <w:t xml:space="preserve">32</w:t>
            </w:r>
          </w:p>
        </w:tc>
        <w:tc>
          <w:tcPr/>
          <w:p>
            <w:pPr>
              <w:pStyle w:val="Compact"/>
              <w:jc w:val="center"/>
            </w:pPr>
            <w:r>
              <w:t xml:space="preserve">-6%</w:t>
            </w:r>
          </w:p>
        </w:tc>
      </w:tr>
      <w:tr>
        <w:tc>
          <w:tcPr/>
          <w:p>
            <w:pPr>
              <w:pStyle w:val="Compact"/>
              <w:jc w:val="left"/>
            </w:pPr>
            <w:r>
              <w:t xml:space="preserve">Résidents Hispaniques</w:t>
            </w:r>
          </w:p>
        </w:tc>
        <w:tc>
          <w:tcPr/>
          <w:p>
            <w:pPr>
              <w:pStyle w:val="Compact"/>
              <w:jc w:val="center"/>
            </w:pPr>
            <w:r>
              <w:t xml:space="preserve">19</w:t>
            </w:r>
          </w:p>
        </w:tc>
        <w:tc>
          <w:tcPr/>
          <w:p>
            <w:pPr>
              <w:pStyle w:val="Compact"/>
              <w:jc w:val="center"/>
            </w:pPr>
            <w:r>
              <w:t xml:space="preserve">11</w:t>
            </w:r>
          </w:p>
        </w:tc>
        <w:tc>
          <w:tcPr/>
          <w:p>
            <w:pPr>
              <w:pStyle w:val="Compact"/>
              <w:jc w:val="center"/>
            </w:pPr>
            <w:r>
              <w:t xml:space="preserve">-42%</w:t>
            </w:r>
          </w:p>
        </w:tc>
      </w:tr>
      <w:tr>
        <w:tc>
          <w:tcPr/>
          <w:p>
            <w:pPr>
              <w:pStyle w:val="Compact"/>
              <w:jc w:val="left"/>
            </w:pPr>
            <w:r>
              <w:t xml:space="preserve">Résidents autres/multiraciaux</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-57%</w:t>
            </w:r>
          </w:p>
        </w:tc>
      </w:tr>
      <w:tr>
        <w:tc>
          <w:tcPr/>
          <w:p>
            <w:pPr>
              <w:pStyle w:val="Compact"/>
              <w:jc w:val="left"/>
            </w:pPr>
            <w:r>
              <w:t xml:space="preserve">45–64 ans</w:t>
            </w:r>
          </w:p>
        </w:tc>
        <w:tc>
          <w:tcPr/>
          <w:p>
            <w:pPr>
              <w:pStyle w:val="Compact"/>
              <w:jc w:val="center"/>
            </w:pPr>
            <w:r>
              <w:t xml:space="preserve">47</w:t>
            </w:r>
          </w:p>
        </w:tc>
        <w:tc>
          <w:tcPr/>
          <w:p>
            <w:pPr>
              <w:pStyle w:val="Compact"/>
              <w:jc w:val="center"/>
            </w:pPr>
            <w:r>
              <w:t xml:space="preserve">47</w:t>
            </w:r>
          </w:p>
        </w:tc>
        <w:tc>
          <w:tcPr/>
          <w:p>
            <w:pPr>
              <w:pStyle w:val="Compact"/>
              <w:jc w:val="center"/>
            </w:pPr>
            <w:r>
              <w:t xml:space="preserve">0%</w:t>
            </w:r>
          </w:p>
        </w:tc>
      </w:tr>
      <w:tr>
        <w:tc>
          <w:tcPr/>
          <w:p>
            <w:pPr>
              <w:pStyle w:val="Compact"/>
              <w:jc w:val="left"/>
            </w:pPr>
            <w:r>
              <w:t xml:space="preserve">Cantons ruraux occidentaux</w:t>
            </w:r>
          </w:p>
        </w:tc>
        <w:tc>
          <w:tcPr/>
          <w:p>
            <w:pPr>
              <w:pStyle w:val="Compact"/>
              <w:jc w:val="center"/>
            </w:pPr>
            <w:r>
              <w:t xml:space="preserve">29</w:t>
            </w:r>
          </w:p>
        </w:tc>
        <w:tc>
          <w:tcPr/>
          <w:p>
            <w:pPr>
              <w:pStyle w:val="Compact"/>
              <w:jc w:val="center"/>
            </w:pPr>
            <w:r>
              <w:t xml:space="preserve">27</w:t>
            </w:r>
          </w:p>
        </w:tc>
        <w:tc>
          <w:tcPr/>
          <w:p>
            <w:pPr>
              <w:pStyle w:val="Compact"/>
              <w:jc w:val="center"/>
            </w:pPr>
            <w:r>
              <w:t xml:space="preserve">-7%</w:t>
            </w:r>
          </w:p>
        </w:tc>
      </w:tr>
    </w:tbl>
    <w:bookmarkEnd w:id="22"/>
    <w:bookmarkStart w:id="23" w:name="questions-de-discussion"/>
    <w:p>
      <w:pPr>
        <w:pStyle w:val="Heading1"/>
      </w:pPr>
      <w:r>
        <w:t xml:space="preserve">Questions de discussion</w:t>
      </w:r>
    </w:p>
    <w:p>
      <w:pPr>
        <w:numPr>
          <w:ilvl w:val="0"/>
          <w:numId w:val="1001"/>
        </w:numPr>
      </w:pPr>
      <w:r>
        <w:t xml:space="preserve">Quel problème demande-t-on réellement à Torres de résoudre ? Comment différentes définitions du problème changeraient-elles la recommandation ?</w:t>
      </w:r>
    </w:p>
    <w:p>
      <w:pPr>
        <w:numPr>
          <w:ilvl w:val="0"/>
          <w:numId w:val="1001"/>
        </w:numPr>
      </w:pPr>
      <w:r>
        <w:t xml:space="preserve">Quels indicateurs de performance devraient régir le portefeuille : les décès, les overdoses non mortelles, les initiations de traitement, la rétention, l’équité, les troubles à l’ordre public, le coût, ou une combinaison de ceux-ci ?</w:t>
      </w:r>
    </w:p>
    <w:p>
      <w:pPr>
        <w:numPr>
          <w:ilvl w:val="0"/>
          <w:numId w:val="1001"/>
        </w:numPr>
      </w:pPr>
      <w:r>
        <w:t xml:space="preserve">Quelles décisions sont urgentes et lesquelles pourraient être reportées jusqu’à l’obtention de meilleures informations ?</w:t>
      </w:r>
    </w:p>
    <w:p>
      <w:pPr>
        <w:numPr>
          <w:ilvl w:val="0"/>
          <w:numId w:val="1001"/>
        </w:numPr>
      </w:pPr>
      <w:r>
        <w:t xml:space="preserve">Quelles incertitudes importent le plus ? Lesquelles pourraient être réduites grâce à la collecte de données ou à un projet pilote limité ?</w:t>
      </w:r>
    </w:p>
    <w:p>
      <w:pPr>
        <w:numPr>
          <w:ilvl w:val="0"/>
          <w:numId w:val="1001"/>
        </w:numPr>
      </w:pPr>
      <w:r>
        <w:t xml:space="preserve">Comment le comté devrait-il interpréter la baisse des décès au niveau national et local alors que l’exposition au fentanyl et la demande de services restent élevées ?</w:t>
      </w:r>
    </w:p>
    <w:p>
      <w:pPr>
        <w:numPr>
          <w:ilvl w:val="0"/>
          <w:numId w:val="1001"/>
        </w:numPr>
      </w:pPr>
      <w:r>
        <w:t xml:space="preserve">Quels principes d’allocation seraient défendables lorsque les résultats diffèrent fortement selon les groupes démographiques et les quartiers ?</w:t>
      </w:r>
    </w:p>
    <w:p>
      <w:pPr>
        <w:numPr>
          <w:ilvl w:val="0"/>
          <w:numId w:val="1001"/>
        </w:numPr>
      </w:pPr>
      <w:r>
        <w:t xml:space="preserve">Préparez une recommandation pour la réunion de 16h00, incluant un budget, des priorités de mise en œuvre et des indicateurs qui déclencheraient de futurs changements.</w:t>
      </w:r>
    </w:p>
    <w:bookmarkEnd w:id="23"/>
    <w:bookmarkStart w:id="29"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établir la portée du problème.</w:t>
      </w:r>
    </w:p>
    <w:p>
      <w:pPr>
        <w:numPr>
          <w:ilvl w:val="0"/>
          <w:numId w:val="1002"/>
        </w:numPr>
      </w:pPr>
      <w:r>
        <w:t xml:space="preserve">Utilisez l’</w:t>
      </w:r>
      <w:hyperlink r:id="rId24">
        <w:r>
          <w:rPr>
            <w:rStyle w:val="Hyperlink"/>
          </w:rPr>
          <w:t xml:space="preserve">outil de pyramide des indicateurs</w:t>
        </w:r>
      </w:hyperlink>
      <w:r>
        <w:t xml:space="preserve"> </w:t>
      </w:r>
      <w:r>
        <w:t xml:space="preserve">pour identifier et hiérarchiser les différents indicateurs de performance. Cliquez sur l’ovale contenant l’indicateur pour indiquer s’il s’agit d’un indicateur à maximiser (vert), à minimiser (rouge), d’une cible constituant un plancher (vert clair) ou un plafond (rouge clair), ou enfin d’une cible (violet).</w:t>
      </w:r>
    </w:p>
    <w:p>
      <w:pPr>
        <w:numPr>
          <w:ilvl w:val="0"/>
          <w:numId w:val="1002"/>
        </w:numPr>
      </w:pPr>
      <w:r>
        <w:t xml:space="preserve">Utilisez l’</w:t>
      </w:r>
      <w:hyperlink r:id="rId25">
        <w:r>
          <w:rPr>
            <w:rStyle w:val="Hyperlink"/>
          </w:rPr>
          <w:t xml:space="preserve">outil de priorisation des décisions</w:t>
        </w:r>
      </w:hyperlink>
      <w:r>
        <w:t xml:space="preserve"> </w:t>
      </w:r>
      <w:r>
        <w:t xml:space="preserve">pour d’abord lister les différents types de décisions (utilisez les</w:t>
      </w:r>
      <w:r>
        <w:t xml:space="preserve"> </w:t>
      </w:r>
      <w:hyperlink r:id="rId26">
        <w:r>
          <w:rPr>
            <w:rStyle w:val="Hyperlink"/>
          </w:rPr>
          <w:t xml:space="preserve">types de décisions</w:t>
        </w:r>
      </w:hyperlink>
      <w:r>
        <w:t xml:space="preserve"> </w:t>
      </w:r>
      <w:r>
        <w:t xml:space="preserve">comme guide). Celles-ci alimenteront ensuite les lignes de la matrice à droite, où les colonnes sont les indicateurs de performance triés de gauche à droite selon la priorité dans la pyramide ci-dessus. Cliquez sur chaque cellule pour indiquer si l’impact de la décision sur chaque indicateur est élevé (rouge), moyen (orange), faible (jaune) ou nul (blanc).</w:t>
      </w:r>
    </w:p>
    <w:p>
      <w:pPr>
        <w:numPr>
          <w:ilvl w:val="0"/>
          <w:numId w:val="1002"/>
        </w:numPr>
      </w:pPr>
      <w:r>
        <w:t xml:space="preserve">Vous pouvez saisir la poignée (trois barres) la plus à gauche de chaque ligne pour la déplacer vers le haut ou le bas. Triez les lignes de manière à ce que les décisions ayant le plus grand impact sur les indicateurs les plus importants soient en haut. Les cellules dans le coin supérieur gauche devraient présenter la plus forte concentration de cellules rouges et orange. À ce stade, identifiez les décisions qui devraient recevoir le plus d’attention dans votre étude. Si vous n’avez aucune décision avec un impact moyen ou élevé sur les indicateurs les plus importants, révisez votre liste de décisions.</w:t>
      </w:r>
    </w:p>
    <w:p>
      <w:pPr>
        <w:numPr>
          <w:ilvl w:val="0"/>
          <w:numId w:val="1002"/>
        </w:numPr>
      </w:pPr>
      <w:r>
        <w:t xml:space="preserve">Répétez le processus pour lister et hiérarchiser les incertitudes en utilisant l’</w:t>
      </w:r>
      <w:hyperlink r:id="rId27">
        <w:r>
          <w:rPr>
            <w:rStyle w:val="Hyperlink"/>
          </w:rPr>
          <w:t xml:space="preserve">outil de priorisation des incertitudes</w:t>
        </w:r>
      </w:hyperlink>
      <w:r>
        <w:t xml:space="preserve">. Utilisez les</w:t>
      </w:r>
      <w:r>
        <w:t xml:space="preserve"> </w:t>
      </w:r>
      <w:hyperlink r:id="rId28">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captées en utilisant la performance moyenne au fil du temps ?</w:t>
      </w:r>
    </w:p>
    <w:p>
      <w:pPr>
        <w:numPr>
          <w:ilvl w:val="1"/>
          <w:numId w:val="1003"/>
        </w:numPr>
      </w:pPr>
      <w:r>
        <w:t xml:space="preserve">Quelles sources d’incertitude représentent des formes de risque qui ne sont pas correctement captées en utilisant des moyennes ?</w:t>
      </w:r>
    </w:p>
    <w:p>
      <w:pPr>
        <w:numPr>
          <w:ilvl w:val="0"/>
          <w:numId w:val="1002"/>
        </w:numPr>
      </w:pPr>
      <w:r>
        <w:t xml:space="preserve">Choisissez la décision unique qui semble avoir l’impact le plus élevé sur l’indicateur le plus important.</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 indicateur de performance sur lequel la décision aurait un impact élevé ou moyen.</w:t>
      </w:r>
    </w:p>
    <w:p>
      <w:pPr>
        <w:numPr>
          <w:ilvl w:val="0"/>
          <w:numId w:val="1002"/>
        </w:numPr>
      </w:pPr>
      <w:r>
        <w:t xml:space="preserve">En utilisant la même décision identifiée au point (7), identifiez les personnes, départements, groupes ou organisations avec lesquels vous devriez travailler pour mettre en œuvre la décision.</w:t>
      </w:r>
    </w:p>
    <w:bookmarkEnd w:id="29"/>
    <w:bookmarkStart w:id="30" w:name="sources-et-notes"/>
    <w:p>
      <w:pPr>
        <w:pStyle w:val="Heading1"/>
      </w:pPr>
      <w:r>
        <w:t xml:space="preserve">Sources et notes</w:t>
      </w:r>
    </w:p>
    <w:p>
      <w:pPr>
        <w:pStyle w:val="FirstParagraph"/>
      </w:pPr>
      <w:r>
        <w:t xml:space="preserve">1. CDC, « U.S. Overdose Deaths Decrease Almost 27% in 2024 », 14 mai 2025. Les décès estimés impliquant des opioïdes sont passés de 83 140 en 2023 à 54 743 en 2024.</w:t>
      </w:r>
    </w:p>
    <w:p>
      <w:pPr>
        <w:pStyle w:val="BodyText"/>
      </w:pPr>
      <w:r>
        <w:t xml:space="preserve">2. CDC, « U.S. Overdose Deaths Decrease for Third Consecutive Year », 13 mai 2026. Les décès estimés impliquant des opioïdes ont diminué à 44 564 en 2025 ; plusieurs États ont connu des augmentations.</w:t>
      </w:r>
    </w:p>
    <w:p>
      <w:pPr>
        <w:pStyle w:val="BodyText"/>
      </w:pPr>
      <w:r>
        <w:t xml:space="preserve">3. CDC/NCHS, « Drug Overdose Deaths in the United States, 2023–2024 », Data Brief n° 549. Le taux ajusté selon l’âge impliquant des opioïdes synthétiques autres que la méthadone est passé de 22,2 à 14,3 pour 100 000.</w:t>
      </w:r>
    </w:p>
    <w:p>
      <w:pPr>
        <w:pStyle w:val="BodyText"/>
      </w:pPr>
      <w:r>
        <w:t xml:space="preserve">4. SAMHSA, publication de l’Enquête nationale sur la consommation de drogues et la santé 2024 : 48,4 millions de personnes de 12 ans et plus présentaient un trouble lié à l’usage de substances au cours de l’année écoulée.</w:t>
      </w:r>
    </w:p>
    <w:p>
      <w:pPr>
        <w:pStyle w:val="BodyText"/>
      </w:pPr>
      <w:r>
        <w:t xml:space="preserve">5. SAMHSA, Résultats de l’Enquête nationale sur la consommation de drogues et la santé 2024. Parmi les personnes dont le trouble lié à l’usage d’opioïdes impliquait un mésusage, 42,4 % présentaient un trouble léger et 37,1 % un trouble sévère.</w:t>
      </w:r>
    </w:p>
    <w:p>
      <w:pPr>
        <w:pStyle w:val="BodyText"/>
      </w:pPr>
      <w:r>
        <w:t xml:space="preserve">6. CDC, Vital Signs : Drug Overdose Deaths and Disparities. De 2019 à 2020, les taux de décès par overdose ont augmenté de 44 % chez les personnes Noires et de 39 % chez les personnes Amérindiennes/autochtones d’Alaska ; les preuves relatives au traitement étaient les plus faibles parmi plusieurs groupes raciaux et ethniques.</w:t>
      </w:r>
    </w:p>
    <w:p>
      <w:pPr>
        <w:pStyle w:val="BodyText"/>
      </w:pPr>
      <w:r>
        <w:t xml:space="preserve">7. National Institute on Drug Abuse, juin 2024, rapport sur la HEALing Communities Study : l’intervention a augmenté les pratiques fondées sur des données probantes mais n’a pas réduit significativement les taux de décès par overdose d’opioïdes pendant la période d’évaluation.</w:t>
      </w:r>
    </w:p>
    <w:bookmarkEnd w:id="30"/>
    <w:bookmarkStart w:id="33" w:name="notes-de-chatgpt"/>
    <w:p>
      <w:pPr>
        <w:pStyle w:val="Heading1"/>
      </w:pPr>
      <w:r>
        <w:t xml:space="preserve">Notes de ChatGPT</w:t>
      </w:r>
    </w:p>
    <w:bookmarkStart w:id="31" w:name="invite"/>
    <w:p>
      <w:pPr>
        <w:pStyle w:val="Heading2"/>
      </w:pPr>
      <w:r>
        <w:t xml:space="preserve">Invite</w:t>
      </w:r>
    </w:p>
    <w:p>
      <w:pPr>
        <w:pStyle w:val="FirstParagraph"/>
      </w:pPr>
      <w:r>
        <w:t xml:space="preserve">Études de cas - En utilisant le style d’une étude de cas d’école de commerce, créez une étude de cas sur un problème de santé publique, appuyée par des statistiques. Elle devrait comporter 3 à 5 pages dans un document Word, bien organisée, mais sans idée claire sur la façon de résoudre le problème.</w:t>
      </w:r>
    </w:p>
    <w:bookmarkEnd w:id="31"/>
    <w:bookmarkStart w:id="32" w:name="résumé"/>
    <w:p>
      <w:pPr>
        <w:pStyle w:val="Heading2"/>
      </w:pPr>
      <w:r>
        <w:t xml:space="preserve">Résumé</w:t>
      </w:r>
    </w:p>
    <w:p>
      <w:pPr>
        <w:pStyle w:val="FirstParagraph"/>
      </w:pPr>
      <w:r>
        <w:t xml:space="preserve">Elle utilise un format de cas d’école de commerce et comprend :</w:t>
      </w:r>
    </w:p>
    <w:p>
      <w:pPr>
        <w:numPr>
          <w:ilvl w:val="0"/>
          <w:numId w:val="1005"/>
        </w:numPr>
      </w:pPr>
      <w:r>
        <w:t xml:space="preserve">Un comté fictif confronté à une crise du fentanyl et des overdoses</w:t>
      </w:r>
    </w:p>
    <w:p>
      <w:pPr>
        <w:numPr>
          <w:ilvl w:val="0"/>
          <w:numId w:val="1005"/>
        </w:numPr>
      </w:pPr>
      <w:r>
        <w:t xml:space="preserve">Des statistiques nationales actuelles provenant des CDC, de la SAMHSA et du NIDA</w:t>
      </w:r>
    </w:p>
    <w:p>
      <w:pPr>
        <w:numPr>
          <w:ilvl w:val="0"/>
          <w:numId w:val="1005"/>
        </w:numPr>
      </w:pPr>
      <w:r>
        <w:t xml:space="preserve">Des perspectives contradictoires des parties prenantes</w:t>
      </w:r>
    </w:p>
    <w:p>
      <w:pPr>
        <w:numPr>
          <w:ilvl w:val="0"/>
          <w:numId w:val="1005"/>
        </w:numPr>
      </w:pPr>
      <w:r>
        <w:t xml:space="preserve">Un déficit de financement et des données budgétaires par programme</w:t>
      </w:r>
    </w:p>
    <w:p>
      <w:pPr>
        <w:numPr>
          <w:ilvl w:val="0"/>
          <w:numId w:val="1005"/>
        </w:numPr>
      </w:pPr>
      <w:r>
        <w:t xml:space="preserve">Des incertitudes en matière de performance, d’équité et de mesure</w:t>
      </w:r>
    </w:p>
    <w:p>
      <w:pPr>
        <w:numPr>
          <w:ilvl w:val="0"/>
          <w:numId w:val="1005"/>
        </w:numPr>
      </w:pPr>
      <w:r>
        <w:t xml:space="preserve">Des annexes quantitatives et des questions de discussion</w:t>
      </w:r>
    </w:p>
    <w:p>
      <w:pPr>
        <w:numPr>
          <w:ilvl w:val="0"/>
          <w:numId w:val="1005"/>
        </w:numPr>
      </w:pPr>
      <w:r>
        <w:t xml:space="preserve">Aucune solution clairement privilégiée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2026-09-11T15:57:46Z</dcterms:created>
  <dcterms:modified xsi:type="dcterms:W3CDTF">2026-09-11T15:57:46Z</dcterms:modified>
</cp:coreProperties>
</file>

<file path=docProps/custom.xml><?xml version="1.0" encoding="utf-8"?>
<Properties xmlns="http://schemas.openxmlformats.org/officeDocument/2006/custom-properties" xmlns:vt="http://schemas.openxmlformats.org/officeDocument/2006/docPropsVTypes"/>
</file>