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SUMMIT RIDGE ASSET MANAGEMENT</w:t>
      </w:r>
    </w:p>
    <w:p>
      <w:pPr>
        <w:pStyle w:val="BodyText"/>
      </w:pPr>
      <w:r>
        <w:t xml:space="preserve">La décision de trésorerie du lundi matin</w:t>
      </w:r>
    </w:p>
    <w:p>
      <w:pPr>
        <w:pStyle w:val="BodyText"/>
      </w:pPr>
      <w:r>
        <w:t xml:space="preserve">Une étude de cas sur un fonds commun de placement portant sur les flux d’investisseurs, la liquidité, la performance du portefeuille et les transactions sous pression</w:t>
      </w:r>
    </w:p>
    <w:p>
      <w:pPr>
        <w:pStyle w:val="BodyText"/>
      </w:pPr>
      <w:r>
        <w:t xml:space="preserve">Cette étude de cas est fictive et destinée à des fins de discussion pédagogique. Les noms, événements, fonds et chiffres internes sont inventés, bien que le contexte du secteur soit motivé par des données publiques.</w:t>
      </w:r>
    </w:p>
    <w:bookmarkStart w:id="9" w:name="un-week-end-de-mauvaises-nouvelles"/>
    <w:p>
      <w:pPr>
        <w:pStyle w:val="Heading1"/>
      </w:pPr>
      <w:r>
        <w:t xml:space="preserve">Un week-end de mauvaises nouvelles</w:t>
      </w:r>
    </w:p>
    <w:p>
      <w:pPr>
        <w:pStyle w:val="FirstParagraph"/>
      </w:pPr>
      <w:r>
        <w:t xml:space="preserve">À 7 h 05, le lundi 12 octobre 2026, Elena Marquez, directrice des investissements de Summit Ridge Asset Management, a ouvert un message de l’agent de transfert de la société. Les investisseurs du Summit Ridge Select Equity Fund avaient soumis environ 318 millions de dollars de demandes de rachat depuis vendredi après-midi. La plupart provenaient de trois comptes institutionnels. Les ordres de détail étaient encore en cours de traitement et pouvaient ajouter de 40 à 90 millions de dollars supplémentaires avant l’heure limite de valorisation de l’après-midi du fonds.</w:t>
      </w:r>
    </w:p>
    <w:p>
      <w:pPr>
        <w:pStyle w:val="BodyText"/>
      </w:pPr>
      <w:r>
        <w:t xml:space="preserve">Ces demandes sont survenues après un week-end difficile. Une grande entreprise technologique avait averti que son chiffre d’affaires trimestriel serait inférieur aux attentes. Les marchés étrangers avaient fortement chuté, les taux des bons du Trésor avaient augmenté, et les contrats à terme sur indices indiquaient que les actions américaines pourraient ouvrir en baisse de plus de 2 %. Plusieurs des plus grandes positions du fonds étaient susceptibles de figurer parmi les titres les plus échangés à l’ouverture.</w:t>
      </w:r>
    </w:p>
    <w:p>
      <w:pPr>
        <w:pStyle w:val="BodyText"/>
      </w:pPr>
      <w:r>
        <w:t xml:space="preserve">Le fonds détenait 246 millions de dollars en liquidités et en bons du Trésor, soit 2,9 % de l’actif net. Marquez pouvait satisfaire une grande partie de la demande de rachat connue sans vendre d’actions, mais cela laisserait peu de liquidités pour d’éventuels retraits supplémentaires. Elle pouvait lever davantage de liquidités immédiatement, mais vendre dans un marché en baisse risquait de figer des prix défavorables et de modifier le portefeuille. Détenir une réserve de liquidités permanente plus importante réduirait ce risque, mais pourrait également faire prendre du retard au fonds par rapport à son indice de référence lors des marchés haussiers.</w:t>
      </w:r>
    </w:p>
    <w:tbl>
      <w:tblPr>
        <w:tblStyle w:val="Table"/>
        <w:tblW w:type="auto" w:w="0"/>
        <w:tblLook w:firstRow="0" w:lastRow="0" w:firstColumn="0" w:lastColumn="0" w:noHBand="0" w:noVBand="0" w:val="0000"/>
      </w:tblPr>
      <w:tblGrid>
        <w:gridCol w:w="7920"/>
      </w:tblGrid>
      <w:tr>
        <w:tc>
          <w:tcPr/>
          <w:p>
            <w:pPr>
              <w:pStyle w:val="Compact"/>
            </w:pPr>
            <w:r>
              <w:t xml:space="preserve">Summit Ridge n’avait pas besoin de décider si les liquidités étaient utiles. Elle devait décider quel niveau de liquidité était suffisant, quand le lever, et quels investisseurs devraient supporter le coût lorsque les flux forçaient le portefeuille à négocier.</w:t>
            </w:r>
          </w:p>
        </w:tc>
      </w:tr>
    </w:tbl>
    <w:p>
      <w:r>
        <w:pict>
          <v:rect style="width:0;height:1.5pt" o:hralign="center" o:hrstd="t" o:hr="t"/>
        </w:pict>
      </w:r>
    </w:p>
    <w:bookmarkEnd w:id="9"/>
    <w:bookmarkStart w:id="11" w:name="summit-ridge-et-le-select-equity-fund"/>
    <w:p>
      <w:pPr>
        <w:pStyle w:val="Heading1"/>
      </w:pPr>
      <w:r>
        <w:t xml:space="preserve">Summit Ridge et le Select Equity Fund</w:t>
      </w:r>
    </w:p>
    <w:p>
      <w:pPr>
        <w:pStyle w:val="FirstParagraph"/>
      </w:pPr>
      <w:r>
        <w:t xml:space="preserve">Summit Ridge était une société de gestion d’investissement détenue de manière privée, gérant 41 milliards de dollars répartis entre fonds communs de placement, comptes gérés séparément et produits de retraite. Le Select Equity Fund était sa stratégie phare, détenant un portefeuille concentré d’entreprises américaines de grande et moyenne capitalisation. Il avait produit de solides résultats à long terme, mais la performance récente avait été irrégulière, les investisseurs ayant fait des allers-retours entre actions de croissance, secteurs défensifs, obligations et fonds monétaires.</w:t>
      </w:r>
    </w:p>
    <w:p>
      <w:pPr>
        <w:pStyle w:val="BodyText"/>
      </w:pPr>
      <w:r>
        <w:t xml:space="preserve">Le secteur américain des fonds communs de placement était immense. Les fonds communs de placement à long terme détenaient environ 25,3 billions de dollars d’actifs en mai 2026, dont environ 17,8 billions de dollars en fonds d’actions et 5,7 billions de dollars en fonds obligataires. La taille du secteur n’éliminait pas la volatilité des flux. Pour la semaine se terminant le 15 juillet 2026, les fonds communs de placement à long terme ont enregistré des sorties nettes estimées à 15,43 milliards de dollars, alors même que les fonds négociés en bourse affichaient une émission nette. Les actifs des fonds monétaires avaient dépassé 7 billions de dollars en mars 2025, les investisseurs recherchant la liquidité et des rendements à court terme attractifs.</w:t>
      </w:r>
    </w:p>
    <w:p>
      <w:pPr>
        <w:pStyle w:val="BodyText"/>
      </w:pPr>
      <w:r>
        <w:t xml:space="preserve">Les fonds ouverts étaient tenus de se tenir prêts à racheter des parts à la valeur liquidative. Summit Ridge devait donc convertir une partie du portefeuille en liquidités lorsque les retraits dépassaient les nouveaux achats. Les règles de liquidité de la Securities and Exchange Commission exigeaient également que les fonds évaluent la rapidité avec laquelle les positions pouvaient être converties en liquidités et, le cas échéant, maintiennent un niveau minimal d’investissements hautement liquides.</w:t>
      </w:r>
    </w:p>
    <w:bookmarkStart w:id="10" w:name="exhibit-1.-profil-du-select-equity-fund"/>
    <w:p>
      <w:pPr>
        <w:pStyle w:val="Heading2"/>
      </w:pPr>
      <w:r>
        <w:t xml:space="preserve">Exhibit 1. Profil du Select Equity Fund</w:t>
      </w:r>
    </w:p>
    <w:tbl>
      <w:tblPr>
        <w:tblStyle w:val="Table"/>
        <w:tblW w:type="pct" w:w="4861"/>
        <w:tblLayout w:type="fixed"/>
        <w:tblLook w:firstRow="1" w:lastRow="0" w:firstColumn="0" w:lastColumn="0" w:noHBand="0" w:noVBand="0" w:val="0020"/>
      </w:tblPr>
      <w:tblGrid>
        <w:gridCol w:w="3630"/>
        <w:gridCol w:w="1980"/>
        <w:gridCol w:w="2090"/>
      </w:tblGrid>
      <w:tr>
        <w:trPr>
          <w:tblHeader w:val="on"/>
        </w:trPr>
        <w:tc>
          <w:tcPr/>
          <w:p>
            <w:pPr>
              <w:pStyle w:val="Compact"/>
              <w:jc w:val="left"/>
            </w:pPr>
            <w:r>
              <w:t xml:space="preserve">Mesure</w:t>
            </w:r>
          </w:p>
        </w:tc>
        <w:tc>
          <w:tcPr/>
          <w:p>
            <w:pPr>
              <w:pStyle w:val="Compact"/>
              <w:jc w:val="right"/>
            </w:pPr>
            <w:r>
              <w:t xml:space="preserve">Valeur actuelle</w:t>
            </w:r>
          </w:p>
        </w:tc>
        <w:tc>
          <w:tcPr/>
          <w:p>
            <w:pPr>
              <w:pStyle w:val="Compact"/>
              <w:jc w:val="right"/>
            </w:pPr>
            <w:r>
              <w:t xml:space="preserve">Valeur un an plus tôt</w:t>
            </w:r>
          </w:p>
        </w:tc>
      </w:tr>
      <w:tr>
        <w:tc>
          <w:tcPr/>
          <w:p>
            <w:pPr>
              <w:pStyle w:val="Compact"/>
              <w:jc w:val="left"/>
            </w:pPr>
            <w:r>
              <w:t xml:space="preserve">Actif net</w:t>
            </w:r>
          </w:p>
        </w:tc>
        <w:tc>
          <w:tcPr/>
          <w:p>
            <w:pPr>
              <w:pStyle w:val="Compact"/>
              <w:jc w:val="right"/>
            </w:pPr>
            <w:r>
              <w:t xml:space="preserve">8,48 milliards $</w:t>
            </w:r>
          </w:p>
        </w:tc>
        <w:tc>
          <w:tcPr/>
          <w:p>
            <w:pPr>
              <w:pStyle w:val="Compact"/>
              <w:jc w:val="right"/>
            </w:pPr>
            <w:r>
              <w:t xml:space="preserve">7,92 milliards $</w:t>
            </w:r>
          </w:p>
        </w:tc>
      </w:tr>
      <w:tr>
        <w:tc>
          <w:tcPr/>
          <w:p>
            <w:pPr>
              <w:pStyle w:val="Compact"/>
              <w:jc w:val="left"/>
            </w:pPr>
            <w:r>
              <w:t xml:space="preserve">Nombre de positions en portefeuil</w:t>
            </w:r>
          </w:p>
        </w:tc>
        <w:tc>
          <w:tcPr/>
          <w:p>
            <w:pPr>
              <w:pStyle w:val="Compact"/>
              <w:jc w:val="right"/>
            </w:pPr>
            <w:r>
              <w:t xml:space="preserve">le 64</w:t>
            </w:r>
          </w:p>
        </w:tc>
        <w:tc>
          <w:tcPr/>
          <w:p>
            <w:pPr>
              <w:pStyle w:val="Compact"/>
              <w:jc w:val="right"/>
            </w:pPr>
            <w:r>
              <w:t xml:space="preserve">61</w:t>
            </w:r>
          </w:p>
        </w:tc>
      </w:tr>
      <w:tr>
        <w:tc>
          <w:tcPr/>
          <w:p>
            <w:pPr>
              <w:pStyle w:val="Compact"/>
              <w:jc w:val="left"/>
            </w:pPr>
            <w:r>
              <w:t xml:space="preserve">Liquidités et bons du Trésor</w:t>
            </w:r>
          </w:p>
        </w:tc>
        <w:tc>
          <w:tcPr/>
          <w:p>
            <w:pPr>
              <w:pStyle w:val="Compact"/>
              <w:jc w:val="right"/>
            </w:pPr>
            <w:r>
              <w:t xml:space="preserve">246 millions $</w:t>
            </w:r>
          </w:p>
        </w:tc>
        <w:tc>
          <w:tcPr/>
          <w:p>
            <w:pPr>
              <w:pStyle w:val="Compact"/>
              <w:jc w:val="right"/>
            </w:pPr>
            <w:r>
              <w:t xml:space="preserve">332 millions $</w:t>
            </w:r>
          </w:p>
        </w:tc>
      </w:tr>
      <w:tr>
        <w:tc>
          <w:tcPr/>
          <w:p>
            <w:pPr>
              <w:pStyle w:val="Compact"/>
              <w:jc w:val="left"/>
            </w:pPr>
            <w:r>
              <w:t xml:space="preserve">Liquidités en % de l’actif net</w:t>
            </w:r>
          </w:p>
        </w:tc>
        <w:tc>
          <w:tcPr/>
          <w:p>
            <w:pPr>
              <w:pStyle w:val="Compact"/>
              <w:jc w:val="right"/>
            </w:pPr>
            <w:r>
              <w:t xml:space="preserve">2,9 %</w:t>
            </w:r>
          </w:p>
        </w:tc>
        <w:tc>
          <w:tcPr/>
          <w:p>
            <w:pPr>
              <w:pStyle w:val="Compact"/>
              <w:jc w:val="right"/>
            </w:pPr>
            <w:r>
              <w:t xml:space="preserve">4,2 %</w:t>
            </w:r>
          </w:p>
        </w:tc>
      </w:tr>
      <w:tr>
        <w:tc>
          <w:tcPr/>
          <w:p>
            <w:pPr>
              <w:pStyle w:val="Compact"/>
              <w:jc w:val="left"/>
            </w:pPr>
            <w:r>
              <w:t xml:space="preserve">Dix plus grandes positions</w:t>
            </w:r>
          </w:p>
        </w:tc>
        <w:tc>
          <w:tcPr/>
          <w:p>
            <w:pPr>
              <w:pStyle w:val="Compact"/>
              <w:jc w:val="right"/>
            </w:pPr>
            <w:r>
              <w:t xml:space="preserve">39,6 % de l’actif</w:t>
            </w:r>
          </w:p>
        </w:tc>
        <w:tc>
          <w:tcPr/>
          <w:p>
            <w:pPr>
              <w:pStyle w:val="Compact"/>
              <w:jc w:val="right"/>
            </w:pPr>
            <w:r>
              <w:t xml:space="preserve">37,8 % de l’actif</w:t>
            </w:r>
          </w:p>
        </w:tc>
      </w:tr>
      <w:tr>
        <w:tc>
          <w:tcPr/>
          <w:p>
            <w:pPr>
              <w:pStyle w:val="Compact"/>
              <w:jc w:val="left"/>
            </w:pPr>
            <w:r>
              <w:t xml:space="preserve">Classe de parts institutionnelles</w:t>
            </w:r>
          </w:p>
        </w:tc>
        <w:tc>
          <w:tcPr/>
          <w:p>
            <w:pPr>
              <w:pStyle w:val="Compact"/>
              <w:jc w:val="right"/>
            </w:pPr>
            <w:r>
              <w:t xml:space="preserve">57 % de l’actif</w:t>
            </w:r>
          </w:p>
        </w:tc>
        <w:tc>
          <w:tcPr/>
          <w:p>
            <w:pPr>
              <w:pStyle w:val="Compact"/>
              <w:jc w:val="right"/>
            </w:pPr>
            <w:r>
              <w:t xml:space="preserve">54 % de l’actif</w:t>
            </w:r>
          </w:p>
        </w:tc>
      </w:tr>
      <w:tr>
        <w:tc>
          <w:tcPr/>
          <w:p>
            <w:pPr>
              <w:pStyle w:val="Compact"/>
              <w:jc w:val="left"/>
            </w:pPr>
            <w:r>
              <w:t xml:space="preserve">Comptes de détail et de retraite</w:t>
            </w:r>
          </w:p>
        </w:tc>
        <w:tc>
          <w:tcPr/>
          <w:p>
            <w:pPr>
              <w:pStyle w:val="Compact"/>
              <w:jc w:val="right"/>
            </w:pPr>
            <w:r>
              <w:t xml:space="preserve">43 % de l’actif</w:t>
            </w:r>
          </w:p>
        </w:tc>
        <w:tc>
          <w:tcPr/>
          <w:p>
            <w:pPr>
              <w:pStyle w:val="Compact"/>
              <w:jc w:val="right"/>
            </w:pPr>
            <w:r>
              <w:t xml:space="preserve">46 % de l’actif</w:t>
            </w:r>
          </w:p>
        </w:tc>
      </w:tr>
      <w:tr>
        <w:tc>
          <w:tcPr/>
          <w:p>
            <w:pPr>
              <w:pStyle w:val="Compact"/>
              <w:jc w:val="left"/>
            </w:pPr>
            <w:r>
              <w:t xml:space="preserve">Rendement sur un an</w:t>
            </w:r>
          </w:p>
        </w:tc>
        <w:tc>
          <w:tcPr/>
          <w:p>
            <w:pPr>
              <w:pStyle w:val="Compact"/>
              <w:jc w:val="right"/>
            </w:pPr>
            <w:r>
              <w:t xml:space="preserve">8,7 %</w:t>
            </w:r>
          </w:p>
        </w:tc>
        <w:tc>
          <w:tcPr/>
          <w:p>
            <w:pPr>
              <w:pStyle w:val="Compact"/>
              <w:jc w:val="right"/>
            </w:pPr>
            <w:r>
              <w:t xml:space="preserve">14,9 % (indice de référence)</w:t>
            </w:r>
          </w:p>
        </w:tc>
      </w:tr>
    </w:tbl>
    <w:p>
      <w:pPr>
        <w:pStyle w:val="BodyText"/>
      </w:pPr>
      <w:r>
        <w:t xml:space="preserve">Source : estimations internes de Summit Ridge ; tous les chiffres spécifiques au fonds sont fictifs.</w:t>
      </w:r>
    </w:p>
    <w:bookmarkEnd w:id="10"/>
    <w:bookmarkEnd w:id="11"/>
    <w:bookmarkStart w:id="13" w:name="deux-types-dinvestisseurs"/>
    <w:p>
      <w:pPr>
        <w:pStyle w:val="Heading1"/>
      </w:pPr>
      <w:r>
        <w:t xml:space="preserve">Deux types d’investisseurs</w:t>
      </w:r>
    </w:p>
    <w:p>
      <w:pPr>
        <w:pStyle w:val="FirstParagraph"/>
      </w:pPr>
      <w:r>
        <w:t xml:space="preserve">Le fonds servait à la fois des investisseurs de détail et des investisseurs institutionnels. Les achats et rachats de détail arrivaient par le biais de plans de retraite, de plateformes de courtage, de conseillers financiers et de comptes directs. Ces ordres étaient nombreux mais généralement de petite taille. L’agent de transfert avait souvent une visibilité partielle en cours de journée, les totaux définitifs n’étant disponibles qu’après que les intermédiaires aient terminé leur traitement.</w:t>
      </w:r>
    </w:p>
    <w:p>
      <w:pPr>
        <w:pStyle w:val="BodyText"/>
      </w:pPr>
      <w:r>
        <w:t xml:space="preserve">Les investisseurs institutionnels se comportaient différemment. Les fonds de pension, les fondations et les sociétés de conseil déplaçaient parfois des dizaines ou des centaines de millions de dollars d’un seul coup. Certains prévenaient Summit Ridge à l’avance, mais d’autres attendaient le jour même de la transaction. Une institution rachetant 200 millions de dollars pouvait modifier de manière significative la position de liquidités du fonds, même si des milliers d’investisseurs de détail achetaient des parts au même moment.</w:t>
      </w:r>
    </w:p>
    <w:p>
      <w:pPr>
        <w:pStyle w:val="BodyText"/>
      </w:pPr>
      <w:r>
        <w:t xml:space="preserve">Les flux n’étaient pas indépendants des marchés. Une performance solide et des marchés en hausse attiraient souvent des achats, permettant à l’équipe de gestion de portefeuille de déployer progressivement de nouvelles liquidités. Les baisses de marché, une publicité défavorable ou une période de sous-performance par rapport à l’indice de référence pouvaient déclencher des rachats précisément au moment où la liquidité était la plus coûteuse. Des taux d’intérêt à court terme plus élevés pouvaient également encourager les investisseurs à déplacer leurs fonds des fonds d’actions vers des fonds monétaires ou des fonds obligataires.</w:t>
      </w:r>
    </w:p>
    <w:bookmarkStart w:id="12" w:name="Xab60187990c3d1cc09512c87b4a466941fe10b5"/>
    <w:p>
      <w:pPr>
        <w:pStyle w:val="Heading2"/>
      </w:pPr>
      <w:r>
        <w:t xml:space="preserve">Exhibit 2. Flux quotidiens récents des investisseurs</w:t>
      </w:r>
    </w:p>
    <w:tbl>
      <w:tblPr>
        <w:tblStyle w:val="Table"/>
        <w:tblW w:type="pct" w:w="4899"/>
        <w:tblLayout w:type="fixed"/>
        <w:tblLook w:firstRow="1" w:lastRow="0" w:firstColumn="0" w:lastColumn="0" w:noHBand="0" w:noVBand="0" w:val="0020"/>
      </w:tblPr>
      <w:tblGrid>
        <w:gridCol w:w="1520"/>
        <w:gridCol w:w="1520"/>
        <w:gridCol w:w="2000"/>
        <w:gridCol w:w="1280"/>
        <w:gridCol w:w="1440"/>
      </w:tblGrid>
      <w:tr>
        <w:trPr>
          <w:tblHeader w:val="on"/>
        </w:trPr>
        <w:tc>
          <w:tcPr/>
          <w:p>
            <w:pPr>
              <w:pStyle w:val="Compact"/>
              <w:jc w:val="left"/>
            </w:pPr>
            <w:r>
              <w:t xml:space="preserve">Jour de bourse</w:t>
            </w:r>
          </w:p>
        </w:tc>
        <w:tc>
          <w:tcPr/>
          <w:p>
            <w:pPr>
              <w:pStyle w:val="Compact"/>
              <w:jc w:val="right"/>
            </w:pPr>
            <w:r>
              <w:t xml:space="preserve">Flux net de détai</w:t>
            </w:r>
          </w:p>
        </w:tc>
        <w:tc>
          <w:tcPr/>
          <w:p>
            <w:pPr>
              <w:pStyle w:val="Compact"/>
            </w:pPr>
            <w:r>
              <w:t xml:space="preserve">l Flux net institutionn</w:t>
            </w:r>
          </w:p>
        </w:tc>
        <w:tc>
          <w:tcPr/>
          <w:p>
            <w:pPr>
              <w:pStyle w:val="Compact"/>
            </w:pPr>
            <w:r>
              <w:t xml:space="preserve">el Rendement d</w:t>
            </w:r>
          </w:p>
        </w:tc>
        <w:tc>
          <w:tcPr/>
          <w:p>
            <w:pPr>
              <w:pStyle w:val="Compact"/>
            </w:pPr>
            <w:r>
              <w:t xml:space="preserve">u marché Liquidités de clôture</w:t>
            </w:r>
          </w:p>
        </w:tc>
      </w:tr>
      <w:tr>
        <w:tc>
          <w:tcPr/>
          <w:p>
            <w:pPr>
              <w:pStyle w:val="Compact"/>
              <w:jc w:val="left"/>
            </w:pPr>
            <w:r>
              <w:t xml:space="preserve">Lun. 5 oct.</w:t>
            </w:r>
          </w:p>
        </w:tc>
        <w:tc>
          <w:tcPr/>
          <w:p>
            <w:pPr>
              <w:pStyle w:val="Compact"/>
              <w:jc w:val="right"/>
            </w:pPr>
            <w:r>
              <w:t xml:space="preserve">+18 M$</w:t>
            </w:r>
          </w:p>
        </w:tc>
        <w:tc>
          <w:tcPr/>
          <w:p>
            <w:pPr>
              <w:pStyle w:val="Compact"/>
            </w:pPr>
            <w:r>
              <w:t xml:space="preserve">-22 M$</w:t>
            </w:r>
          </w:p>
        </w:tc>
        <w:tc>
          <w:tcPr/>
          <w:p>
            <w:pPr>
              <w:pStyle w:val="Compact"/>
            </w:pPr>
            <w:r>
              <w:t xml:space="preserve">+0,6 %</w:t>
            </w:r>
          </w:p>
        </w:tc>
        <w:tc>
          <w:tcPr/>
          <w:p>
            <w:pPr>
              <w:pStyle w:val="Compact"/>
            </w:pPr>
            <w:r>
              <w:t xml:space="preserve">279 M$</w:t>
            </w:r>
          </w:p>
        </w:tc>
      </w:tr>
      <w:tr>
        <w:tc>
          <w:tcPr/>
          <w:p>
            <w:pPr>
              <w:pStyle w:val="Compact"/>
              <w:jc w:val="left"/>
            </w:pPr>
            <w:r>
              <w:t xml:space="preserve">Mar. 6 oct.</w:t>
            </w:r>
          </w:p>
        </w:tc>
        <w:tc>
          <w:tcPr/>
          <w:p>
            <w:pPr>
              <w:pStyle w:val="Compact"/>
              <w:jc w:val="right"/>
            </w:pPr>
            <w:r>
              <w:t xml:space="preserve">-11 M$</w:t>
            </w:r>
          </w:p>
        </w:tc>
        <w:tc>
          <w:tcPr/>
          <w:p>
            <w:pPr>
              <w:pStyle w:val="Compact"/>
            </w:pPr>
            <w:r>
              <w:t xml:space="preserve">+35 M$</w:t>
            </w:r>
          </w:p>
        </w:tc>
        <w:tc>
          <w:tcPr/>
          <w:p>
            <w:pPr>
              <w:pStyle w:val="Compact"/>
            </w:pPr>
            <w:r>
              <w:t xml:space="preserve">+0,2 %</w:t>
            </w:r>
          </w:p>
        </w:tc>
        <w:tc>
          <w:tcPr/>
          <w:p>
            <w:pPr>
              <w:pStyle w:val="Compact"/>
            </w:pPr>
            <w:r>
              <w:t xml:space="preserve">301 M$</w:t>
            </w:r>
          </w:p>
        </w:tc>
      </w:tr>
      <w:tr>
        <w:tc>
          <w:tcPr/>
          <w:p>
            <w:pPr>
              <w:pStyle w:val="Compact"/>
              <w:jc w:val="left"/>
            </w:pPr>
            <w:r>
              <w:t xml:space="preserve">Mer. 7 oct.</w:t>
            </w:r>
          </w:p>
        </w:tc>
        <w:tc>
          <w:tcPr/>
          <w:p>
            <w:pPr>
              <w:pStyle w:val="Compact"/>
              <w:jc w:val="right"/>
            </w:pPr>
            <w:r>
              <w:t xml:space="preserve">-24 M$</w:t>
            </w:r>
          </w:p>
        </w:tc>
        <w:tc>
          <w:tcPr/>
          <w:p>
            <w:pPr>
              <w:pStyle w:val="Compact"/>
            </w:pPr>
            <w:r>
              <w:t xml:space="preserve">-61 M$</w:t>
            </w:r>
          </w:p>
        </w:tc>
        <w:tc>
          <w:tcPr/>
          <w:p>
            <w:pPr>
              <w:pStyle w:val="Compact"/>
            </w:pPr>
            <w:r>
              <w:t xml:space="preserve">-1,1 %</w:t>
            </w:r>
          </w:p>
        </w:tc>
        <w:tc>
          <w:tcPr/>
          <w:p>
            <w:pPr>
              <w:pStyle w:val="Compact"/>
            </w:pPr>
            <w:r>
              <w:t xml:space="preserve">268 M$</w:t>
            </w:r>
          </w:p>
        </w:tc>
      </w:tr>
      <w:tr>
        <w:tc>
          <w:tcPr/>
          <w:p>
            <w:pPr>
              <w:pStyle w:val="Compact"/>
              <w:jc w:val="left"/>
            </w:pPr>
            <w:r>
              <w:t xml:space="preserve">Jeu. 8 oct.</w:t>
            </w:r>
          </w:p>
        </w:tc>
        <w:tc>
          <w:tcPr/>
          <w:p>
            <w:pPr>
              <w:pStyle w:val="Compact"/>
              <w:jc w:val="right"/>
            </w:pPr>
            <w:r>
              <w:t xml:space="preserve">+7 M$</w:t>
            </w:r>
          </w:p>
        </w:tc>
        <w:tc>
          <w:tcPr/>
          <w:p>
            <w:pPr>
              <w:pStyle w:val="Compact"/>
            </w:pPr>
            <w:r>
              <w:t xml:space="preserve">-14 M$</w:t>
            </w:r>
          </w:p>
        </w:tc>
        <w:tc>
          <w:tcPr/>
          <w:p>
            <w:pPr>
              <w:pStyle w:val="Compact"/>
            </w:pPr>
            <w:r>
              <w:t xml:space="preserve">+0,4 %</w:t>
            </w:r>
          </w:p>
        </w:tc>
        <w:tc>
          <w:tcPr/>
          <w:p>
            <w:pPr>
              <w:pStyle w:val="Compact"/>
            </w:pPr>
            <w:r>
              <w:t xml:space="preserve">251 M$</w:t>
            </w:r>
          </w:p>
        </w:tc>
      </w:tr>
      <w:tr>
        <w:tc>
          <w:tcPr/>
          <w:p>
            <w:pPr>
              <w:pStyle w:val="Compact"/>
              <w:jc w:val="left"/>
            </w:pPr>
            <w:r>
              <w:t xml:space="preserve">Ven. 9 oct.</w:t>
            </w:r>
          </w:p>
        </w:tc>
        <w:tc>
          <w:tcPr/>
          <w:p>
            <w:pPr>
              <w:pStyle w:val="Compact"/>
              <w:jc w:val="right"/>
            </w:pPr>
            <w:r>
              <w:t xml:space="preserve">-16 M$</w:t>
            </w:r>
          </w:p>
        </w:tc>
        <w:tc>
          <w:tcPr/>
          <w:p>
            <w:pPr>
              <w:pStyle w:val="Compact"/>
            </w:pPr>
            <w:r>
              <w:t xml:space="preserve">+9 M$</w:t>
            </w:r>
          </w:p>
        </w:tc>
        <w:tc>
          <w:tcPr/>
          <w:p>
            <w:pPr>
              <w:pStyle w:val="Compact"/>
            </w:pPr>
            <w:r>
              <w:t xml:space="preserve">-0,7 %</w:t>
            </w:r>
          </w:p>
        </w:tc>
        <w:tc>
          <w:tcPr/>
          <w:p>
            <w:pPr>
              <w:pStyle w:val="Compact"/>
            </w:pPr>
            <w:r>
              <w:t xml:space="preserve">246 M$</w:t>
            </w:r>
          </w:p>
        </w:tc>
      </w:tr>
      <w:tr>
        <w:tc>
          <w:tcPr/>
          <w:p>
            <w:pPr>
              <w:pStyle w:val="Compact"/>
              <w:jc w:val="left"/>
            </w:pPr>
            <w:r>
              <w:t xml:space="preserve">Estimation du week-</w:t>
            </w:r>
          </w:p>
        </w:tc>
        <w:tc>
          <w:tcPr/>
          <w:p>
            <w:pPr>
              <w:pStyle w:val="Compact"/>
              <w:jc w:val="right"/>
            </w:pPr>
            <w:r>
              <w:t xml:space="preserve">end -40 M$ à -90</w:t>
            </w:r>
          </w:p>
        </w:tc>
        <w:tc>
          <w:tcPr/>
          <w:p>
            <w:pPr>
              <w:pStyle w:val="Compact"/>
            </w:pPr>
            <w:r>
              <w:t xml:space="preserve">M$ -278 M$</w:t>
            </w:r>
          </w:p>
        </w:tc>
        <w:tc>
          <w:tcPr/>
          <w:p>
            <w:pPr>
              <w:pStyle w:val="Compact"/>
            </w:pPr>
            <w:r>
              <w:t xml:space="preserve">Contrats à terme</w:t>
            </w:r>
          </w:p>
        </w:tc>
        <w:tc>
          <w:tcPr/>
          <w:p>
            <w:pPr>
              <w:pStyle w:val="Compact"/>
            </w:pPr>
            <w:r>
              <w:t xml:space="preserve">-2,1 % Non encore réglé</w:t>
            </w:r>
          </w:p>
        </w:tc>
      </w:tr>
    </w:tbl>
    <w:p>
      <w:pPr>
        <w:pStyle w:val="BodyText"/>
      </w:pPr>
      <w:r>
        <w:t xml:space="preserve">Source : tableau de bord des flux de Summit Ridge ; fictif.</w:t>
      </w:r>
    </w:p>
    <w:bookmarkEnd w:id="12"/>
    <w:bookmarkEnd w:id="13"/>
    <w:bookmarkStart w:id="15" w:name="le-coût-dune-trésorerie-insuffisante"/>
    <w:p>
      <w:pPr>
        <w:pStyle w:val="Heading1"/>
      </w:pPr>
      <w:r>
        <w:t xml:space="preserve">Le coût d’une trésorerie insuffisante</w:t>
      </w:r>
    </w:p>
    <w:p>
      <w:pPr>
        <w:pStyle w:val="FirstParagraph"/>
      </w:pPr>
      <w:r>
        <w:t xml:space="preserve">Si les liquidités disponibles du fonds tombaient en dessous du montant nécessaire pour les rachats, le pupitre de négociation devrait vendre des titres. Le coût direct comprenait les commissions, les écarts entre cours acheteur et vendeur, les taxes sur certains marchés, et l’impact de marché. Le coût indirect pouvait être plus important. Une vente précipitée pouvait se produire à un prix déprimé, révéler les intentions de Summit Ridge à d’autres opérateurs, ou éloigner le portefeuille des positions préférées de l’équipe d’investissement.</w:t>
      </w:r>
    </w:p>
    <w:p>
      <w:pPr>
        <w:pStyle w:val="BodyText"/>
      </w:pPr>
      <w:r>
        <w:t xml:space="preserve">Le gestionnaire de portefeuille Victor Hale soutenait que les positions les plus liquides devraient être vendues en premier, car elles pouvaient être converties en liquidités rapidement et à faible coût. Marquez s’inquiétait du fait que vendre de manière répétée les titres les plus liquides laisserait le reste du portefeuille plus difficile à négocier. Cela pourrait également accroître la concentration dans des positions ou des secteurs plus petits que l’équipe d’investissement n’aurait pas choisi de surpondérer.</w:t>
      </w:r>
    </w:p>
    <w:p>
      <w:pPr>
        <w:pStyle w:val="BodyText"/>
      </w:pPr>
      <w:r>
        <w:t xml:space="preserve">Le pupitre pourrait à la place vendre des positions que les analystes jugeaient moins attrayantes. Cette approche pourrait améliorer le portefeuille, mais ces titres étaient parfois moins liquides. Le jugement d’investissement pouvait également se révéler erroné. Une action vendue pour satisfaire des rachats pourrait rebondir le lendemain, laissant aux actionnaires restants une perte permanente par rapport à une stratégie qui aurait détenu davantage de liquidités.</w:t>
      </w:r>
    </w:p>
    <w:bookmarkStart w:id="14" w:name="X0142639fb4fcb411ab12cd3f5820220db26a974"/>
    <w:p>
      <w:pPr>
        <w:pStyle w:val="Heading2"/>
      </w:pPr>
      <w:r>
        <w:t xml:space="preserve">Exhibit 3. Sources potentielles de 200 millions de dollars de liquidités supplémentaires</w:t>
      </w:r>
    </w:p>
    <w:tbl>
      <w:tblPr>
        <w:tblStyle w:val="Table"/>
        <w:tblW w:type="pct" w:w="4923"/>
        <w:tblLayout w:type="fixed"/>
        <w:tblLook w:firstRow="1" w:lastRow="0" w:firstColumn="0" w:lastColumn="0" w:noHBand="0" w:noVBand="0" w:val="0020"/>
      </w:tblPr>
      <w:tblGrid>
        <w:gridCol w:w="2132"/>
        <w:gridCol w:w="1766"/>
        <w:gridCol w:w="2376"/>
        <w:gridCol w:w="1523"/>
      </w:tblGrid>
      <w:tr>
        <w:trPr>
          <w:tblHeader w:val="on"/>
        </w:trPr>
        <w:tc>
          <w:tcPr/>
          <w:p>
            <w:pPr>
              <w:pStyle w:val="Compact"/>
              <w:jc w:val="left"/>
            </w:pPr>
            <w:r>
              <w:t xml:space="preserve">Action</w:t>
            </w:r>
          </w:p>
        </w:tc>
        <w:tc>
          <w:tcPr/>
          <w:p>
            <w:pPr>
              <w:pStyle w:val="Compact"/>
              <w:jc w:val="right"/>
            </w:pPr>
            <w:r>
              <w:t xml:space="preserve">Coût de négociation estimé</w:t>
            </w:r>
          </w:p>
        </w:tc>
        <w:tc>
          <w:tcPr/>
          <w:p>
            <w:pPr>
              <w:pStyle w:val="Compact"/>
              <w:jc w:val="center"/>
            </w:pPr>
            <w:r>
              <w:t xml:space="preserve">Effet sur le portefeuille</w:t>
            </w:r>
          </w:p>
        </w:tc>
        <w:tc>
          <w:tcPr/>
          <w:p>
            <w:pPr>
              <w:pStyle w:val="Compact"/>
              <w:jc w:val="right"/>
            </w:pPr>
            <w:r>
              <w:t xml:space="preserve">Disponibilité</w:t>
            </w:r>
          </w:p>
        </w:tc>
      </w:tr>
      <w:tr>
        <w:tc>
          <w:tcPr/>
          <w:p>
            <w:pPr>
              <w:pStyle w:val="Compact"/>
              <w:jc w:val="left"/>
            </w:pPr>
            <w:r>
              <w:t xml:space="preserve">Vendre des contrats à terme sur ind</w:t>
            </w:r>
          </w:p>
        </w:tc>
        <w:tc>
          <w:tcPr/>
          <w:p>
            <w:pPr>
              <w:pStyle w:val="Compact"/>
              <w:jc w:val="right"/>
            </w:pPr>
            <w:r>
              <w:t xml:space="preserve">ices / utiliser une couvertur</w:t>
            </w:r>
          </w:p>
        </w:tc>
        <w:tc>
          <w:tcPr/>
          <w:p>
            <w:pPr>
              <w:pStyle w:val="Compact"/>
              <w:jc w:val="center"/>
            </w:pPr>
            <w:r>
              <w:t xml:space="preserve">e 0,3 M</w:t>
            </w:r>
            <m:oMath>
              <m:r>
                <m:rPr>
                  <m:sty m:val="p"/>
                </m:rPr>
                <m:t>−</m:t>
              </m:r>
              <m:r>
                <m:t>0</m:t>
              </m:r>
              <m:r>
                <m:rPr>
                  <m:sty m:val="p"/>
                </m:rPr>
                <m:t>,</m:t>
              </m:r>
              <m:r>
                <m:t>7</m:t>
              </m:r>
              <m:r>
                <m:t>M</m:t>
              </m:r>
            </m:oMath>
            <w:r>
              <w:t xml:space="preserve"> </w:t>
            </w:r>
            <w:r>
              <w:t xml:space="preserve">Réduit tempo</w:t>
            </w:r>
          </w:p>
        </w:tc>
        <w:tc>
          <w:tcPr/>
          <w:p>
            <w:pPr>
              <w:pStyle w:val="Compact"/>
              <w:jc w:val="right"/>
            </w:pPr>
            <w:r>
              <w:t xml:space="preserve">rairement l’exposition au marché Même jour</w:t>
            </w:r>
          </w:p>
        </w:tc>
      </w:tr>
      <w:tr>
        <w:tc>
          <w:tcPr/>
          <w:p>
            <w:pPr>
              <w:pStyle w:val="Compact"/>
              <w:jc w:val="left"/>
            </w:pPr>
            <w:r>
              <w:t xml:space="preserve">Vendre les 10 positions les plus li</w:t>
            </w:r>
          </w:p>
        </w:tc>
        <w:tc>
          <w:tcPr/>
          <w:p>
            <w:pPr>
              <w:pStyle w:val="Compact"/>
              <w:jc w:val="right"/>
            </w:pPr>
            <w:r>
              <w:t xml:space="preserve">quides 0,8 M</w:t>
            </w:r>
            <m:oMath>
              <m:r>
                <m:rPr>
                  <m:sty m:val="p"/>
                </m:rPr>
                <m:t>−</m:t>
              </m:r>
              <m:r>
                <m:t>1</m:t>
              </m:r>
              <m:r>
                <m:rPr>
                  <m:sty m:val="p"/>
                </m:rPr>
                <m:t>,</m:t>
              </m:r>
              <m:r>
                <m:t>5</m:t>
              </m:r>
              <m:r>
                <m:t>M</m:t>
              </m:r>
            </m:oMath>
          </w:p>
        </w:tc>
        <w:tc>
          <w:tcPr/>
          <w:p>
            <w:pPr>
              <w:pStyle w:val="Compact"/>
              <w:jc w:val="center"/>
            </w:pPr>
            <w:r>
              <w:t xml:space="preserve">Réduit les positions centrales pri</w:t>
            </w:r>
          </w:p>
        </w:tc>
        <w:tc>
          <w:tcPr/>
          <w:p>
            <w:pPr>
              <w:pStyle w:val="Compact"/>
              <w:jc w:val="right"/>
            </w:pPr>
            <w:r>
              <w:t xml:space="preserve">vilégiées Même jour</w:t>
            </w:r>
          </w:p>
        </w:tc>
      </w:tr>
      <w:tr>
        <w:tc>
          <w:tcPr/>
          <w:p>
            <w:pPr>
              <w:pStyle w:val="Compact"/>
              <w:jc w:val="left"/>
            </w:pPr>
            <w:r>
              <w:t xml:space="preserve">Vendre les positions à faible convi</w:t>
            </w:r>
          </w:p>
        </w:tc>
        <w:tc>
          <w:tcPr/>
          <w:p>
            <w:pPr>
              <w:pStyle w:val="Compact"/>
              <w:jc w:val="right"/>
            </w:pPr>
            <w:r>
              <w:t xml:space="preserve">ction 1,6 M</w:t>
            </w:r>
            <m:oMath>
              <m:r>
                <m:rPr>
                  <m:sty m:val="p"/>
                </m:rPr>
                <m:t>−</m:t>
              </m:r>
              <m:r>
                <m:t>3</m:t>
              </m:r>
              <m:r>
                <m:rPr>
                  <m:sty m:val="p"/>
                </m:rPr>
                <m:t>,</m:t>
              </m:r>
              <m:r>
                <m:t>2</m:t>
              </m:r>
              <m:r>
                <m:t>M</m:t>
              </m:r>
            </m:oMath>
          </w:p>
        </w:tc>
        <w:tc>
          <w:tcPr/>
          <w:p>
            <w:pPr>
              <w:pStyle w:val="Compact"/>
              <w:jc w:val="center"/>
            </w:pPr>
            <w:r>
              <w:t xml:space="preserve">Peut améliorer la thèse du porte</w:t>
            </w:r>
          </w:p>
        </w:tc>
        <w:tc>
          <w:tcPr/>
          <w:p>
            <w:pPr>
              <w:pStyle w:val="Compact"/>
              <w:jc w:val="right"/>
            </w:pPr>
            <w:r>
              <w:t xml:space="preserve">feuille De un à trois jours</w:t>
            </w:r>
          </w:p>
        </w:tc>
      </w:tr>
      <w:tr>
        <w:tc>
          <w:tcPr/>
          <w:p>
            <w:pPr>
              <w:pStyle w:val="Compact"/>
              <w:jc w:val="left"/>
            </w:pPr>
            <w:r>
              <w:t xml:space="preserve">Tirer sur la ligne de crédit bancai</w:t>
            </w:r>
          </w:p>
        </w:tc>
        <w:tc>
          <w:tcPr/>
          <w:p>
            <w:pPr>
              <w:pStyle w:val="Compact"/>
              <w:jc w:val="right"/>
            </w:pPr>
            <w:r>
              <w:t xml:space="preserve">re Équivalent mensuel de</w:t>
            </w:r>
          </w:p>
        </w:tc>
        <w:tc>
          <w:tcPr/>
          <w:p>
            <w:pPr>
              <w:pStyle w:val="Compact"/>
              <w:jc w:val="center"/>
            </w:pPr>
            <w:r>
              <w:t xml:space="preserve">1,1 M$ Préserve les positions ; aj</w:t>
            </w:r>
          </w:p>
        </w:tc>
        <w:tc>
          <w:tcPr/>
          <w:p>
            <w:pPr>
              <w:pStyle w:val="Compact"/>
              <w:jc w:val="right"/>
            </w:pPr>
            <w:r>
              <w:t xml:space="preserve">oute de l’effet de levier Même jour, si disponible</w:t>
            </w:r>
          </w:p>
        </w:tc>
      </w:tr>
      <w:tr>
        <w:tc>
          <w:tcPr/>
          <w:p>
            <w:pPr>
              <w:pStyle w:val="Compact"/>
              <w:jc w:val="left"/>
            </w:pPr>
            <w:r>
              <w:t xml:space="preserve">Utiliser les bons du Trésor arrivan</w:t>
            </w:r>
          </w:p>
        </w:tc>
        <w:tc>
          <w:tcPr/>
          <w:p>
            <w:pPr>
              <w:pStyle w:val="Compact"/>
              <w:jc w:val="right"/>
            </w:pPr>
            <w:r>
              <w:t xml:space="preserve">t à échéance</w:t>
            </w:r>
          </w:p>
        </w:tc>
        <w:tc>
          <w:tcPr/>
          <w:p>
            <w:pPr>
              <w:pStyle w:val="Compact"/>
              <w:jc w:val="center"/>
            </w:pPr>
            <w:r>
              <w:t xml:space="preserve">Minimal Réduit la ma</w:t>
            </w:r>
          </w:p>
        </w:tc>
        <w:tc>
          <w:tcPr/>
          <w:p>
            <w:pPr>
              <w:pStyle w:val="Compact"/>
              <w:jc w:val="right"/>
            </w:pPr>
            <w:r>
              <w:t xml:space="preserve">rge de liquidité 72 M$ dans les cinq jours</w:t>
            </w:r>
          </w:p>
        </w:tc>
      </w:tr>
      <w:tr>
        <w:tc>
          <w:tcPr/>
          <w:p>
            <w:pPr>
              <w:pStyle w:val="Compact"/>
              <w:jc w:val="left"/>
            </w:pPr>
            <w:r>
              <w:t xml:space="preserve">Retarder les nouveaux achats</w:t>
            </w:r>
          </w:p>
        </w:tc>
        <w:tc>
          <w:tcPr/>
          <w:p>
            <w:pPr>
              <w:pStyle w:val="Compact"/>
              <w:jc w:val="right"/>
            </w:pPr>
            <w:r>
              <w:t xml:space="preserve">Coût d’opportunité</w:t>
            </w:r>
          </w:p>
        </w:tc>
        <w:tc>
          <w:tcPr/>
          <w:p>
            <w:pPr>
              <w:pStyle w:val="Compact"/>
              <w:jc w:val="center"/>
            </w:pPr>
            <w:r>
              <w:t xml:space="preserve">incertain Les liquidités se reconstit</w:t>
            </w:r>
          </w:p>
        </w:tc>
        <w:tc>
          <w:tcPr/>
          <w:p>
            <w:pPr>
              <w:pStyle w:val="Compact"/>
              <w:jc w:val="right"/>
            </w:pPr>
            <w:r>
              <w:t xml:space="preserve">uent uniquement en cas d’afflux Progressif</w:t>
            </w:r>
          </w:p>
        </w:tc>
      </w:tr>
    </w:tbl>
    <w:p>
      <w:pPr>
        <w:pStyle w:val="BodyText"/>
      </w:pPr>
      <w:r>
        <w:t xml:space="preserve">Source : estimations de négociation et de trésorerie de Summit Ridge ; fictives. Les coûts varient selon les conditions de marché.</w:t>
      </w:r>
    </w:p>
    <w:bookmarkEnd w:id="14"/>
    <w:bookmarkEnd w:id="15"/>
    <w:bookmarkStart w:id="17" w:name="le-coût-dune-trésorerie-excessive"/>
    <w:p>
      <w:pPr>
        <w:pStyle w:val="Heading1"/>
      </w:pPr>
      <w:r>
        <w:t xml:space="preserve">Le coût d’une trésorerie excessive</w:t>
      </w:r>
    </w:p>
    <w:p>
      <w:pPr>
        <w:pStyle w:val="FirstParagraph"/>
      </w:pPr>
      <w:r>
        <w:t xml:space="preserve">Les liquidités n’étaient pas gratuites. Pendant les périodes de taux d’intérêt à court terme élevés, les bons du Trésor et les instruments monétaires généraient un revenu significatif. Mais le Select Equity Fund était commercialisé comme une stratégie actions, et son indice de référence était presque entièrement investi. Si les actions montaient plus vite que les liquidités, une position de trésorerie persistante créerait un frein à la performance. Une position de liquidités de trois points de pourcentage réduirait le rendement annuel d’environ 0,30 point de pourcentage lorsque les actions surperformaient les liquidités de 10 points de pourcentage.</w:t>
      </w:r>
    </w:p>
    <w:p>
      <w:pPr>
        <w:pStyle w:val="BodyText"/>
      </w:pPr>
      <w:r>
        <w:t xml:space="preserve">L’effet semblait faible jusqu’à ce qu’il soit comparé aux concurrents. Les consultants en investissement classaient souvent les gestionnaires selon des écarts de performance relativement étroits. Un écart supplémentaire de 0,30 point de pourcentage pouvait affecter les classements, les recherches institutionnelles, les recommandations des conseillers, les primes des employés et les flux futurs. Ironiquement, détenir des liquidités pour se protéger contre les rachats pouvait contribuer à une sous-performance qui incitait davantage d’investisseurs à partir.</w:t>
      </w:r>
    </w:p>
    <w:p>
      <w:pPr>
        <w:pStyle w:val="BodyText"/>
      </w:pPr>
      <w:r>
        <w:t xml:space="preserve">L’équipe de portefeuille faisait également face au problème inverse après d’importants afflux. Acheter trop rapidement pouvait faire grimper les prix ou forcer des achats avant que les analystes n’aient terminé leur travail. Investir trop lentement laissait au fonds des liquidités non désirées. L’équipe devait décider quels titres acheter, à quelle vitesse négocier, et s’il fallait utiliser des contrats à terme sur indices comme exposition temporaire pendant que la recherche et l’exécution rattrapaient leur retard.</w:t>
      </w:r>
    </w:p>
    <w:bookmarkStart w:id="16" w:name="X3bee611e6df95826957efc3beb686dc69d58192"/>
    <w:p>
      <w:pPr>
        <w:pStyle w:val="Heading2"/>
      </w:pPr>
      <w:r>
        <w:t xml:space="preserve">Exhibit 4. Effet annuel illustratif de différents niveaux de liquidités</w:t>
      </w:r>
    </w:p>
    <w:tbl>
      <w:tblPr>
        <w:tblStyle w:val="Table"/>
        <w:tblW w:type="pct" w:w="4912"/>
        <w:tblLayout w:type="fixed"/>
        <w:tblLook w:firstRow="1" w:lastRow="0" w:firstColumn="0" w:lastColumn="0" w:noHBand="0" w:noVBand="0" w:val="0020"/>
      </w:tblPr>
      <w:tblGrid>
        <w:gridCol w:w="1458"/>
        <w:gridCol w:w="2362"/>
        <w:gridCol w:w="1736"/>
        <w:gridCol w:w="2223"/>
      </w:tblGrid>
      <w:tr>
        <w:trPr>
          <w:tblHeader w:val="on"/>
        </w:trPr>
        <w:tc>
          <w:tcPr/>
          <w:p>
            <w:pPr>
              <w:pStyle w:val="Compact"/>
            </w:pPr>
            <w:r>
              <w:t xml:space="preserve">Niveau moyen de liqui</w:t>
            </w:r>
          </w:p>
        </w:tc>
        <w:tc>
          <w:tcPr/>
          <w:p>
            <w:pPr>
              <w:pStyle w:val="Compact"/>
            </w:pPr>
            <w:r>
              <w:t xml:space="preserve">dités Surperformance des action</w:t>
            </w:r>
          </w:p>
        </w:tc>
        <w:tc>
          <w:tcPr/>
          <w:p>
            <w:pPr>
              <w:pStyle w:val="Compact"/>
            </w:pPr>
            <w:r>
              <w:t xml:space="preserve">s par rapport aux liquidi</w:t>
            </w:r>
          </w:p>
        </w:tc>
        <w:tc>
          <w:tcPr/>
          <w:p>
            <w:pPr>
              <w:pStyle w:val="Compact"/>
            </w:pPr>
            <w:r>
              <w:t xml:space="preserve">tés Frein estimé sur le rendement Liquidités disponibles sur un fonds de 8,5 Md$</w:t>
            </w:r>
          </w:p>
        </w:tc>
      </w:tr>
      <w:tr>
        <w:tc>
          <w:tcPr/>
          <w:p>
            <w:pPr>
              <w:pStyle w:val="Compact"/>
            </w:pPr>
            <w:r>
              <w:t xml:space="preserve">2 %</w:t>
            </w:r>
          </w:p>
        </w:tc>
        <w:tc>
          <w:tcPr/>
          <w:p>
            <w:pPr>
              <w:pStyle w:val="Compact"/>
            </w:pPr>
            <w:r>
              <w:t xml:space="preserve">4 points de pourcentage</w:t>
            </w:r>
          </w:p>
        </w:tc>
        <w:tc>
          <w:tcPr/>
          <w:p>
            <w:pPr>
              <w:pStyle w:val="Compact"/>
            </w:pPr>
            <w:r>
              <w:t xml:space="preserve">0,08 point de pourc</w:t>
            </w:r>
          </w:p>
        </w:tc>
        <w:tc>
          <w:tcPr/>
          <w:p>
            <w:pPr>
              <w:pStyle w:val="Compact"/>
            </w:pPr>
            <w:r>
              <w:t xml:space="preserve">entage 170 M$</w:t>
            </w:r>
          </w:p>
        </w:tc>
      </w:tr>
      <w:tr>
        <w:tc>
          <w:tcPr/>
          <w:p>
            <w:pPr>
              <w:pStyle w:val="Compact"/>
            </w:pPr>
            <w:r>
              <w:t xml:space="preserve">3 %</w:t>
            </w:r>
          </w:p>
        </w:tc>
        <w:tc>
          <w:tcPr/>
          <w:p>
            <w:pPr>
              <w:pStyle w:val="Compact"/>
            </w:pPr>
            <w:r>
              <w:t xml:space="preserve">6 points de pourcentage</w:t>
            </w:r>
          </w:p>
        </w:tc>
        <w:tc>
          <w:tcPr/>
          <w:p>
            <w:pPr>
              <w:pStyle w:val="Compact"/>
            </w:pPr>
            <w:r>
              <w:t xml:space="preserve">0,18 point de pourc</w:t>
            </w:r>
          </w:p>
        </w:tc>
        <w:tc>
          <w:tcPr/>
          <w:p>
            <w:pPr>
              <w:pStyle w:val="Compact"/>
            </w:pPr>
            <w:r>
              <w:t xml:space="preserve">entage 255 M$</w:t>
            </w:r>
          </w:p>
        </w:tc>
      </w:tr>
      <w:tr>
        <w:tc>
          <w:tcPr/>
          <w:p>
            <w:pPr>
              <w:pStyle w:val="Compact"/>
            </w:pPr>
            <w:r>
              <w:t xml:space="preserve">4 %</w:t>
            </w:r>
          </w:p>
        </w:tc>
        <w:tc>
          <w:tcPr/>
          <w:p>
            <w:pPr>
              <w:pStyle w:val="Compact"/>
            </w:pPr>
            <w:r>
              <w:t xml:space="preserve">8 points de pourcentage</w:t>
            </w:r>
          </w:p>
        </w:tc>
        <w:tc>
          <w:tcPr/>
          <w:p>
            <w:pPr>
              <w:pStyle w:val="Compact"/>
            </w:pPr>
            <w:r>
              <w:t xml:space="preserve">0,32 point de pourc</w:t>
            </w:r>
          </w:p>
        </w:tc>
        <w:tc>
          <w:tcPr/>
          <w:p>
            <w:pPr>
              <w:pStyle w:val="Compact"/>
            </w:pPr>
            <w:r>
              <w:t xml:space="preserve">entage 340 M$</w:t>
            </w:r>
          </w:p>
        </w:tc>
      </w:tr>
      <w:tr>
        <w:tc>
          <w:tcPr/>
          <w:p>
            <w:pPr>
              <w:pStyle w:val="Compact"/>
            </w:pPr>
            <w:r>
              <w:t xml:space="preserve">5 %</w:t>
            </w:r>
          </w:p>
        </w:tc>
        <w:tc>
          <w:tcPr/>
          <w:p>
            <w:pPr>
              <w:pStyle w:val="Compact"/>
            </w:pPr>
            <w:r>
              <w:t xml:space="preserve">10 points de pourcentage</w:t>
            </w:r>
          </w:p>
        </w:tc>
        <w:tc>
          <w:tcPr/>
          <w:p>
            <w:pPr>
              <w:pStyle w:val="Compact"/>
            </w:pPr>
            <w:r>
              <w:t xml:space="preserve">0,50 point de pourc</w:t>
            </w:r>
          </w:p>
        </w:tc>
        <w:tc>
          <w:tcPr/>
          <w:p>
            <w:pPr>
              <w:pStyle w:val="Compact"/>
            </w:pPr>
            <w:r>
              <w:t xml:space="preserve">entage 425 M$</w:t>
            </w:r>
          </w:p>
        </w:tc>
      </w:tr>
      <w:tr>
        <w:tc>
          <w:tcPr/>
          <w:p>
            <w:pPr>
              <w:pStyle w:val="Compact"/>
            </w:pPr>
            <w:r>
              <w:t xml:space="preserve">7 %</w:t>
            </w:r>
          </w:p>
        </w:tc>
        <w:tc>
          <w:tcPr/>
          <w:p>
            <w:pPr>
              <w:pStyle w:val="Compact"/>
            </w:pPr>
            <w:r>
              <w:t xml:space="preserve">12 points de pourcentage</w:t>
            </w:r>
          </w:p>
        </w:tc>
        <w:tc>
          <w:tcPr/>
          <w:p>
            <w:pPr>
              <w:pStyle w:val="Compact"/>
            </w:pPr>
            <w:r>
              <w:t xml:space="preserve">0,84 point de pourc</w:t>
            </w:r>
          </w:p>
        </w:tc>
        <w:tc>
          <w:tcPr/>
          <w:p>
            <w:pPr>
              <w:pStyle w:val="Compact"/>
            </w:pPr>
            <w:r>
              <w:t xml:space="preserve">entage 595 M$</w:t>
            </w:r>
          </w:p>
        </w:tc>
      </w:tr>
    </w:tbl>
    <w:p>
      <w:pPr>
        <w:pStyle w:val="BodyText"/>
      </w:pPr>
      <w:r>
        <w:t xml:space="preserve">Source : calculs illustratifs. Les résultats réels dépendent des rendements de marché, des taux d’intérêt et du calendrier.</w:t>
      </w:r>
    </w:p>
    <w:bookmarkEnd w:id="16"/>
    <w:bookmarkEnd w:id="17"/>
    <w:bookmarkStart w:id="19" w:name="prévisions-et-alertes-précoces"/>
    <w:p>
      <w:pPr>
        <w:pStyle w:val="Heading1"/>
      </w:pPr>
      <w:r>
        <w:t xml:space="preserve">Prévisions et alertes précoces</w:t>
      </w:r>
    </w:p>
    <w:p>
      <w:pPr>
        <w:pStyle w:val="FirstParagraph"/>
      </w:pPr>
      <w:r>
        <w:t xml:space="preserve">L’équipe de trésorerie de Summit Ridge produisait des prévisions de flux quotidiennes en utilisant le comportement historique des investisseurs, les rapports des intermédiaires, les cotisations de retraite de fin de mois, les dates fiscales, les mouvements de marché et les activités institutionnelles connues. Le modèle se comportait raisonnablement bien en conditions de marché normales, mais ses plus grandes erreurs survenaient durant les périodes où les liquidités avaient le plus de valeur. Un modèle de prévision conçu autour d’un comportement quotidien moyen ne pouvait pas anticiper de manière fiable un fonds de pension changeant de gestionnaire ou un consultant plaçant le fonds sur une liste de surveillance.</w:t>
      </w:r>
    </w:p>
    <w:p>
      <w:pPr>
        <w:pStyle w:val="BodyText"/>
      </w:pPr>
      <w:r>
        <w:t xml:space="preserve">La directrice des données Nina Shah a proposé d’obtenir des informations plus rapides auprès des plateformes de distribution et de demander aux clients institutionnels des indications préalables non contraignantes sur les mouvements importants. Certaines plateformes pouvaient fournir des estimations intrajournalières, mais elles facturaient des frais et ne couvraient qu’une partie du fonds. Les institutions étaient réticentes à révéler des intentions susceptibles d’affecter la manière dont leurs transactions seraient traitées. L’équipe de conformité a mis en garde contre le fait de donner à des clients privilégiés des informations ou un traitement susceptibles de désavantager les autres actionnaires.</w:t>
      </w:r>
    </w:p>
    <w:p>
      <w:pPr>
        <w:pStyle w:val="BodyText"/>
      </w:pPr>
      <w:r>
        <w:t xml:space="preserve">Le directeur financier Aaron Bell a proposé une réserve de liquidité formelle liée à la volatilité récente des flux et à la liquidité du portefeuille. Hale a objecté qu’une règle fixe détiendrait des liquidités excessives en période de calme et demeurerait néanmoins insuffisante lors d’une véritable panique. Il préférait le jugement du gestionnaire, appuyé par une analyse de scénarios et une ligne de crédit. Les administrateurs indépendants du fonds souhaitaient un processus qu’ils puissent comprendre, superviser et défendre après coup.</w:t>
      </w:r>
    </w:p>
    <w:bookmarkStart w:id="18" w:name="exhibit-5.-alternatives-de-gestion"/>
    <w:p>
      <w:pPr>
        <w:pStyle w:val="Heading2"/>
      </w:pPr>
      <w:r>
        <w:t xml:space="preserve">Exhibit 5. Alternatives de gestion</w:t>
      </w:r>
    </w:p>
    <w:tbl>
      <w:tblPr>
        <w:tblStyle w:val="Table"/>
        <w:tblW w:type="pct" w:w="4925"/>
        <w:tblLayout w:type="fixed"/>
        <w:tblLook w:firstRow="1" w:lastRow="0" w:firstColumn="0" w:lastColumn="0" w:noHBand="0" w:noVBand="0" w:val="0020"/>
      </w:tblPr>
      <w:tblGrid>
        <w:gridCol w:w="2381"/>
        <w:gridCol w:w="2560"/>
        <w:gridCol w:w="2858"/>
      </w:tblGrid>
      <w:tr>
        <w:trPr>
          <w:tblHeader w:val="on"/>
        </w:trPr>
        <w:tc>
          <w:tcPr/>
          <w:p>
            <w:pPr>
              <w:pStyle w:val="Compact"/>
              <w:jc w:val="left"/>
            </w:pPr>
            <w:r>
              <w:t xml:space="preserve">Alternative</w:t>
            </w:r>
          </w:p>
        </w:tc>
        <w:tc>
          <w:tcPr/>
          <w:p>
            <w:pPr>
              <w:pStyle w:val="Compact"/>
              <w:jc w:val="center"/>
            </w:pPr>
            <w:r>
              <w:t xml:space="preserve">Avantage potentiel</w:t>
            </w:r>
          </w:p>
        </w:tc>
        <w:tc>
          <w:tcPr/>
          <w:p>
            <w:pPr>
              <w:pStyle w:val="Compact"/>
              <w:jc w:val="center"/>
            </w:pPr>
            <w:r>
              <w:t xml:space="preserve">Risque ou compromis principal</w:t>
            </w:r>
          </w:p>
        </w:tc>
      </w:tr>
      <w:tr>
        <w:tc>
          <w:tcPr/>
          <w:p>
            <w:pPr>
              <w:pStyle w:val="Compact"/>
              <w:jc w:val="left"/>
            </w:pPr>
            <w:r>
              <w:t xml:space="preserve">Augmenter la cible de liquidités de 3 %</w:t>
            </w:r>
          </w:p>
        </w:tc>
        <w:tc>
          <w:tcPr/>
          <w:p>
            <w:pPr>
              <w:pStyle w:val="Compact"/>
              <w:jc w:val="center"/>
            </w:pPr>
            <w:r>
              <w:t xml:space="preserve">à 5 % Plus de protection contre le</w:t>
            </w:r>
          </w:p>
        </w:tc>
        <w:tc>
          <w:tcPr/>
          <w:p>
            <w:pPr>
              <w:pStyle w:val="Compact"/>
              <w:jc w:val="center"/>
            </w:pPr>
            <w:r>
              <w:t xml:space="preserve">s retraits soudains Frein persistant sur la performance</w:t>
            </w:r>
          </w:p>
        </w:tc>
      </w:tr>
      <w:tr>
        <w:tc>
          <w:tcPr/>
          <w:p>
            <w:pPr>
              <w:pStyle w:val="Compact"/>
              <w:jc w:val="left"/>
            </w:pPr>
            <w:r>
              <w:t xml:space="preserve">Maintenir 3 % de liquidités plus une lig</w:t>
            </w:r>
          </w:p>
        </w:tc>
        <w:tc>
          <w:tcPr/>
          <w:p>
            <w:pPr>
              <w:pStyle w:val="Compact"/>
              <w:jc w:val="center"/>
            </w:pPr>
            <w:r>
              <w:t xml:space="preserve">ne de crédit Liquidité sans détenir</w:t>
            </w:r>
          </w:p>
        </w:tc>
        <w:tc>
          <w:tcPr/>
          <w:p>
            <w:pPr>
              <w:pStyle w:val="Compact"/>
              <w:jc w:val="center"/>
            </w:pPr>
            <w:r>
              <w:t xml:space="preserve">de liquidités permanentes Coût d’emprunt et disponibilité en période de tension de marché</w:t>
            </w:r>
          </w:p>
        </w:tc>
      </w:tr>
      <w:tr>
        <w:tc>
          <w:tcPr/>
          <w:p>
            <w:pPr>
              <w:pStyle w:val="Compact"/>
              <w:jc w:val="left"/>
            </w:pPr>
            <w:r>
              <w:t xml:space="preserve">Utiliser une cible de liquidité dynamiqu</w:t>
            </w:r>
          </w:p>
        </w:tc>
        <w:tc>
          <w:tcPr/>
          <w:p>
            <w:pPr>
              <w:pStyle w:val="Compact"/>
              <w:jc w:val="center"/>
            </w:pPr>
            <w:r>
              <w:t xml:space="preserve">e Réagit aux flux et aux c</w:t>
            </w:r>
          </w:p>
        </w:tc>
        <w:tc>
          <w:tcPr/>
          <w:p>
            <w:pPr>
              <w:pStyle w:val="Compact"/>
              <w:jc w:val="center"/>
            </w:pPr>
            <w:r>
              <w:t xml:space="preserve">onditions de marché Erreur de modèle et négociation fréquente</w:t>
            </w:r>
          </w:p>
        </w:tc>
      </w:tr>
      <w:tr>
        <w:tc>
          <w:tcPr/>
          <w:p>
            <w:pPr>
              <w:pStyle w:val="Compact"/>
              <w:jc w:val="left"/>
            </w:pPr>
            <w:r>
              <w:t xml:space="preserve">Détenir un échelonnement plus important</w:t>
            </w:r>
          </w:p>
        </w:tc>
        <w:tc>
          <w:tcPr/>
          <w:p>
            <w:pPr>
              <w:pStyle w:val="Compact"/>
              <w:jc w:val="center"/>
            </w:pPr>
            <w:r>
              <w:t xml:space="preserve">de bons du Trésor Échéances et r</w:t>
            </w:r>
          </w:p>
        </w:tc>
        <w:tc>
          <w:tcPr/>
          <w:p>
            <w:pPr>
              <w:pStyle w:val="Compact"/>
              <w:jc w:val="center"/>
            </w:pPr>
            <w:r>
              <w:t xml:space="preserve">evenus prévisibles Peut ne pas correspondre aux rachats du même jour</w:t>
            </w:r>
          </w:p>
        </w:tc>
      </w:tr>
      <w:tr>
        <w:tc>
          <w:tcPr/>
          <w:p>
            <w:pPr>
              <w:pStyle w:val="Compact"/>
              <w:jc w:val="left"/>
            </w:pPr>
            <w:r>
              <w:t xml:space="preserve">Accroître l’utilisation des contrats à t</w:t>
            </w:r>
          </w:p>
        </w:tc>
        <w:tc>
          <w:tcPr/>
          <w:p>
            <w:pPr>
              <w:pStyle w:val="Compact"/>
              <w:jc w:val="center"/>
            </w:pPr>
            <w:r>
              <w:t xml:space="preserve">erme sur indices Conserve l’expo</w:t>
            </w:r>
          </w:p>
        </w:tc>
        <w:tc>
          <w:tcPr/>
          <w:p>
            <w:pPr>
              <w:pStyle w:val="Compact"/>
              <w:jc w:val="center"/>
            </w:pPr>
            <w:r>
              <w:t xml:space="preserve">sition au marché tout en détenant des liquidités Risques de base, de marge et de contrepartie</w:t>
            </w:r>
          </w:p>
        </w:tc>
      </w:tr>
      <w:tr>
        <w:tc>
          <w:tcPr/>
          <w:p>
            <w:pPr>
              <w:pStyle w:val="Compact"/>
              <w:jc w:val="left"/>
            </w:pPr>
            <w:r>
              <w:t xml:space="preserve">Rechercher de meilleures informations su</w:t>
            </w:r>
          </w:p>
        </w:tc>
        <w:tc>
          <w:tcPr/>
          <w:p>
            <w:pPr>
              <w:pStyle w:val="Compact"/>
              <w:jc w:val="center"/>
            </w:pPr>
            <w:r>
              <w:t xml:space="preserve">r les flux d’investisseurs Peut r</w:t>
            </w:r>
          </w:p>
        </w:tc>
        <w:tc>
          <w:tcPr/>
          <w:p>
            <w:pPr>
              <w:pStyle w:val="Compact"/>
              <w:jc w:val="center"/>
            </w:pPr>
            <w:r>
              <w:t xml:space="preserve">éduire l’erreur de prévision Coût, couverture incomplète, résistance des clients</w:t>
            </w:r>
          </w:p>
        </w:tc>
      </w:tr>
      <w:tr>
        <w:tc>
          <w:tcPr/>
          <w:p>
            <w:pPr>
              <w:pStyle w:val="Compact"/>
              <w:jc w:val="left"/>
            </w:pPr>
            <w:r>
              <w:t xml:space="preserve">Redéfinir le portefeuille en fonction de</w:t>
            </w:r>
          </w:p>
        </w:tc>
        <w:tc>
          <w:tcPr/>
          <w:p>
            <w:pPr>
              <w:pStyle w:val="Compact"/>
              <w:jc w:val="center"/>
            </w:pPr>
            <w:r>
              <w:t xml:space="preserve">la liquidité Coût plus faible</w:t>
            </w:r>
          </w:p>
        </w:tc>
        <w:tc>
          <w:tcPr/>
          <w:p>
            <w:pPr>
              <w:pStyle w:val="Compact"/>
              <w:jc w:val="center"/>
            </w:pPr>
            <w:r>
              <w:t xml:space="preserve">des ventes forcées Peut contraindre la stratégie d’investissement</w:t>
            </w:r>
          </w:p>
        </w:tc>
      </w:tr>
    </w:tbl>
    <w:p>
      <w:pPr>
        <w:pStyle w:val="BodyText"/>
      </w:pPr>
      <w:r>
        <w:t xml:space="preserve">Source : propositions de la direction de Summit Ridge ; fictives.</w:t>
      </w:r>
    </w:p>
    <w:bookmarkEnd w:id="18"/>
    <w:bookmarkEnd w:id="19"/>
    <w:bookmarkStart w:id="20" w:name="lundi-à-8-h-30"/>
    <w:p>
      <w:pPr>
        <w:pStyle w:val="Heading1"/>
      </w:pPr>
      <w:r>
        <w:t xml:space="preserve">Lundi à 8 h 30</w:t>
      </w:r>
    </w:p>
    <w:p>
      <w:pPr>
        <w:pStyle w:val="FirstParagraph"/>
      </w:pPr>
      <w:r>
        <w:t xml:space="preserve">À 8 h 20, l’agent de transfert a relevé le total estimé des rachats à 347 millions de dollars. Un client institutionnel avait confirmé un retrait de 178 millions de dollars. Un second avait demandé des informations de règlement mais n’avait pas encore soumis officiellement son ordre. Les flux de détail étaient négatifs, bien que l’estimation soit encore instable. La banque du fonds a confirmé qu’une ligne de crédit engagée de 250 millions de dollars restait disponible, sous réserve des coûts d’emprunt et des exigences de garantie.</w:t>
      </w:r>
    </w:p>
    <w:p>
      <w:pPr>
        <w:pStyle w:val="BodyText"/>
      </w:pPr>
      <w:r>
        <w:t xml:space="preserve">Marquez devait autoriser le plan d’ouverture avant le début des échanges sur les marchés. Elle pouvait utiliser la majeure partie des liquidités du fonds, commencer à vendre des positions centrales liquides, vendre des positions à faible conviction, emprunter sur la ligne de crédit, ou combiner ces actions. Elle devait également décider s’il fallait lever des liquidités supplémentaires au-delà des rachats connus en anticipation de retraits ultérieurs. Chaque choix dépendait d’événements qui se dérouleraient après la prise de décision.</w:t>
      </w:r>
    </w:p>
    <w:p>
      <w:pPr>
        <w:pStyle w:val="BodyText"/>
      </w:pPr>
      <w:r>
        <w:t xml:space="preserve">La question plus large subsisterait après lundi. Summit Ridge avait besoin d’un processus reproductible pour les afflux ordinaires, les rachats institutionnels inattendus, les chocs de marché et les périodes de retraits soutenus. Pourtant, un processus qui protégeait le fonds pendant une crise pouvait affaiblir la performance en période de marché normal, modifier la stratégie d’investissement, ou déplacer les coûts de transaction entre les actionnaires entrant et sortant à des moments différents.</w:t>
      </w:r>
    </w:p>
    <w:p>
      <w:pPr>
        <w:pStyle w:val="BodyText"/>
      </w:pPr>
      <w:r>
        <w:t xml:space="preserve">À 8 h 28, les contrats à terme ont chuté d’un demi-point de pourcentage supplémentaire. Marquez a regardé le tableau de bord des liquidités, la liste de négociation, et le message de la seconde institution. Le marché allait ouvrir dans deux minutes.</w:t>
      </w:r>
    </w:p>
    <w:bookmarkEnd w:id="20"/>
    <w:bookmarkStart w:id="21" w:name="questions-de-discussion"/>
    <w:p>
      <w:pPr>
        <w:pStyle w:val="Heading1"/>
      </w:pPr>
      <w:r>
        <w:t xml:space="preserve">Questions de discussion</w:t>
      </w:r>
    </w:p>
    <w:p>
      <w:pPr>
        <w:numPr>
          <w:ilvl w:val="0"/>
          <w:numId w:val="1001"/>
        </w:numPr>
      </w:pPr>
      <w:r>
        <w:t xml:space="preserve">Quel est le problème central auquel Marquez est confrontée lundi matin ?</w:t>
      </w:r>
    </w:p>
    <w:p>
      <w:pPr>
        <w:numPr>
          <w:ilvl w:val="0"/>
          <w:numId w:val="1001"/>
        </w:numPr>
      </w:pPr>
      <w:r>
        <w:t xml:space="preserve">Quelle importance Summit Ridge devrait-elle accorder aux rachats connus par rapport à d’éventuels retraits supplémentaires ?</w:t>
      </w:r>
    </w:p>
    <w:p>
      <w:pPr>
        <w:numPr>
          <w:ilvl w:val="0"/>
          <w:numId w:val="1001"/>
        </w:numPr>
      </w:pPr>
      <w:r>
        <w:t xml:space="preserve">Quelles sont les conséquences de détenir trop peu de liquidités ? Quelles sont les conséquences d’en détenir trop ?</w:t>
      </w:r>
    </w:p>
    <w:p>
      <w:pPr>
        <w:numPr>
          <w:ilvl w:val="0"/>
          <w:numId w:val="1001"/>
        </w:numPr>
      </w:pPr>
      <w:r>
        <w:t xml:space="preserve">Quels titres le fonds devrait-il vendre en premier lorsqu’il doit lever des liquidités ?</w:t>
      </w:r>
    </w:p>
    <w:p>
      <w:pPr>
        <w:numPr>
          <w:ilvl w:val="0"/>
          <w:numId w:val="1001"/>
        </w:numPr>
      </w:pPr>
      <w:r>
        <w:t xml:space="preserve">Quand, si jamais, le fonds devrait-il utiliser sa ligne de crédit plutôt que de vendre des positions du portefeuille ?</w:t>
      </w:r>
    </w:p>
    <w:p>
      <w:pPr>
        <w:numPr>
          <w:ilvl w:val="0"/>
          <w:numId w:val="1001"/>
        </w:numPr>
      </w:pPr>
      <w:r>
        <w:t xml:space="preserve">Comment les différences entre investisseurs de détail et institutionnels devraient-elles influencer la planification des liquidités ?</w:t>
      </w:r>
    </w:p>
    <w:p>
      <w:pPr>
        <w:numPr>
          <w:ilvl w:val="0"/>
          <w:numId w:val="1001"/>
        </w:numPr>
      </w:pPr>
      <w:r>
        <w:t xml:space="preserve">Quelles informations amélioreraient le plus la capacité de Summit Ridge à anticiper les flux d’investisseurs ?</w:t>
      </w:r>
    </w:p>
    <w:p>
      <w:pPr>
        <w:numPr>
          <w:ilvl w:val="0"/>
          <w:numId w:val="1001"/>
        </w:numPr>
      </w:pPr>
      <w:r>
        <w:t xml:space="preserve">Une cible de liquidité fixe, une règle dynamique, ou le jugement du gestionnaire offrirait-elle le processus le plus solide ?</w:t>
      </w:r>
    </w:p>
    <w:p>
      <w:pPr>
        <w:numPr>
          <w:ilvl w:val="0"/>
          <w:numId w:val="1001"/>
        </w:numPr>
      </w:pPr>
      <w:r>
        <w:t xml:space="preserve">Comment le fonds devrait-il tenir compte des conditions de marché et des taux d’intérêt lors de la définition de sa position de liquidité ?</w:t>
      </w:r>
    </w:p>
    <w:p>
      <w:pPr>
        <w:numPr>
          <w:ilvl w:val="0"/>
          <w:numId w:val="1001"/>
        </w:numPr>
      </w:pPr>
      <w:r>
        <w:t xml:space="preserve">Comment Summit Ridge devrait-elle évaluer si son processus de gestion des liquidités protège équitablement les actionnaires restants ?</w:t>
      </w:r>
    </w:p>
    <w:bookmarkEnd w:id="21"/>
    <w:bookmarkStart w:id="27"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délimiter la portée du problème.</w:t>
      </w:r>
    </w:p>
    <w:p>
      <w:pPr>
        <w:numPr>
          <w:ilvl w:val="0"/>
          <w:numId w:val="1002"/>
        </w:numPr>
      </w:pPr>
      <w:r>
        <w:t xml:space="preserve">Utilisez l’</w:t>
      </w:r>
      <w:hyperlink r:id="rId22">
        <w:r>
          <w:rPr>
            <w:rStyle w:val="Hyperlink"/>
          </w:rPr>
          <w:t xml:space="preserve">outil de pyramide des métriques</w:t>
        </w:r>
      </w:hyperlink>
      <w:r>
        <w:t xml:space="preserve"> </w:t>
      </w:r>
      <w:r>
        <w:t xml:space="preserve">pour identifier et prioriser les différentes métriques de performance. Cliquez sur l’ovale contenant la métrique pour identifier s’il s’agit d’une métrique à maximiser (vert), à minimiser (rouge), d’une cible qui constitue un plancher (vert clair) ou un plafond (rouge clair), ou enfin d’une cible (violet).</w:t>
      </w:r>
    </w:p>
    <w:p>
      <w:pPr>
        <w:numPr>
          <w:ilvl w:val="0"/>
          <w:numId w:val="1002"/>
        </w:numPr>
      </w:pPr>
      <w:r>
        <w:t xml:space="preserve">Utilisez l’</w:t>
      </w:r>
      <w:hyperlink r:id="rId23">
        <w:r>
          <w:rPr>
            <w:rStyle w:val="Hyperlink"/>
          </w:rPr>
          <w:t xml:space="preserve">outil de priorisation des décisions</w:t>
        </w:r>
      </w:hyperlink>
      <w:r>
        <w:t xml:space="preserve"> </w:t>
      </w:r>
      <w:r>
        <w:t xml:space="preserve">pour d’abord lister les différents types de décisions (utilisez les</w:t>
      </w:r>
      <w:r>
        <w:t xml:space="preserve"> </w:t>
      </w:r>
      <w:hyperlink r:id="rId24">
        <w:r>
          <w:rPr>
            <w:rStyle w:val="Hyperlink"/>
          </w:rPr>
          <w:t xml:space="preserve">types de décisions</w:t>
        </w:r>
      </w:hyperlink>
      <w:r>
        <w:t xml:space="preserve"> </w:t>
      </w:r>
      <w:r>
        <w:t xml:space="preserve">comme guide). Celles-ci alimenteront ensuite les lignes de la matrice à droite, où les colonnes sont les métriques de performance triées de gauche à droite selon la priorité dans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sur chaque ligne pour la déplacer vers le haut ou vers le bas. Triez les lignes afin que les décisions ayant l’impact le plus important sur les métriques les plus importantes se trouvent vers le haut. Les cellules du coin supérieur gauche devraient présenter la plus grande concentration de cellules rouges et orange. À ce stade, identifiez les décisions qui devraient recevoir le plus d’attention dans votre étude. Si vous n’avez aucune décision ayant un impact moyen ou élevé sur les métriques les plus importantes, révisez votre liste de décisions.</w:t>
      </w:r>
    </w:p>
    <w:p>
      <w:pPr>
        <w:numPr>
          <w:ilvl w:val="0"/>
          <w:numId w:val="1002"/>
        </w:numPr>
      </w:pPr>
      <w:r>
        <w:t xml:space="preserve">Répétez le processus pour lister et prioriser les incertitudes en utilisant l’</w:t>
      </w:r>
      <w:hyperlink r:id="rId25">
        <w:r>
          <w:rPr>
            <w:rStyle w:val="Hyperlink"/>
          </w:rPr>
          <w:t xml:space="preserve">outil de priorisation des incertitudes</w:t>
        </w:r>
      </w:hyperlink>
      <w:r>
        <w:t xml:space="preserve">. Utilisez les</w:t>
      </w:r>
      <w:r>
        <w:t xml:space="preserve"> </w:t>
      </w:r>
      <w:hyperlink r:id="rId26">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en tant qu’événements de risque :</w:t>
      </w:r>
    </w:p>
    <w:p>
      <w:pPr>
        <w:numPr>
          <w:ilvl w:val="1"/>
          <w:numId w:val="1003"/>
        </w:numPr>
      </w:pPr>
      <w:r>
        <w:t xml:space="preserve">Quelles sources d’incertitude seraient captées en utilisant la performance moyenne dans le temps ?</w:t>
      </w:r>
    </w:p>
    <w:p>
      <w:pPr>
        <w:numPr>
          <w:ilvl w:val="1"/>
          <w:numId w:val="1003"/>
        </w:numPr>
      </w:pPr>
      <w:r>
        <w:t xml:space="preserve">Quelles sources d’incertitude représentent des formes de risque qui ne sont pas correctement captées par les moyennes ?</w:t>
      </w:r>
    </w:p>
    <w:p>
      <w:pPr>
        <w:numPr>
          <w:ilvl w:val="0"/>
          <w:numId w:val="1002"/>
        </w:numPr>
      </w:pPr>
      <w:r>
        <w:t xml:space="preserve">Choisissez la décision unique qui semble avoir l’impact le plus élevé sur la métrique la plus importante.</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toute métrique de performance sur laquelle la décision aurait un impact élevé ou moyen.</w:t>
      </w:r>
    </w:p>
    <w:p>
      <w:pPr>
        <w:numPr>
          <w:ilvl w:val="0"/>
          <w:numId w:val="1002"/>
        </w:numPr>
      </w:pPr>
      <w:r>
        <w:t xml:space="preserve">En utilisant la même décision que celle identifiée au point (7), identifiez les personnes, départements, groupes ou organisations avec lesquels vous devriez travailler pour mettre en œuvre la décision.</w:t>
      </w:r>
    </w:p>
    <w:bookmarkEnd w:id="27"/>
    <w:bookmarkStart w:id="30" w:name="notes-chatgpt"/>
    <w:p>
      <w:pPr>
        <w:pStyle w:val="Heading1"/>
      </w:pPr>
      <w:r>
        <w:t xml:space="preserve">Notes ChatGPT</w:t>
      </w:r>
    </w:p>
    <w:bookmarkStart w:id="28" w:name="invite"/>
    <w:p>
      <w:pPr>
        <w:pStyle w:val="Heading2"/>
      </w:pPr>
      <w:r>
        <w:t xml:space="preserve">Invite</w:t>
      </w:r>
    </w:p>
    <w:p>
      <w:pPr>
        <w:pStyle w:val="FirstParagraph"/>
      </w:pPr>
      <w:r>
        <w:t xml:space="preserve">Rédigez une étude de cas de 4 à 6 pages basée sur le contenu de la section disponible à l’adresse https://warrenpowell.org/bridging-vol1/chapter-2/#mutual-fund-cash-management. Créez un contexte fondé sur les métriques, les décisions et les incertitudes présentes dans la section, mais sans y attirer explicitement l’attention. Motivez votre problème de cas à l’aide de données.</w:t>
      </w:r>
    </w:p>
    <w:bookmarkEnd w:id="28"/>
    <w:bookmarkStart w:id="29" w:name="résumé"/>
    <w:p>
      <w:pPr>
        <w:pStyle w:val="Heading2"/>
      </w:pPr>
      <w:r>
        <w:t xml:space="preserve">Résumé</w:t>
      </w:r>
    </w:p>
    <w:p>
      <w:pPr>
        <w:pStyle w:val="FirstParagraph"/>
      </w:pPr>
      <w:r>
        <w:t xml:space="preserve">Cette étude de cas présente un fonds commun de placement en actions fictif confronté à un important rachat institutionnel après un choc de marché survenu pendant le week-end. La direction doit décider du niveau de liquidités à conserver, s’il faut emprunter ou vendre des titres, quelles positions négocier, et comment se préparer à des retraits supplémentaires sans créer un frein persistant sur la performance des investissements.</w:t>
      </w:r>
    </w:p>
    <w:p>
      <w:pPr>
        <w:pStyle w:val="BodyText"/>
      </w:pPr>
      <w:r>
        <w:t xml:space="preserve">Le contexte s’appuie sur la section spécifiée relative à la gestion des liquidités des fonds communs de placement, y compris la tension entre le fait de détenir des liquidités excédentaires et celui d’être contraint de liquider des investissements lorsque des rachats surviennent. Il est motivé par des données sectorielles indiquant environ</w:t>
      </w:r>
      <w:r>
        <w:t xml:space="preserve"> </w:t>
      </w:r>
      <w:r>
        <w:rPr>
          <w:b/>
          <w:bCs/>
        </w:rPr>
        <w:t xml:space="preserve">25,3 billions de dollars</w:t>
      </w:r>
      <w:r>
        <w:t xml:space="preserve"> </w:t>
      </w:r>
      <w:r>
        <w:t xml:space="preserve">d’actifs des fonds communs de placement américains à long terme en mai 2026, des sorties hebdomadaires estimées à</w:t>
      </w:r>
      <w:r>
        <w:t xml:space="preserve"> </w:t>
      </w:r>
      <w:r>
        <w:rPr>
          <w:b/>
          <w:bCs/>
        </w:rPr>
        <w:t xml:space="preserve">15,43 milliards de dollars</w:t>
      </w:r>
      <w:r>
        <w:t xml:space="preserve"> </w:t>
      </w:r>
      <w:r>
        <w:t xml:space="preserve">pour les fonds communs de placement en juillet 2026, et des actifs des fonds monétaires dépassant</w:t>
      </w:r>
      <w:r>
        <w:t xml:space="preserve"> </w:t>
      </w:r>
      <w:r>
        <w:rPr>
          <w:b/>
          <w:bCs/>
        </w:rPr>
        <w:t xml:space="preserve">7 billions de dollars</w:t>
      </w:r>
      <w:r>
        <w:t xml:space="preserve"> </w:t>
      </w:r>
      <w:r>
        <w:t xml:space="preserve">en mars 2025.</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2026-09-11T15:59:07Z</dcterms:created>
  <dcterms:modified xsi:type="dcterms:W3CDTF">2026-09-11T15:59:07Z</dcterms:modified>
</cp:coreProperties>
</file>

<file path=docProps/custom.xml><?xml version="1.0" encoding="utf-8"?>
<Properties xmlns="http://schemas.openxmlformats.org/officeDocument/2006/custom-properties" xmlns:vt="http://schemas.openxmlformats.org/officeDocument/2006/docPropsVTypes"/>
</file>