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t xml:space="preserve">ASTERION THERAPEUTICS</w:t>
      </w:r>
    </w:p>
    <w:p>
      <w:pPr>
        <w:pStyle w:val="BodyText"/>
      </w:pPr>
      <w:r>
        <w:rPr>
          <w:rFonts w:hint="eastAsia"/>
        </w:rPr>
        <w:t xml:space="preserve">エンロールメントの時計</w:t>
      </w:r>
    </w:p>
    <w:p>
      <w:pPr>
        <w:pStyle w:val="BodyText"/>
      </w:pPr>
      <w:r>
        <w:rPr>
          <w:rFonts w:hint="eastAsia"/>
        </w:rPr>
        <w:t xml:space="preserve">エビデンス、患者募集、安全性、そして待つことのコストに関する臨床開発ケース</w:t>
      </w:r>
    </w:p>
    <w:p>
      <w:pPr>
        <w:pStyle w:val="BodyText"/>
      </w:pPr>
      <w:r>
        <w:t xml:space="preserve">このケースはフィクションであり、instructional </w:t>
      </w:r>
      <w:r>
        <w:rPr>
          <w:rFonts w:hint="eastAsia"/>
        </w:rPr>
        <w:t xml:space="preserve">discussion(教育的議論)を目的としています。名称、出来事、製品、企業データは架空のものであり、公開統計は出典注に記載されています。</w:t>
      </w:r>
    </w:p>
    <w:bookmarkStart w:id="10" w:name="狭い時間枠を持つ有望な治療法"/>
    <w:p>
      <w:pPr>
        <w:pStyle w:val="Heading1"/>
      </w:pPr>
      <w:r>
        <w:rPr>
          <w:rFonts w:hint="eastAsia"/>
        </w:rPr>
        <w:t xml:space="preserve">狭い時間枠を持つ有望な治療法</w:t>
      </w:r>
    </w:p>
    <w:p>
      <w:pPr>
        <w:pStyle w:val="FirstParagraph"/>
      </w:pPr>
      <w:r>
        <w:rPr>
          <w:rFonts w:hint="eastAsia"/>
        </w:rPr>
        <w:t xml:space="preserve">2027年3月のある火曜日の朝7時15分、Asterion</w:t>
      </w:r>
      <w:r>
        <w:t xml:space="preserve"> </w:t>
      </w:r>
      <w:r>
        <w:rPr>
          <w:rFonts w:hint="eastAsia"/>
        </w:rPr>
        <w:t xml:space="preserve">Therapeuticsの最高開発責任者Maya</w:t>
      </w:r>
      <w:r>
        <w:t xml:space="preserve"> </w:t>
      </w:r>
      <w:r>
        <w:rPr>
          <w:rFonts w:hint="eastAsia"/>
        </w:rPr>
        <w:t xml:space="preserve">Chenは、進行性肺線維症に対する注射剤AST-417の中間報告書を開いた。同社はこの化合物を実験室段階から2つの初期臨床試験へと進めるために、6年の歳月と2億1,400万ドルを費やしていた。Asterionは今や、この治療法が肺機能の低下を遅らせる可能性があると信じるに足るエビデンスを持っていたが、その効果が臨床的に説得力があり、持続的であり、承認を支持するのに十分な広がりを持つかどうかを判断するには、まだ十分なエビデンスがなかった。</w:t>
      </w:r>
    </w:p>
    <w:p>
      <w:pPr>
        <w:pStyle w:val="BodyText"/>
      </w:pPr>
      <w:r>
        <w:rPr>
          <w:rFonts w:hint="eastAsia"/>
        </w:rPr>
        <w:t xml:space="preserve">この決定は時間の問題と切り離せなかった。Asterionは現在の支出率で31か月分の資金を保有していたが、完全なピボタルプログラムはそのランウェイのほとんどを消費しかねなかった。特許保護はすでに侵食されつつあり、より大きな競合企業が関連する試験を発表しており、同社の契約製造業者は6週間以内に生産能力のコミットメントを必要としていた。決定を遅らせればより多くの情報が得られるだろうが、それは資金、患者、製造上の選択肢、そしておそらく市場での地位を犠牲にすることにもなる。</w:t>
      </w:r>
    </w:p>
    <w:bookmarkStart w:id="9" w:name="図1.-ast-417-開発ポジション"/>
    <w:p>
      <w:pPr>
        <w:pStyle w:val="Heading2"/>
      </w:pPr>
      <w:r>
        <w:rPr>
          <w:rFonts w:hint="eastAsia"/>
        </w:rPr>
        <w:t xml:space="preserve">図1.</w:t>
      </w:r>
      <w:r>
        <w:t xml:space="preserve"> AST-417 </w:t>
      </w:r>
      <w:r>
        <w:rPr>
          <w:rFonts w:hint="eastAsia"/>
        </w:rPr>
        <w:t xml:space="preserve">開発ポジション</w:t>
      </w:r>
    </w:p>
    <w:tbl>
      <w:tblPr>
        <w:tblStyle w:val="Table"/>
        <w:tblW w:type="pct" w:w="4919"/>
        <w:tblLayout w:type="fixed"/>
        <w:tblLook w:firstRow="1" w:lastRow="0" w:firstColumn="0" w:lastColumn="0" w:noHBand="0" w:noVBand="0" w:val="0020"/>
      </w:tblPr>
      <w:tblGrid>
        <w:gridCol w:w="1674"/>
        <w:gridCol w:w="2124"/>
        <w:gridCol w:w="3992"/>
      </w:tblGrid>
      <w:tr>
        <w:trPr>
          <w:tblHeader w:val="on"/>
        </w:trPr>
        <w:tc>
          <w:tcPr/>
          <w:p>
            <w:pPr>
              <w:pStyle w:val="Compact"/>
              <w:jc w:val="left"/>
            </w:pPr>
            <w:r>
              <w:rPr>
                <w:rFonts w:hint="eastAsia"/>
              </w:rPr>
              <w:t xml:space="preserve">項目</w:t>
            </w:r>
          </w:p>
        </w:tc>
        <w:tc>
          <w:tcPr/>
          <w:p>
            <w:pPr>
              <w:pStyle w:val="Compact"/>
              <w:jc w:val="left"/>
            </w:pPr>
            <w:r>
              <w:rPr>
                <w:rFonts w:hint="eastAsia"/>
              </w:rPr>
              <w:t xml:space="preserve">現在の状況</w:t>
            </w:r>
          </w:p>
        </w:tc>
        <w:tc>
          <w:tcPr/>
          <w:p>
            <w:pPr>
              <w:pStyle w:val="Compact"/>
              <w:jc w:val="center"/>
            </w:pPr>
            <w:r>
              <w:rPr>
                <w:rFonts w:hint="eastAsia"/>
              </w:rPr>
              <w:t xml:space="preserve">経営上の懸念</w:t>
            </w:r>
          </w:p>
        </w:tc>
      </w:tr>
      <w:tr>
        <w:tc>
          <w:tcPr/>
          <w:p>
            <w:pPr>
              <w:pStyle w:val="Compact"/>
              <w:jc w:val="left"/>
            </w:pPr>
            <w:r>
              <w:rPr>
                <w:rFonts w:hint="eastAsia"/>
              </w:rPr>
              <w:t xml:space="preserve">開発段階</w:t>
            </w:r>
          </w:p>
        </w:tc>
        <w:tc>
          <w:tcPr/>
          <w:p>
            <w:pPr>
              <w:pStyle w:val="Compact"/>
              <w:jc w:val="left"/>
            </w:pPr>
            <w:r>
              <w:rPr>
                <w:rFonts w:hint="eastAsia"/>
              </w:rPr>
              <w:t xml:space="preserve">第IIb相</w:t>
            </w:r>
            <w:r>
              <w:t xml:space="preserve"> </w:t>
            </w:r>
            <w:r>
              <w:rPr>
                <w:rFonts w:hint="eastAsia"/>
              </w:rPr>
              <w:t xml:space="preserve">中間レビュー</w:t>
            </w:r>
          </w:p>
        </w:tc>
        <w:tc>
          <w:tcPr/>
          <w:p>
            <w:pPr>
              <w:pStyle w:val="Compact"/>
              <w:jc w:val="center"/>
            </w:pPr>
            <w:r>
              <w:rPr>
                <w:rFonts w:hint="eastAsia"/>
              </w:rPr>
              <w:t xml:space="preserve">ピボタル試験を設計するのに十分な強さのエビデンスがあるか</w:t>
            </w:r>
          </w:p>
        </w:tc>
      </w:tr>
      <w:tr>
        <w:tc>
          <w:tcPr/>
          <w:p>
            <w:pPr>
              <w:pStyle w:val="Compact"/>
              <w:jc w:val="left"/>
            </w:pPr>
            <w:r>
              <w:rPr>
                <w:rFonts w:hint="eastAsia"/>
              </w:rPr>
              <w:t xml:space="preserve">無作為化された患者数</w:t>
            </w:r>
          </w:p>
        </w:tc>
        <w:tc>
          <w:tcPr/>
          <w:p>
            <w:pPr>
              <w:pStyle w:val="Compact"/>
              <w:jc w:val="left"/>
            </w:pPr>
            <w:r>
              <w:rPr>
                <w:rFonts w:hint="eastAsia"/>
              </w:rPr>
              <w:t xml:space="preserve">計画240例中186例</w:t>
            </w:r>
          </w:p>
        </w:tc>
        <w:tc>
          <w:tcPr/>
          <w:p>
            <w:pPr>
              <w:pStyle w:val="Compact"/>
              <w:jc w:val="center"/>
            </w:pPr>
            <w:r>
              <w:rPr>
                <w:rFonts w:hint="eastAsia"/>
              </w:rPr>
              <w:t xml:space="preserve">患者募集は計画より7か月遅れている</w:t>
            </w:r>
          </w:p>
        </w:tc>
      </w:tr>
      <w:tr>
        <w:tc>
          <w:tcPr/>
          <w:p>
            <w:pPr>
              <w:pStyle w:val="Compact"/>
              <w:jc w:val="left"/>
            </w:pPr>
            <w:r>
              <w:rPr>
                <w:rFonts w:hint="eastAsia"/>
              </w:rPr>
              <w:t xml:space="preserve">治療群</w:t>
            </w:r>
          </w:p>
        </w:tc>
        <w:tc>
          <w:tcPr/>
          <w:p>
            <w:pPr>
              <w:pStyle w:val="Compact"/>
              <w:jc w:val="left"/>
            </w:pPr>
            <w:r>
              <w:rPr>
                <w:rFonts w:hint="eastAsia"/>
              </w:rPr>
              <w:t xml:space="preserve">高用量、低用量、プラセボ</w:t>
            </w:r>
          </w:p>
        </w:tc>
        <w:tc>
          <w:tcPr/>
          <w:p>
            <w:pPr>
              <w:pStyle w:val="Compact"/>
              <w:jc w:val="center"/>
            </w:pPr>
            <w:r>
              <w:rPr>
                <w:rFonts w:hint="eastAsia"/>
              </w:rPr>
              <w:t xml:space="preserve">用量反応パターンはまだ明確ではない</w:t>
            </w:r>
          </w:p>
        </w:tc>
      </w:tr>
      <w:tr>
        <w:tc>
          <w:tcPr/>
          <w:p>
            <w:pPr>
              <w:pStyle w:val="Compact"/>
              <w:jc w:val="left"/>
            </w:pPr>
            <w:r>
              <w:rPr>
                <w:rFonts w:hint="eastAsia"/>
              </w:rPr>
              <w:t xml:space="preserve">現金及び投資</w:t>
            </w:r>
          </w:p>
        </w:tc>
        <w:tc>
          <w:tcPr/>
          <w:p>
            <w:pPr>
              <w:pStyle w:val="Compact"/>
              <w:jc w:val="left"/>
            </w:pPr>
            <w:r>
              <w:rPr>
                <w:rFonts w:hint="eastAsia"/>
              </w:rPr>
              <w:t xml:space="preserve">3億1,800万ドル</w:t>
            </w:r>
          </w:p>
        </w:tc>
        <w:tc>
          <w:tcPr/>
          <w:p>
            <w:pPr>
              <w:pStyle w:val="Compact"/>
              <w:jc w:val="center"/>
            </w:pPr>
            <w:r>
              <w:rPr>
                <w:rFonts w:hint="eastAsia"/>
              </w:rPr>
              <w:t xml:space="preserve">複数の試験デザインが追加の資金調達を必要とする可能性</w:t>
            </w:r>
          </w:p>
        </w:tc>
      </w:tr>
      <w:tr>
        <w:tc>
          <w:tcPr/>
          <w:p>
            <w:pPr>
              <w:pStyle w:val="Compact"/>
              <w:jc w:val="left"/>
            </w:pPr>
            <w:r>
              <w:rPr>
                <w:rFonts w:hint="eastAsia"/>
              </w:rPr>
              <w:t xml:space="preserve">推定特許満了</w:t>
            </w:r>
          </w:p>
        </w:tc>
        <w:tc>
          <w:tcPr/>
          <w:p>
            <w:pPr>
              <w:pStyle w:val="Compact"/>
              <w:jc w:val="left"/>
            </w:pPr>
            <w:r>
              <w:rPr>
                <w:rFonts w:hint="eastAsia"/>
              </w:rPr>
              <w:t xml:space="preserve">2034年</w:t>
            </w:r>
          </w:p>
        </w:tc>
        <w:tc>
          <w:tcPr/>
          <w:p>
            <w:pPr>
              <w:pStyle w:val="Compact"/>
              <w:jc w:val="center"/>
            </w:pPr>
            <w:r>
              <w:rPr>
                <w:rFonts w:hint="eastAsia"/>
              </w:rPr>
              <w:t xml:space="preserve">遅延のたびに商業寿命が短縮する</w:t>
            </w:r>
          </w:p>
        </w:tc>
      </w:tr>
      <w:tr>
        <w:tc>
          <w:tcPr/>
          <w:p>
            <w:pPr>
              <w:pStyle w:val="Compact"/>
              <w:jc w:val="left"/>
            </w:pPr>
            <w:r>
              <w:rPr>
                <w:rFonts w:hint="eastAsia"/>
              </w:rPr>
              <w:t xml:space="preserve">競合プログラム</w:t>
            </w:r>
          </w:p>
        </w:tc>
        <w:tc>
          <w:tcPr/>
          <w:p>
            <w:pPr>
              <w:pStyle w:val="Compact"/>
              <w:jc w:val="left"/>
            </w:pPr>
            <w:r>
              <w:rPr>
                <w:rFonts w:hint="eastAsia"/>
              </w:rPr>
              <w:t xml:space="preserve">第III相を含む3件</w:t>
            </w:r>
          </w:p>
        </w:tc>
        <w:tc>
          <w:tcPr/>
          <w:p>
            <w:pPr>
              <w:pStyle w:val="Compact"/>
              <w:jc w:val="center"/>
            </w:pPr>
            <w:r>
              <w:rPr>
                <w:rFonts w:hint="eastAsia"/>
              </w:rPr>
              <w:t xml:space="preserve">医師及び治験責任医師の関心が移る可能性</w:t>
            </w:r>
          </w:p>
        </w:tc>
      </w:tr>
    </w:tbl>
    <w:p/>
    <w:tbl>
      <w:tblPr>
        <w:tblStyle w:val="Table"/>
        <w:tblW w:type="auto" w:w="0"/>
        <w:tblLook w:firstRow="0" w:lastRow="0" w:firstColumn="0" w:lastColumn="0" w:noHBand="0" w:noVBand="0" w:val="0000"/>
      </w:tblPr>
      <w:tblGrid>
        <w:gridCol w:w="7920"/>
      </w:tblGrid>
      <w:tr>
        <w:tc>
          <w:tcPr/>
          <w:p>
            <w:pPr>
              <w:pStyle w:val="Compact"/>
              <w:jc w:val="left"/>
            </w:pPr>
            <w:r>
              <w:rPr>
                <w:rFonts w:hint="eastAsia"/>
              </w:rPr>
              <w:t xml:space="preserve">Asterionは、AST-417を継続すべきかどうかだけでなく、次にどのようなエビデンスを収集するか、どこで収集するか、何人の患者を求めるか、そして答えが分かる前に会社のどれだけをリスクにさらすかを決めなければならなかった。</w:t>
            </w:r>
          </w:p>
        </w:tc>
      </w:tr>
    </w:tbl>
    <w:p>
      <w:r>
        <w:pict>
          <v:rect style="width:0;height:1.5pt" o:hralign="center" o:hrstd="t" o:hr="t"/>
        </w:pict>
      </w:r>
    </w:p>
    <w:bookmarkEnd w:id="9"/>
    <w:bookmarkEnd w:id="10"/>
    <w:bookmarkStart w:id="12" w:name="中間エビデンス"/>
    <w:p>
      <w:pPr>
        <w:pStyle w:val="Heading1"/>
      </w:pPr>
      <w:r>
        <w:rPr>
          <w:rFonts w:hint="eastAsia"/>
        </w:rPr>
        <w:t xml:space="preserve">中間エビデンス</w:t>
      </w:r>
    </w:p>
    <w:p>
      <w:pPr>
        <w:pStyle w:val="FirstParagraph"/>
      </w:pPr>
      <w:r>
        <w:rPr>
          <w:rFonts w:hint="eastAsia"/>
        </w:rPr>
        <w:t xml:space="preserve">AST-417は、既存の治療にもかかわらず病状が進行し続ける患者を対象としていた。第IIb相プロトコルでは、24週間後の努力肺活量の変化に加え、運動耐容能、患者報告による呼吸困難、入院、検査マーカー、有害事象を測定した。治験責任医師たちは高用量が最も明確な効果を示すと予想していた。しかし実際には、低用量群が最も強い平均結果を示し、高用量群には劇的な反応を示した患者と、治療を中止した数名の患者の両方が含まれていた。</w:t>
      </w:r>
    </w:p>
    <w:p>
      <w:pPr>
        <w:pStyle w:val="BodyText"/>
      </w:pPr>
      <w:r>
        <w:rPr>
          <w:rFonts w:hint="eastAsia"/>
        </w:rPr>
        <w:t xml:space="preserve">平均値は重要な差異を覆い隠していた。過去2年以内に診断された患者は、進行した病状の患者よりも改善する傾向が見られた。結果はまた、地域や患者が背景治療を継続しているかどうかによっても異なっていた。これらのサブグループの所見は科学的にもっともらしいものであったが、この試験はそれらを証明するために設計されたものではなかった。次の試験を明らかな反応者に絞り込むことで陽性結果の確率を高められる可能性はあったが、潜在的な市場を縮小させ、患者募集をより困難にする可能性もあった。</w:t>
      </w:r>
    </w:p>
    <w:bookmarkStart w:id="11" w:name="図2.-24週時点の中間結果"/>
    <w:p>
      <w:pPr>
        <w:pStyle w:val="Heading2"/>
      </w:pPr>
      <w:r>
        <w:rPr>
          <w:rFonts w:hint="eastAsia"/>
        </w:rPr>
        <w:t xml:space="preserve">図2.</w:t>
      </w:r>
      <w:r>
        <w:t xml:space="preserve"> </w:t>
      </w:r>
      <w:r>
        <w:rPr>
          <w:rFonts w:hint="eastAsia"/>
        </w:rPr>
        <w:t xml:space="preserve">24週時点の中間結果</w:t>
      </w:r>
    </w:p>
    <w:tbl>
      <w:tblPr>
        <w:tblStyle w:val="Table"/>
        <w:tblW w:type="pct" w:w="4890"/>
        <w:tblLayout w:type="fixed"/>
        <w:tblLook w:firstRow="1" w:lastRow="0" w:firstColumn="0" w:lastColumn="0" w:noHBand="0" w:noVBand="0" w:val="0020"/>
      </w:tblPr>
      <w:tblGrid>
        <w:gridCol w:w="4351"/>
        <w:gridCol w:w="1131"/>
        <w:gridCol w:w="1131"/>
        <w:gridCol w:w="1131"/>
      </w:tblGrid>
      <w:tr>
        <w:trPr>
          <w:tblHeader w:val="on"/>
        </w:trPr>
        <w:tc>
          <w:tcPr/>
          <w:p>
            <w:pPr>
              <w:pStyle w:val="Compact"/>
              <w:jc w:val="left"/>
            </w:pPr>
            <w:r>
              <w:rPr>
                <w:rFonts w:hint="eastAsia"/>
              </w:rPr>
              <w:t xml:space="preserve">指標</w:t>
            </w:r>
          </w:p>
        </w:tc>
        <w:tc>
          <w:tcPr/>
          <w:p>
            <w:pPr>
              <w:pStyle w:val="Compact"/>
              <w:jc w:val="center"/>
            </w:pPr>
            <w:r>
              <w:t xml:space="preserve">プラセボ</w:t>
            </w:r>
          </w:p>
        </w:tc>
        <w:tc>
          <w:tcPr/>
          <w:p>
            <w:pPr>
              <w:pStyle w:val="Compact"/>
              <w:jc w:val="center"/>
            </w:pPr>
            <w:r>
              <w:rPr>
                <w:rFonts w:hint="eastAsia"/>
              </w:rPr>
              <w:t xml:space="preserve">低用量</w:t>
            </w:r>
          </w:p>
        </w:tc>
        <w:tc>
          <w:tcPr/>
          <w:p>
            <w:pPr>
              <w:pStyle w:val="Compact"/>
              <w:jc w:val="center"/>
            </w:pPr>
            <w:r>
              <w:rPr>
                <w:rFonts w:hint="eastAsia"/>
              </w:rPr>
              <w:t xml:space="preserve">高用量</w:t>
            </w:r>
          </w:p>
        </w:tc>
      </w:tr>
      <w:tr>
        <w:tc>
          <w:tcPr/>
          <w:p>
            <w:pPr>
              <w:pStyle w:val="Compact"/>
              <w:jc w:val="left"/>
            </w:pPr>
            <w:r>
              <w:rPr>
                <w:rFonts w:hint="eastAsia"/>
              </w:rPr>
              <w:t xml:space="preserve">肺機能指標の平均変化</w:t>
            </w:r>
          </w:p>
        </w:tc>
        <w:tc>
          <w:tcPr/>
          <w:p>
            <w:pPr>
              <w:pStyle w:val="Compact"/>
              <w:jc w:val="center"/>
            </w:pPr>
            <w:r>
              <w:t xml:space="preserve">-126 mL</w:t>
            </w:r>
          </w:p>
        </w:tc>
        <w:tc>
          <w:tcPr/>
          <w:p>
            <w:pPr>
              <w:pStyle w:val="Compact"/>
              <w:jc w:val="center"/>
            </w:pPr>
            <w:r>
              <w:t xml:space="preserve">-71 mL</w:t>
            </w:r>
          </w:p>
        </w:tc>
        <w:tc>
          <w:tcPr/>
          <w:p>
            <w:pPr>
              <w:pStyle w:val="Compact"/>
              <w:jc w:val="center"/>
            </w:pPr>
            <w:r>
              <w:t xml:space="preserve">-82 mL</w:t>
            </w:r>
          </w:p>
        </w:tc>
      </w:tr>
      <w:tr>
        <w:tc>
          <w:tcPr/>
          <w:p>
            <w:pPr>
              <w:pStyle w:val="Compact"/>
              <w:jc w:val="left"/>
            </w:pPr>
            <w:r>
              <w:rPr>
                <w:rFonts w:hint="eastAsia"/>
              </w:rPr>
              <w:t xml:space="preserve">臨床的に意味のある改善を示した患者</w:t>
            </w:r>
          </w:p>
        </w:tc>
        <w:tc>
          <w:tcPr/>
          <w:p>
            <w:pPr>
              <w:pStyle w:val="Compact"/>
              <w:jc w:val="center"/>
            </w:pPr>
            <w:r>
              <w:t xml:space="preserve">14%</w:t>
            </w:r>
          </w:p>
        </w:tc>
        <w:tc>
          <w:tcPr/>
          <w:p>
            <w:pPr>
              <w:pStyle w:val="Compact"/>
              <w:jc w:val="center"/>
            </w:pPr>
            <w:r>
              <w:t xml:space="preserve">28%</w:t>
            </w:r>
          </w:p>
        </w:tc>
        <w:tc>
          <w:tcPr/>
          <w:p>
            <w:pPr>
              <w:pStyle w:val="Compact"/>
              <w:jc w:val="center"/>
            </w:pPr>
            <w:r>
              <w:t xml:space="preserve">25%</w:t>
            </w:r>
          </w:p>
        </w:tc>
      </w:tr>
      <w:tr>
        <w:tc>
          <w:tcPr/>
          <w:p>
            <w:pPr>
              <w:pStyle w:val="Compact"/>
              <w:jc w:val="left"/>
            </w:pPr>
            <w:r>
              <w:rPr>
                <w:rFonts w:hint="eastAsia"/>
              </w:rPr>
              <w:t xml:space="preserve">試験治療を中止した患者</w:t>
            </w:r>
          </w:p>
        </w:tc>
        <w:tc>
          <w:tcPr/>
          <w:p>
            <w:pPr>
              <w:pStyle w:val="Compact"/>
              <w:jc w:val="center"/>
            </w:pPr>
            <w:r>
              <w:t xml:space="preserve">8%</w:t>
            </w:r>
          </w:p>
        </w:tc>
        <w:tc>
          <w:tcPr/>
          <w:p>
            <w:pPr>
              <w:pStyle w:val="Compact"/>
              <w:jc w:val="center"/>
            </w:pPr>
            <w:r>
              <w:t xml:space="preserve">11%</w:t>
            </w:r>
          </w:p>
        </w:tc>
        <w:tc>
          <w:tcPr/>
          <w:p>
            <w:pPr>
              <w:pStyle w:val="Compact"/>
              <w:jc w:val="center"/>
            </w:pPr>
            <w:r>
              <w:t xml:space="preserve">19%</w:t>
            </w:r>
          </w:p>
        </w:tc>
      </w:tr>
      <w:tr>
        <w:tc>
          <w:tcPr/>
          <w:p>
            <w:pPr>
              <w:pStyle w:val="Compact"/>
              <w:jc w:val="left"/>
            </w:pPr>
            <w:r>
              <w:rPr>
                <w:rFonts w:hint="eastAsia"/>
              </w:rPr>
              <w:t xml:space="preserve">重篤な有害事象</w:t>
            </w:r>
          </w:p>
        </w:tc>
        <w:tc>
          <w:tcPr/>
          <w:p>
            <w:pPr>
              <w:pStyle w:val="Compact"/>
              <w:jc w:val="center"/>
            </w:pPr>
            <w:r>
              <w:t xml:space="preserve">7%</w:t>
            </w:r>
          </w:p>
        </w:tc>
        <w:tc>
          <w:tcPr/>
          <w:p>
            <w:pPr>
              <w:pStyle w:val="Compact"/>
              <w:jc w:val="center"/>
            </w:pPr>
            <w:r>
              <w:t xml:space="preserve">8%</w:t>
            </w:r>
          </w:p>
        </w:tc>
        <w:tc>
          <w:tcPr/>
          <w:p>
            <w:pPr>
              <w:pStyle w:val="Compact"/>
              <w:jc w:val="center"/>
            </w:pPr>
            <w:r>
              <w:t xml:space="preserve">12%</w:t>
            </w:r>
          </w:p>
        </w:tc>
      </w:tr>
      <w:tr>
        <w:tc>
          <w:tcPr/>
          <w:p>
            <w:pPr>
              <w:pStyle w:val="Compact"/>
              <w:jc w:val="left"/>
            </w:pPr>
            <w:r>
              <w:rPr>
                <w:rFonts w:hint="eastAsia"/>
              </w:rPr>
              <w:t xml:space="preserve">平均輸注時間</w:t>
            </w:r>
          </w:p>
        </w:tc>
        <w:tc>
          <w:tcPr/>
          <w:p>
            <w:pPr>
              <w:pStyle w:val="Compact"/>
              <w:jc w:val="center"/>
            </w:pPr>
            <w:r>
              <w:t xml:space="preserve">—</w:t>
            </w:r>
          </w:p>
        </w:tc>
        <w:tc>
          <w:tcPr/>
          <w:p>
            <w:pPr>
              <w:pStyle w:val="Compact"/>
              <w:jc w:val="center"/>
            </w:pPr>
            <w:r>
              <w:rPr>
                <w:rFonts w:hint="eastAsia"/>
              </w:rPr>
              <w:t xml:space="preserve">52分</w:t>
            </w:r>
          </w:p>
        </w:tc>
        <w:tc>
          <w:tcPr/>
          <w:p>
            <w:pPr>
              <w:pStyle w:val="Compact"/>
              <w:jc w:val="center"/>
            </w:pPr>
            <w:r>
              <w:rPr>
                <w:rFonts w:hint="eastAsia"/>
              </w:rPr>
              <w:t xml:space="preserve">54分</w:t>
            </w:r>
          </w:p>
        </w:tc>
      </w:tr>
    </w:tbl>
    <w:p>
      <w:pPr>
        <w:pStyle w:val="BodyText"/>
      </w:pPr>
      <w:r>
        <w:rPr>
          <w:rFonts w:hint="eastAsia"/>
        </w:rPr>
        <w:t xml:space="preserve">独立安全性委員会は試験の中止を勧告しなかった。しかし、肝酵素と輸注反応のより厳密なモニタリングを要請した。7名の高用量患者が一時的な検査値異常を経験し、2名が重篤な反応の後に入院した。治験責任医師たちは、これらの事象が薬剤によるものか、患者の基礎疾患によるものか、他の薬剤との相互作用によるものかについて意見が一致しなかった。</w:t>
      </w:r>
    </w:p>
    <w:bookmarkEnd w:id="11"/>
    <w:bookmarkEnd w:id="12"/>
    <w:bookmarkStart w:id="14" w:name="患者募集の問題"/>
    <w:p>
      <w:pPr>
        <w:pStyle w:val="Heading1"/>
      </w:pPr>
      <w:r>
        <w:rPr>
          <w:rFonts w:hint="eastAsia"/>
        </w:rPr>
        <w:t xml:space="preserve">患者募集の問題</w:t>
      </w:r>
    </w:p>
    <w:p>
      <w:pPr>
        <w:pStyle w:val="FirstParagraph"/>
      </w:pPr>
      <w:r>
        <w:rPr>
          <w:rFonts w:hint="eastAsia"/>
        </w:rPr>
        <w:t xml:space="preserve">当初の計画では、各稼働施設が月あたり0.55人の患者を組み入れると想定していた。実際の割合は0.31であった。一部の病院は多数の患者をスクリーニングしたが、適格基準が腎疾患、最近の感染症、不安定な背景薬物療法、あるいは軽すぎるか進行しすぎている病状を持つ人々を除外していたため、組み入れられる患者は少なかった。地域の呼吸器専門医は、長期的な患者関係を失うことを恐れて、学術医療センターへの患者紹介に消極的だった。患者は繰り返しの通院、侵襲的な検査、そして3分の1の確率でプラセボを受ける可能性に直面していた。</w:t>
      </w:r>
    </w:p>
    <w:p>
      <w:pPr>
        <w:pStyle w:val="BodyText"/>
      </w:pPr>
      <w:r>
        <w:rPr>
          <w:rFonts w:hint="eastAsia"/>
        </w:rPr>
        <w:t xml:space="preserve">Asterionの臨床運営チームは、28の追加病院施設と、賃借した外来スペースに8つの専用リサーチセンターの開設を提案した。医療チームはより少数の、経験豊富な施設を好んだ。ある患者擁護団体は、在宅看護、交通支援、遠隔評価を主張した。それぞれのアプローチは、予想される患者組み入れ率、データの一貫性、そして試験のコストを変化させるものだった。</w:t>
      </w:r>
    </w:p>
    <w:bookmarkStart w:id="13" w:name="図3.-患者募集ファネルと施設パフォーマンス"/>
    <w:p>
      <w:pPr>
        <w:pStyle w:val="Heading2"/>
      </w:pPr>
      <w:r>
        <w:rPr>
          <w:rFonts w:hint="eastAsia"/>
        </w:rPr>
        <w:t xml:space="preserve">図3.</w:t>
      </w:r>
      <w:r>
        <w:t xml:space="preserve"> </w:t>
      </w:r>
      <w:r>
        <w:rPr>
          <w:rFonts w:hint="eastAsia"/>
        </w:rPr>
        <w:t xml:space="preserve">患者募集ファネルと施設パフォーマンス</w:t>
      </w:r>
    </w:p>
    <w:tbl>
      <w:tblPr>
        <w:tblStyle w:val="Table"/>
        <w:tblW w:type="pct" w:w="4882"/>
        <w:tblLayout w:type="fixed"/>
        <w:tblLook w:firstRow="1" w:lastRow="0" w:firstColumn="0" w:lastColumn="0" w:noHBand="0" w:noVBand="0" w:val="0020"/>
      </w:tblPr>
      <w:tblGrid>
        <w:gridCol w:w="4006"/>
        <w:gridCol w:w="1490"/>
        <w:gridCol w:w="2236"/>
      </w:tblGrid>
      <w:tr>
        <w:trPr>
          <w:tblHeader w:val="on"/>
        </w:trPr>
        <w:tc>
          <w:tcPr/>
          <w:p>
            <w:pPr>
              <w:pStyle w:val="Compact"/>
              <w:jc w:val="left"/>
            </w:pPr>
            <w:r>
              <w:rPr>
                <w:rFonts w:hint="eastAsia"/>
              </w:rPr>
              <w:t xml:space="preserve">活動</w:t>
            </w:r>
          </w:p>
        </w:tc>
        <w:tc>
          <w:tcPr/>
          <w:p>
            <w:pPr>
              <w:pStyle w:val="Compact"/>
              <w:jc w:val="center"/>
            </w:pPr>
            <w:r>
              <w:rPr>
                <w:rFonts w:hint="eastAsia"/>
              </w:rPr>
              <w:t xml:space="preserve">開始以降</w:t>
            </w:r>
          </w:p>
        </w:tc>
        <w:tc>
          <w:tcPr/>
          <w:p>
            <w:pPr>
              <w:pStyle w:val="Compact"/>
              <w:jc w:val="center"/>
            </w:pPr>
            <w:r>
              <w:rPr>
                <w:rFonts w:hint="eastAsia"/>
              </w:rPr>
              <w:t xml:space="preserve">前段階に対する割合</w:t>
            </w:r>
          </w:p>
        </w:tc>
      </w:tr>
      <w:tr>
        <w:tc>
          <w:tcPr/>
          <w:p>
            <w:pPr>
              <w:pStyle w:val="Compact"/>
              <w:jc w:val="left"/>
            </w:pPr>
            <w:r>
              <w:rPr>
                <w:rFonts w:hint="eastAsia"/>
              </w:rPr>
              <w:t xml:space="preserve">予備的に特定された患者記録</w:t>
            </w:r>
          </w:p>
        </w:tc>
        <w:tc>
          <w:tcPr/>
          <w:p>
            <w:pPr>
              <w:pStyle w:val="Compact"/>
              <w:jc w:val="center"/>
            </w:pPr>
            <w:r>
              <w:t xml:space="preserve">4,860</w:t>
            </w:r>
          </w:p>
        </w:tc>
        <w:tc>
          <w:tcPr/>
          <w:p>
            <w:pPr>
              <w:pStyle w:val="Compact"/>
              <w:jc w:val="center"/>
            </w:pPr>
            <w:r>
              <w:t xml:space="preserve">—</w:t>
            </w:r>
          </w:p>
        </w:tc>
      </w:tr>
      <w:tr>
        <w:tc>
          <w:tcPr/>
          <w:p>
            <w:pPr>
              <w:pStyle w:val="Compact"/>
              <w:jc w:val="left"/>
            </w:pPr>
            <w:r>
              <w:rPr>
                <w:rFonts w:hint="eastAsia"/>
              </w:rPr>
              <w:t xml:space="preserve">連絡または紹介された患者</w:t>
            </w:r>
          </w:p>
        </w:tc>
        <w:tc>
          <w:tcPr/>
          <w:p>
            <w:pPr>
              <w:pStyle w:val="Compact"/>
              <w:jc w:val="center"/>
            </w:pPr>
            <w:r>
              <w:t xml:space="preserve">1,940</w:t>
            </w:r>
          </w:p>
        </w:tc>
        <w:tc>
          <w:tcPr/>
          <w:p>
            <w:pPr>
              <w:pStyle w:val="Compact"/>
              <w:jc w:val="center"/>
            </w:pPr>
            <w:r>
              <w:t xml:space="preserve">40%</w:t>
            </w:r>
          </w:p>
        </w:tc>
      </w:tr>
      <w:tr>
        <w:tc>
          <w:tcPr/>
          <w:p>
            <w:pPr>
              <w:pStyle w:val="Compact"/>
              <w:jc w:val="left"/>
            </w:pPr>
            <w:r>
              <w:rPr>
                <w:rFonts w:hint="eastAsia"/>
              </w:rPr>
              <w:t xml:space="preserve">スクリーニングに同意した患者</w:t>
            </w:r>
          </w:p>
        </w:tc>
        <w:tc>
          <w:tcPr/>
          <w:p>
            <w:pPr>
              <w:pStyle w:val="Compact"/>
              <w:jc w:val="center"/>
            </w:pPr>
            <w:r>
              <w:t xml:space="preserve">612</w:t>
            </w:r>
          </w:p>
        </w:tc>
        <w:tc>
          <w:tcPr/>
          <w:p>
            <w:pPr>
              <w:pStyle w:val="Compact"/>
              <w:jc w:val="center"/>
            </w:pPr>
            <w:r>
              <w:t xml:space="preserve">32%</w:t>
            </w:r>
          </w:p>
        </w:tc>
      </w:tr>
      <w:tr>
        <w:tc>
          <w:tcPr/>
          <w:p>
            <w:pPr>
              <w:pStyle w:val="Compact"/>
              <w:jc w:val="left"/>
            </w:pPr>
            <w:r>
              <w:rPr>
                <w:rFonts w:hint="eastAsia"/>
              </w:rPr>
              <w:t xml:space="preserve">適格基準を満たした患者</w:t>
            </w:r>
          </w:p>
        </w:tc>
        <w:tc>
          <w:tcPr/>
          <w:p>
            <w:pPr>
              <w:pStyle w:val="Compact"/>
              <w:jc w:val="center"/>
            </w:pPr>
            <w:r>
              <w:t xml:space="preserve">274</w:t>
            </w:r>
          </w:p>
        </w:tc>
        <w:tc>
          <w:tcPr/>
          <w:p>
            <w:pPr>
              <w:pStyle w:val="Compact"/>
              <w:jc w:val="center"/>
            </w:pPr>
            <w:r>
              <w:t xml:space="preserve">45%</w:t>
            </w:r>
          </w:p>
        </w:tc>
      </w:tr>
      <w:tr>
        <w:tc>
          <w:tcPr/>
          <w:p>
            <w:pPr>
              <w:pStyle w:val="Compact"/>
              <w:jc w:val="left"/>
            </w:pPr>
            <w:r>
              <w:rPr>
                <w:rFonts w:hint="eastAsia"/>
              </w:rPr>
              <w:t xml:space="preserve">無作為化された患者</w:t>
            </w:r>
          </w:p>
        </w:tc>
        <w:tc>
          <w:tcPr/>
          <w:p>
            <w:pPr>
              <w:pStyle w:val="Compact"/>
              <w:jc w:val="center"/>
            </w:pPr>
            <w:r>
              <w:t xml:space="preserve">186</w:t>
            </w:r>
          </w:p>
        </w:tc>
        <w:tc>
          <w:tcPr/>
          <w:p>
            <w:pPr>
              <w:pStyle w:val="Compact"/>
              <w:jc w:val="center"/>
            </w:pPr>
            <w:r>
              <w:t xml:space="preserve">68%</w:t>
            </w:r>
          </w:p>
        </w:tc>
      </w:tr>
      <w:tr>
        <w:tc>
          <w:tcPr/>
          <w:p>
            <w:pPr>
              <w:pStyle w:val="Compact"/>
              <w:jc w:val="left"/>
            </w:pPr>
            <w:r>
              <w:rPr>
                <w:rFonts w:hint="eastAsia"/>
              </w:rPr>
              <w:t xml:space="preserve">24週間を完了した患者</w:t>
            </w:r>
          </w:p>
        </w:tc>
        <w:tc>
          <w:tcPr/>
          <w:p>
            <w:pPr>
              <w:pStyle w:val="Compact"/>
              <w:jc w:val="center"/>
            </w:pPr>
            <w:r>
              <w:t xml:space="preserve">151</w:t>
            </w:r>
          </w:p>
        </w:tc>
        <w:tc>
          <w:tcPr/>
          <w:p>
            <w:pPr>
              <w:pStyle w:val="Compact"/>
              <w:jc w:val="center"/>
            </w:pPr>
            <w:r>
              <w:rPr>
                <w:rFonts w:hint="eastAsia"/>
              </w:rPr>
              <w:t xml:space="preserve">無作為化患者の81%</w:t>
            </w:r>
          </w:p>
        </w:tc>
      </w:tr>
    </w:tbl>
    <w:p>
      <w:pPr>
        <w:pStyle w:val="BodyText"/>
      </w:pPr>
      <w:r>
        <w:rPr>
          <w:rFonts w:hint="eastAsia"/>
        </w:rPr>
        <w:t xml:space="preserve">同社の施設レベルのデータも同様に不均一だった。6施設が1人の患者も組み入れておらず、一方4つの大規模センターが試験全体の38パーセントを占めていた。ネットワークを拡大すればアクセスは向上する可能性があるが、新しい施設は、最初の患者が組み入れられる前に契約、倫理審査、トレーニング、薬剤の発送、検査室の認証、モニタリングを必要とする。</w:t>
      </w:r>
    </w:p>
    <w:bookmarkEnd w:id="13"/>
    <w:bookmarkEnd w:id="14"/>
    <w:bookmarkStart w:id="16" w:name="つの道筋"/>
    <w:p>
      <w:pPr>
        <w:pStyle w:val="Heading1"/>
      </w:pPr>
      <w:r>
        <w:rPr>
          <w:rFonts w:hint="eastAsia"/>
        </w:rPr>
        <w:t xml:space="preserve">4つの道筋</w:t>
      </w:r>
    </w:p>
    <w:p>
      <w:pPr>
        <w:pStyle w:val="FirstParagraph"/>
      </w:pPr>
      <w:r>
        <w:rPr>
          <w:rFonts w:hint="eastAsia"/>
        </w:rPr>
        <w:t xml:space="preserve">Chenのチームは4つの大きな道筋を策定した。第一の道筋は、大きな変更を加えずに既存の第IIb相試験を完了させ、残りの患者を用いて用量と安全性パターンを明確化するというものだった。これは短期的には最も費用のかからない選択肢だったが、ピボタル試験の決定をおよそ9か月先延ばしにすることになる。</w:t>
      </w:r>
    </w:p>
    <w:p>
      <w:pPr>
        <w:pStyle w:val="BodyText"/>
      </w:pPr>
      <w:r>
        <w:rPr>
          <w:rFonts w:hint="eastAsia"/>
        </w:rPr>
        <w:t xml:space="preserve">第二の道筋は、低用量と広範な患者集団を用いて、直ちに大規模な第III相プログラムを開始するというものだった。スピードは特許寿命と製造能力を保護できる可能性があるが、Asterionは最終的な第IIb相結果が得られる前に多額の資本を投じることになる。</w:t>
      </w:r>
    </w:p>
    <w:p>
      <w:pPr>
        <w:pStyle w:val="BodyText"/>
      </w:pPr>
      <w:r>
        <w:rPr>
          <w:rFonts w:hint="eastAsia"/>
        </w:rPr>
        <w:t xml:space="preserve">第三の道筋は、中間レビュー後にあらかじめ規定された患者群の間で組み入れを変更できるアダプティブなピボタル試験だった。このデザインは進行しながら学習できる可能性があるが、治験責任医師、規制当局、投資家に説明するのがより複雑になる。統計的な誤りや運用上の不整合が、その柔軟性の価値を損なう恐れもある。</w:t>
      </w:r>
    </w:p>
    <w:p>
      <w:pPr>
        <w:pStyle w:val="BodyText"/>
      </w:pPr>
      <w:r>
        <w:rPr>
          <w:rFonts w:hint="eastAsia"/>
        </w:rPr>
        <w:t xml:space="preserve">第四の道筋は、最近診断された患者に焦点を当てたより小規模な確認的試験と、製薬パートナーの探索を組み合わせるというものだった。これによりAsterionの財務上のリスクを減らせる可能性があるが、パートナーが支配権を要求したり、デューデリジェンス中にプログラムを遅延させたり、曖昧な高用量安全性データを見た後に資産の価値をより低く評価したりする可能性もある。</w:t>
      </w:r>
    </w:p>
    <w:bookmarkStart w:id="15" w:name="図4.-取締役会に提示された開発の選択肢"/>
    <w:p>
      <w:pPr>
        <w:pStyle w:val="Heading2"/>
      </w:pPr>
      <w:r>
        <w:rPr>
          <w:rFonts w:hint="eastAsia"/>
        </w:rPr>
        <w:t xml:space="preserve">図4.</w:t>
      </w:r>
      <w:r>
        <w:t xml:space="preserve"> </w:t>
      </w:r>
      <w:r>
        <w:rPr>
          <w:rFonts w:hint="eastAsia"/>
        </w:rPr>
        <w:t xml:space="preserve">取締役会に提示された開発の選択肢</w:t>
      </w:r>
    </w:p>
    <w:tbl>
      <w:tblPr>
        <w:tblStyle w:val="Table"/>
        <w:tblW w:type="pct" w:w="4936"/>
        <w:tblLayout w:type="fixed"/>
        <w:tblLook w:firstRow="1" w:lastRow="0" w:firstColumn="0" w:lastColumn="0" w:noHBand="0" w:noVBand="0" w:val="0020"/>
      </w:tblPr>
      <w:tblGrid>
        <w:gridCol w:w="1816"/>
        <w:gridCol w:w="2270"/>
        <w:gridCol w:w="1513"/>
        <w:gridCol w:w="2219"/>
      </w:tblGrid>
      <w:tr>
        <w:trPr>
          <w:tblHeader w:val="on"/>
        </w:trPr>
        <w:tc>
          <w:tcPr/>
          <w:p>
            <w:pPr>
              <w:pStyle w:val="Compact"/>
              <w:jc w:val="left"/>
            </w:pPr>
            <w:r>
              <w:rPr>
                <w:rFonts w:hint="eastAsia"/>
              </w:rPr>
              <w:t xml:space="preserve">選択肢</w:t>
            </w:r>
          </w:p>
        </w:tc>
        <w:tc>
          <w:tcPr/>
          <w:p>
            <w:pPr>
              <w:pStyle w:val="Compact"/>
              <w:jc w:val="left"/>
            </w:pPr>
            <w:r>
              <w:rPr>
                <w:rFonts w:hint="eastAsia"/>
              </w:rPr>
              <w:t xml:space="preserve">次の主要決定までの追加コスト</w:t>
            </w:r>
          </w:p>
        </w:tc>
        <w:tc>
          <w:tcPr/>
          <w:p>
            <w:pPr>
              <w:pStyle w:val="Compact"/>
              <w:jc w:val="left"/>
            </w:pPr>
            <w:r>
              <w:rPr>
                <w:rFonts w:hint="eastAsia"/>
              </w:rPr>
              <w:t xml:space="preserve">次の主要決定までの時間</w:t>
            </w:r>
          </w:p>
        </w:tc>
        <w:tc>
          <w:tcPr/>
          <w:p>
            <w:pPr>
              <w:pStyle w:val="Compact"/>
              <w:jc w:val="left"/>
            </w:pPr>
            <w:r>
              <w:rPr>
                <w:rFonts w:hint="eastAsia"/>
              </w:rPr>
              <w:t xml:space="preserve">選択されるリスクエクスポージャー</w:t>
            </w:r>
          </w:p>
        </w:tc>
      </w:tr>
      <w:tr>
        <w:tc>
          <w:tcPr/>
          <w:p>
            <w:pPr>
              <w:pStyle w:val="Compact"/>
              <w:jc w:val="left"/>
            </w:pPr>
            <w:r>
              <w:rPr>
                <w:rFonts w:hint="eastAsia"/>
              </w:rPr>
              <w:t xml:space="preserve">計画通り第IIb相を完了</w:t>
            </w:r>
          </w:p>
        </w:tc>
        <w:tc>
          <w:tcPr/>
          <w:p>
            <w:pPr>
              <w:pStyle w:val="Compact"/>
              <w:jc w:val="left"/>
            </w:pPr>
            <w:r>
              <w:rPr>
                <w:rFonts w:hint="eastAsia"/>
              </w:rPr>
              <w:t xml:space="preserve">3,800万ドル</w:t>
            </w:r>
          </w:p>
        </w:tc>
        <w:tc>
          <w:tcPr/>
          <w:p>
            <w:pPr>
              <w:pStyle w:val="Compact"/>
              <w:jc w:val="left"/>
            </w:pPr>
            <w:r>
              <w:rPr>
                <w:rFonts w:hint="eastAsia"/>
              </w:rPr>
              <w:t xml:space="preserve">9か月</w:t>
            </w:r>
          </w:p>
        </w:tc>
        <w:tc>
          <w:tcPr/>
          <w:p>
            <w:pPr>
              <w:pStyle w:val="Compact"/>
              <w:jc w:val="left"/>
            </w:pPr>
            <w:r>
              <w:rPr>
                <w:rFonts w:hint="eastAsia"/>
              </w:rPr>
              <w:t xml:space="preserve">競合と特許の遅延</w:t>
            </w:r>
          </w:p>
        </w:tc>
      </w:tr>
      <w:tr>
        <w:tc>
          <w:tcPr/>
          <w:p>
            <w:pPr>
              <w:pStyle w:val="Compact"/>
              <w:jc w:val="left"/>
            </w:pPr>
            <w:r>
              <w:rPr>
                <w:rFonts w:hint="eastAsia"/>
              </w:rPr>
              <w:t xml:space="preserve">広範な第III相を開始</w:t>
            </w:r>
          </w:p>
        </w:tc>
        <w:tc>
          <w:tcPr/>
          <w:p>
            <w:pPr>
              <w:pStyle w:val="Compact"/>
              <w:jc w:val="left"/>
            </w:pPr>
            <w:r>
              <w:rPr>
                <w:rFonts w:hint="eastAsia"/>
              </w:rPr>
              <w:t xml:space="preserve">2億8,600万ドル</w:t>
            </w:r>
          </w:p>
        </w:tc>
        <w:tc>
          <w:tcPr/>
          <w:p>
            <w:pPr>
              <w:pStyle w:val="Compact"/>
              <w:jc w:val="left"/>
            </w:pPr>
            <w:r>
              <w:rPr>
                <w:rFonts w:hint="eastAsia"/>
              </w:rPr>
              <w:t xml:space="preserve">30～38か月</w:t>
            </w:r>
          </w:p>
        </w:tc>
        <w:tc>
          <w:tcPr/>
          <w:p>
            <w:pPr>
              <w:pStyle w:val="Compact"/>
              <w:jc w:val="left"/>
            </w:pPr>
            <w:r>
              <w:rPr>
                <w:rFonts w:hint="eastAsia"/>
              </w:rPr>
              <w:t xml:space="preserve">不完全なエビデンスでの大きなコミットメント</w:t>
            </w:r>
          </w:p>
        </w:tc>
      </w:tr>
      <w:tr>
        <w:tc>
          <w:tcPr/>
          <w:p>
            <w:pPr>
              <w:pStyle w:val="Compact"/>
              <w:jc w:val="left"/>
            </w:pPr>
            <w:r>
              <w:t xml:space="preserve">アダプティブなピボタルプログラム</w:t>
            </w:r>
          </w:p>
        </w:tc>
        <w:tc>
          <w:tcPr/>
          <w:p>
            <w:pPr>
              <w:pStyle w:val="Compact"/>
              <w:jc w:val="left"/>
            </w:pPr>
            <w:r>
              <w:rPr>
                <w:rFonts w:hint="eastAsia"/>
              </w:rPr>
              <w:t xml:space="preserve">2億4,400万ドル</w:t>
            </w:r>
          </w:p>
        </w:tc>
        <w:tc>
          <w:tcPr/>
          <w:p>
            <w:pPr>
              <w:pStyle w:val="Compact"/>
              <w:jc w:val="left"/>
            </w:pPr>
            <w:r>
              <w:rPr>
                <w:rFonts w:hint="eastAsia"/>
              </w:rPr>
              <w:t xml:space="preserve">24～34か月</w:t>
            </w:r>
          </w:p>
        </w:tc>
        <w:tc>
          <w:tcPr/>
          <w:p>
            <w:pPr>
              <w:pStyle w:val="Compact"/>
              <w:jc w:val="left"/>
            </w:pPr>
            <w:r>
              <w:rPr>
                <w:rFonts w:hint="eastAsia"/>
              </w:rPr>
              <w:t xml:space="preserve">デザイン及び規制上の複雑さ</w:t>
            </w:r>
          </w:p>
        </w:tc>
      </w:tr>
      <w:tr>
        <w:tc>
          <w:tcPr/>
          <w:p>
            <w:pPr>
              <w:pStyle w:val="Compact"/>
              <w:jc w:val="left"/>
            </w:pPr>
            <w:r>
              <w:rPr>
                <w:rFonts w:hint="eastAsia"/>
              </w:rPr>
              <w:t xml:space="preserve">絞り込んだ試験とパートナー探索</w:t>
            </w:r>
          </w:p>
        </w:tc>
        <w:tc>
          <w:tcPr/>
          <w:p>
            <w:pPr>
              <w:pStyle w:val="Compact"/>
              <w:jc w:val="left"/>
            </w:pPr>
            <w:r>
              <w:rPr>
                <w:rFonts w:hint="eastAsia"/>
              </w:rPr>
              <w:t xml:space="preserve">7,400万ドル</w:t>
            </w:r>
          </w:p>
        </w:tc>
        <w:tc>
          <w:tcPr/>
          <w:p>
            <w:pPr>
              <w:pStyle w:val="Compact"/>
              <w:jc w:val="left"/>
            </w:pPr>
            <w:r>
              <w:rPr>
                <w:rFonts w:hint="eastAsia"/>
              </w:rPr>
              <w:t xml:space="preserve">12～18か月</w:t>
            </w:r>
          </w:p>
        </w:tc>
        <w:tc>
          <w:tcPr/>
          <w:p>
            <w:pPr>
              <w:pStyle w:val="Compact"/>
              <w:jc w:val="left"/>
            </w:pPr>
            <w:r>
              <w:rPr>
                <w:rFonts w:hint="eastAsia"/>
              </w:rPr>
              <w:t xml:space="preserve">市場の縮小、支配権の喪失</w:t>
            </w:r>
          </w:p>
        </w:tc>
      </w:tr>
    </w:tbl>
    <w:bookmarkEnd w:id="15"/>
    <w:bookmarkEnd w:id="16"/>
    <w:bookmarkStart w:id="18" w:name="商業的な問い"/>
    <w:p>
      <w:pPr>
        <w:pStyle w:val="Heading1"/>
      </w:pPr>
      <w:r>
        <w:rPr>
          <w:rFonts w:hint="eastAsia"/>
        </w:rPr>
        <w:t xml:space="preserve">商業的な問い</w:t>
      </w:r>
    </w:p>
    <w:p>
      <w:pPr>
        <w:pStyle w:val="FirstParagraph"/>
      </w:pPr>
      <w:r>
        <w:rPr>
          <w:rFonts w:hint="eastAsia"/>
        </w:rPr>
        <w:t xml:space="preserve">たとえ試験が成功しても、事業上の問題が解決するわけではなかった。既存の治療法は経口投与であるのに対し、AST-417は4週間ごとの輸注と冷蔵流通を必要とした。Asterionは、製造、包装、コールドチェーン流通、投与支援にかかる費用が、販売、リベート、患者支援、承認後の試験を除いても、治療を受ける患者1人あたり年間14,600ドルになると見積もった。同社がインタビューした医師たちは、病状進行の緩徐化の可能性を歓迎したが、多くは、より単純な治療に失敗した患者のために輸注を温存するだろうと述べた。</w:t>
      </w:r>
    </w:p>
    <w:p>
      <w:pPr>
        <w:pStyle w:val="BodyText"/>
      </w:pPr>
      <w:r>
        <w:rPr>
          <w:rFonts w:hint="eastAsia"/>
        </w:rPr>
        <w:t xml:space="preserve">商業予測は、控えめな年間売上高のピーク4億2,000万ドルから、18億ドルを超えるものまで幅があった。この幅は、承認される患者集団、価格、医師の受容度、保険者の制限、競合の結果、そしてこの治療法が単に検査値を改善するだけでなく入院を減らすかどうかに左右された。Asterionの財務責任者は、市場があまり高く評価しない統計的に有意な効果を証明するために、同社が数億ドルを費やす可能性があると警告した。</w:t>
      </w:r>
    </w:p>
    <w:bookmarkStart w:id="17" w:name="図5.-商業的価値の主な源泉"/>
    <w:p>
      <w:pPr>
        <w:pStyle w:val="Heading2"/>
      </w:pPr>
      <w:r>
        <w:rPr>
          <w:rFonts w:hint="eastAsia"/>
        </w:rPr>
        <w:t xml:space="preserve">図5.</w:t>
      </w:r>
      <w:r>
        <w:t xml:space="preserve"> </w:t>
      </w:r>
      <w:r>
        <w:rPr>
          <w:rFonts w:hint="eastAsia"/>
        </w:rPr>
        <w:t xml:space="preserve">商業的価値の主な源泉</w:t>
      </w:r>
    </w:p>
    <w:tbl>
      <w:tblPr>
        <w:tblStyle w:val="Table"/>
        <w:tblW w:type="pct" w:w="4875"/>
        <w:tblLayout w:type="fixed"/>
        <w:tblLook w:firstRow="1" w:lastRow="0" w:firstColumn="0" w:lastColumn="0" w:noHBand="0" w:noVBand="0" w:val="0020"/>
      </w:tblPr>
      <w:tblGrid>
        <w:gridCol w:w="3762"/>
        <w:gridCol w:w="1980"/>
        <w:gridCol w:w="1980"/>
      </w:tblGrid>
      <w:tr>
        <w:trPr>
          <w:tblHeader w:val="on"/>
        </w:trPr>
        <w:tc>
          <w:tcPr/>
          <w:p>
            <w:pPr>
              <w:pStyle w:val="Compact"/>
              <w:jc w:val="left"/>
            </w:pPr>
            <w:r>
              <w:rPr>
                <w:rFonts w:hint="eastAsia"/>
              </w:rPr>
              <w:t xml:space="preserve">前提</w:t>
            </w:r>
          </w:p>
        </w:tc>
        <w:tc>
          <w:tcPr/>
          <w:p>
            <w:pPr>
              <w:pStyle w:val="Compact"/>
              <w:jc w:val="center"/>
            </w:pPr>
            <w:r>
              <w:rPr>
                <w:rFonts w:hint="eastAsia"/>
              </w:rPr>
              <w:t xml:space="preserve">控えめなケース</w:t>
            </w:r>
          </w:p>
        </w:tc>
        <w:tc>
          <w:tcPr/>
          <w:p>
            <w:pPr>
              <w:pStyle w:val="Compact"/>
              <w:jc w:val="center"/>
            </w:pPr>
            <w:r>
              <w:rPr>
                <w:rFonts w:hint="eastAsia"/>
              </w:rPr>
              <w:t xml:space="preserve">高いケース</w:t>
            </w:r>
          </w:p>
        </w:tc>
      </w:tr>
      <w:tr>
        <w:tc>
          <w:tcPr/>
          <w:p>
            <w:pPr>
              <w:pStyle w:val="Compact"/>
              <w:jc w:val="left"/>
            </w:pPr>
            <w:r>
              <w:rPr>
                <w:rFonts w:hint="eastAsia"/>
              </w:rPr>
              <w:t xml:space="preserve">対象となる米国の患者数</w:t>
            </w:r>
          </w:p>
        </w:tc>
        <w:tc>
          <w:tcPr/>
          <w:p>
            <w:pPr>
              <w:pStyle w:val="Compact"/>
              <w:jc w:val="center"/>
            </w:pPr>
            <w:r>
              <w:t xml:space="preserve">24,000</w:t>
            </w:r>
          </w:p>
        </w:tc>
        <w:tc>
          <w:tcPr/>
          <w:p>
            <w:pPr>
              <w:pStyle w:val="Compact"/>
              <w:jc w:val="center"/>
            </w:pPr>
            <w:r>
              <w:t xml:space="preserve">68,000</w:t>
            </w:r>
          </w:p>
        </w:tc>
      </w:tr>
      <w:tr>
        <w:tc>
          <w:tcPr/>
          <w:p>
            <w:pPr>
              <w:pStyle w:val="Compact"/>
              <w:jc w:val="left"/>
            </w:pPr>
            <w:r>
              <w:rPr>
                <w:rFonts w:hint="eastAsia"/>
              </w:rPr>
              <w:t xml:space="preserve">ピーク時の治療を受ける割合</w:t>
            </w:r>
          </w:p>
        </w:tc>
        <w:tc>
          <w:tcPr/>
          <w:p>
            <w:pPr>
              <w:pStyle w:val="Compact"/>
              <w:jc w:val="center"/>
            </w:pPr>
            <w:r>
              <w:t xml:space="preserve">12%</w:t>
            </w:r>
          </w:p>
        </w:tc>
        <w:tc>
          <w:tcPr/>
          <w:p>
            <w:pPr>
              <w:pStyle w:val="Compact"/>
              <w:jc w:val="center"/>
            </w:pPr>
            <w:r>
              <w:t xml:space="preserve">28%</w:t>
            </w:r>
          </w:p>
        </w:tc>
      </w:tr>
      <w:tr>
        <w:tc>
          <w:tcPr/>
          <w:p>
            <w:pPr>
              <w:pStyle w:val="Compact"/>
              <w:jc w:val="left"/>
            </w:pPr>
            <w:r>
              <w:rPr>
                <w:rFonts w:hint="eastAsia"/>
              </w:rPr>
              <w:t xml:space="preserve">患者1人あたり年間純収益</w:t>
            </w:r>
          </w:p>
        </w:tc>
        <w:tc>
          <w:tcPr/>
          <w:p>
            <w:pPr>
              <w:pStyle w:val="Compact"/>
              <w:jc w:val="center"/>
            </w:pPr>
            <w:r>
              <w:t xml:space="preserve">72,000ドル</w:t>
            </w:r>
          </w:p>
        </w:tc>
        <w:tc>
          <w:tcPr/>
          <w:p>
            <w:pPr>
              <w:pStyle w:val="Compact"/>
              <w:jc w:val="center"/>
            </w:pPr>
            <w:r>
              <w:t xml:space="preserve">94,000ドル</w:t>
            </w:r>
          </w:p>
        </w:tc>
      </w:tr>
      <w:tr>
        <w:tc>
          <w:tcPr/>
          <w:p>
            <w:pPr>
              <w:pStyle w:val="Compact"/>
              <w:jc w:val="left"/>
            </w:pPr>
            <w:r>
              <w:rPr>
                <w:rFonts w:hint="eastAsia"/>
              </w:rPr>
              <w:t xml:space="preserve">発売後の年間中止率</w:t>
            </w:r>
          </w:p>
        </w:tc>
        <w:tc>
          <w:tcPr/>
          <w:p>
            <w:pPr>
              <w:pStyle w:val="Compact"/>
              <w:jc w:val="center"/>
            </w:pPr>
            <w:r>
              <w:t xml:space="preserve">29%</w:t>
            </w:r>
          </w:p>
        </w:tc>
        <w:tc>
          <w:tcPr/>
          <w:p>
            <w:pPr>
              <w:pStyle w:val="Compact"/>
              <w:jc w:val="center"/>
            </w:pPr>
            <w:r>
              <w:t xml:space="preserve">14%</w:t>
            </w:r>
          </w:p>
        </w:tc>
      </w:tr>
      <w:tr>
        <w:tc>
          <w:tcPr/>
          <w:p>
            <w:pPr>
              <w:pStyle w:val="Compact"/>
              <w:jc w:val="left"/>
            </w:pPr>
            <w:r>
              <w:rPr>
                <w:rFonts w:hint="eastAsia"/>
              </w:rPr>
              <w:t xml:space="preserve">ピボタル開始から承認までの期間</w:t>
            </w:r>
          </w:p>
        </w:tc>
        <w:tc>
          <w:tcPr/>
          <w:p>
            <w:pPr>
              <w:pStyle w:val="Compact"/>
              <w:jc w:val="center"/>
            </w:pPr>
            <w:r>
              <w:rPr>
                <w:rFonts w:hint="eastAsia"/>
              </w:rPr>
              <w:t xml:space="preserve">5.0年</w:t>
            </w:r>
          </w:p>
        </w:tc>
        <w:tc>
          <w:tcPr/>
          <w:p>
            <w:pPr>
              <w:pStyle w:val="Compact"/>
              <w:jc w:val="center"/>
            </w:pPr>
            <w:r>
              <w:rPr>
                <w:rFonts w:hint="eastAsia"/>
              </w:rPr>
              <w:t xml:space="preserve">3.6年</w:t>
            </w:r>
          </w:p>
        </w:tc>
      </w:tr>
      <w:tr>
        <w:tc>
          <w:tcPr/>
          <w:p>
            <w:pPr>
              <w:pStyle w:val="Compact"/>
              <w:jc w:val="left"/>
            </w:pPr>
            <w:r>
              <w:rPr>
                <w:rFonts w:hint="eastAsia"/>
              </w:rPr>
              <w:t xml:space="preserve">ピーク時年間売上高の推定</w:t>
            </w:r>
          </w:p>
        </w:tc>
        <w:tc>
          <w:tcPr/>
          <w:p>
            <w:pPr>
              <w:pStyle w:val="Compact"/>
              <w:jc w:val="center"/>
            </w:pPr>
            <w:r>
              <w:rPr>
                <w:rFonts w:hint="eastAsia"/>
              </w:rPr>
              <w:t xml:space="preserve">4億2,000万ドル</w:t>
            </w:r>
          </w:p>
        </w:tc>
        <w:tc>
          <w:tcPr/>
          <w:p>
            <w:pPr>
              <w:pStyle w:val="Compact"/>
              <w:jc w:val="center"/>
            </w:pPr>
            <w:r>
              <w:rPr>
                <w:rFonts w:hint="eastAsia"/>
              </w:rPr>
              <w:t xml:space="preserve">18億ドル</w:t>
            </w:r>
          </w:p>
        </w:tc>
      </w:tr>
    </w:tbl>
    <w:bookmarkEnd w:id="17"/>
    <w:bookmarkEnd w:id="18"/>
    <w:bookmarkStart w:id="19" w:name="木曜日の取締役会"/>
    <w:p>
      <w:pPr>
        <w:pStyle w:val="Heading1"/>
      </w:pPr>
      <w:r>
        <w:rPr>
          <w:rFonts w:hint="eastAsia"/>
        </w:rPr>
        <w:t xml:space="preserve">木曜日の取締役会</w:t>
      </w:r>
    </w:p>
    <w:p>
      <w:pPr>
        <w:pStyle w:val="FirstParagraph"/>
      </w:pPr>
      <w:r>
        <w:rPr>
          <w:rFonts w:hint="eastAsia"/>
        </w:rPr>
        <w:t xml:space="preserve">取締役会資料は木曜日までに提出する必要があった。Chenは、開発の道筋、対象患者集団、用量、施設戦略、そして資金調達の姿勢を勧告しなければならなかった。彼女はまた、将来のレビューにおいて、プログラムを中止、継続、絞り込み、あるいは加速させる根拠となるエビデンスを定義しなければならなかった。複数の取締役は明確な答えを求めていた。Chenは、エビデンスがいくつかの弁護可能な答えを支持しており、それぞれが会社を異なる種類の失敗にさらすものだと考えていた。</w:t>
      </w:r>
    </w:p>
    <w:p>
      <w:pPr>
        <w:pStyle w:val="BodyText"/>
      </w:pPr>
      <w:r>
        <w:rPr>
          <w:rFonts w:hint="eastAsia"/>
        </w:rPr>
        <w:t xml:space="preserve">現在の試験を完了させれば情報は得られるが時間を消費する。第III相を開始すればスピードは得られるが資本を投じることになる。対象集団を絞り込めば観察される治療効果は改善するかもしれないが、アクセスと市場規模は縮小する。より多くの施設を開設すれば患者募集は改善するかもしれないが、不整合は増大する。パートナーシップを結べば貸借対照表は守られるかもしれないが、上振れの多くを手放すことになる。水曜日の夜になっても、Chenはまだ、Asterionが最も許容できる不確実性がどれなのかを決めかねていた。</w:t>
      </w:r>
    </w:p>
    <w:bookmarkEnd w:id="19"/>
    <w:bookmarkStart w:id="20" w:name="議論のための質問"/>
    <w:p>
      <w:pPr>
        <w:pStyle w:val="Heading1"/>
      </w:pPr>
      <w:r>
        <w:rPr>
          <w:rFonts w:hint="eastAsia"/>
        </w:rPr>
        <w:t xml:space="preserve">議論のための質問</w:t>
      </w:r>
    </w:p>
    <w:p>
      <w:pPr>
        <w:numPr>
          <w:ilvl w:val="0"/>
          <w:numId w:val="1001"/>
        </w:numPr>
      </w:pPr>
      <w:r>
        <w:rPr>
          <w:rFonts w:hint="eastAsia"/>
        </w:rPr>
        <w:t xml:space="preserve">Chenは木曜日の取締役会で何を勧告すべきか。</w:t>
      </w:r>
    </w:p>
    <w:p>
      <w:pPr>
        <w:numPr>
          <w:ilvl w:val="0"/>
          <w:numId w:val="1001"/>
        </w:numPr>
      </w:pPr>
      <w:r>
        <w:rPr>
          <w:rFonts w:hint="eastAsia"/>
        </w:rPr>
        <w:t xml:space="preserve">Asterionは、低用量のより強い結果と高用量の不均一な反応をどのように解釈すべきか。</w:t>
      </w:r>
    </w:p>
    <w:p>
      <w:pPr>
        <w:numPr>
          <w:ilvl w:val="0"/>
          <w:numId w:val="1001"/>
        </w:numPr>
      </w:pPr>
      <w:r>
        <w:rPr>
          <w:rFonts w:hint="eastAsia"/>
        </w:rPr>
        <w:t xml:space="preserve">次の試験は広範な集団を対象とすべきか、それとも最近診断された患者に焦点を当てるべきか。</w:t>
      </w:r>
    </w:p>
    <w:p>
      <w:pPr>
        <w:numPr>
          <w:ilvl w:val="0"/>
          <w:numId w:val="1001"/>
        </w:numPr>
      </w:pPr>
      <w:r>
        <w:rPr>
          <w:rFonts w:hint="eastAsia"/>
        </w:rPr>
        <w:t xml:space="preserve">同社は、患者募集のスピードと施設の質及びデータの一貫性をどのようにバランスさせるべきか。</w:t>
      </w:r>
    </w:p>
    <w:p>
      <w:pPr>
        <w:numPr>
          <w:ilvl w:val="0"/>
          <w:numId w:val="1001"/>
        </w:numPr>
      </w:pPr>
      <w:r>
        <w:rPr>
          <w:rFonts w:hint="eastAsia"/>
        </w:rPr>
        <w:t xml:space="preserve">提案されている患者募集への投資のうち、単なる活動量の増加ではなく、有用な情報を生み出す可能性が最も高いのはどれか。</w:t>
      </w:r>
    </w:p>
    <w:p>
      <w:pPr>
        <w:numPr>
          <w:ilvl w:val="0"/>
          <w:numId w:val="1001"/>
        </w:numPr>
      </w:pPr>
      <w:r>
        <w:rPr>
          <w:rFonts w:hint="eastAsia"/>
        </w:rPr>
        <w:t xml:space="preserve">どのようなエビデンスが継続、拡大、再設計、パートナーシップ、あるいは中止の引き金となるべきか。</w:t>
      </w:r>
    </w:p>
    <w:p>
      <w:pPr>
        <w:numPr>
          <w:ilvl w:val="0"/>
          <w:numId w:val="1001"/>
        </w:numPr>
      </w:pPr>
      <w:r>
        <w:rPr>
          <w:rFonts w:hint="eastAsia"/>
        </w:rPr>
        <w:t xml:space="preserve">独立委員会が中止を勧告していない場合、安全性シグナルをどのように取り入れるべきか。</w:t>
      </w:r>
    </w:p>
    <w:p>
      <w:pPr>
        <w:numPr>
          <w:ilvl w:val="0"/>
          <w:numId w:val="1001"/>
        </w:numPr>
      </w:pPr>
      <w:r>
        <w:rPr>
          <w:rFonts w:hint="eastAsia"/>
        </w:rPr>
        <w:t xml:space="preserve">商業予測は、臨床プログラムの設計及び継続にどの程度影響を与えるべきか。</w:t>
      </w:r>
    </w:p>
    <w:p>
      <w:pPr>
        <w:numPr>
          <w:ilvl w:val="0"/>
          <w:numId w:val="1001"/>
        </w:numPr>
      </w:pPr>
      <w:r>
        <w:rPr>
          <w:rFonts w:hint="eastAsia"/>
        </w:rPr>
        <w:t xml:space="preserve">Asterionがピボタル試験にコミットする前に、最も価値の高い情報は何か。</w:t>
      </w:r>
    </w:p>
    <w:p>
      <w:pPr>
        <w:numPr>
          <w:ilvl w:val="0"/>
          <w:numId w:val="1001"/>
        </w:numPr>
      </w:pPr>
      <w:r>
        <w:rPr>
          <w:rFonts w:hint="eastAsia"/>
        </w:rPr>
        <w:t xml:space="preserve">経営陣は、患者、治験責任医師、従業員、投資家に対して、曖昧な決定をどのように伝えるべきか。</w:t>
      </w:r>
    </w:p>
    <w:bookmarkEnd w:id="20"/>
    <w:bookmarkStart w:id="27" w:name="決定フレーミングのための質問"/>
    <w:p>
      <w:pPr>
        <w:pStyle w:val="Heading1"/>
      </w:pPr>
      <w:r>
        <w:rPr>
          <w:rFonts w:hint="eastAsia"/>
        </w:rPr>
        <w:t xml:space="preserve">決定フレーミングのための質問</w:t>
      </w:r>
    </w:p>
    <w:p>
      <w:pPr>
        <w:numPr>
          <w:ilvl w:val="0"/>
          <w:numId w:val="1002"/>
        </w:numPr>
      </w:pPr>
      <w:r>
        <w:rPr>
          <w:rFonts w:hint="eastAsia"/>
        </w:rPr>
        <w:t xml:space="preserve">意思決定者の責任を特定し、記述せよ。これによって問題の範囲を設定すること。</w:t>
      </w:r>
    </w:p>
    <w:p>
      <w:pPr>
        <w:numPr>
          <w:ilvl w:val="0"/>
          <w:numId w:val="1002"/>
        </w:numPr>
      </w:pPr>
      <w:hyperlink r:id="rId21">
        <w:r>
          <w:rPr>
            <w:rStyle w:val="Hyperlink"/>
          </w:rPr>
          <w:t xml:space="preserve">メトリクス・ピラミッド・ツール</w:t>
        </w:r>
      </w:hyperlink>
      <w:r>
        <w:rPr>
          <w:rFonts w:hint="eastAsia"/>
        </w:rPr>
        <w:t xml:space="preserve">を用いて、さまざまなパフォーマンス指標を特定し、優先順位付けせよ。指標を保持する楕円をクリックして、それが最大化すべき指標(緑)、最小化すべき指標(赤)、下限としての目標(薄緑)、上限としての目標(薄赤)、あるいは目標値(紫)のいずれであるかを特定すること。</w:t>
      </w:r>
    </w:p>
    <w:p>
      <w:pPr>
        <w:numPr>
          <w:ilvl w:val="0"/>
          <w:numId w:val="1002"/>
        </w:numPr>
      </w:pPr>
      <w:hyperlink r:id="rId22">
        <w:r>
          <w:rPr>
            <w:rStyle w:val="Hyperlink"/>
            <w:rFonts w:hint="eastAsia"/>
          </w:rPr>
          <w:t xml:space="preserve">決定優先順位付けツール</w:t>
        </w:r>
      </w:hyperlink>
      <w:r>
        <w:rPr>
          <w:rFonts w:hint="eastAsia"/>
        </w:rPr>
        <w:t xml:space="preserve">を用いて、まずさまざまな種類の決定を列挙せよ(</w:t>
      </w:r>
      <w:hyperlink r:id="rId23">
        <w:r>
          <w:rPr>
            <w:rStyle w:val="Hyperlink"/>
            <w:rFonts w:hint="eastAsia"/>
          </w:rPr>
          <w:t xml:space="preserve">決定の種類</w:t>
        </w:r>
      </w:hyperlink>
      <w:r>
        <w:rPr>
          <w:rFonts w:hint="eastAsia"/>
        </w:rPr>
        <w:t xml:space="preserve">を手引きとして使用すること)。これらは、右側のマトリクスの行を構成し、列は上記のピラミッドにおける優先順位に従って左から右に並べられたパフォーマンス指標となる。各セルをクリックして、その決定が各指標に及ぼす影響が高い(赤)、中程度(オレンジ)、低い(黄)、なし(白)のいずれであるかを示すこと。</w:t>
      </w:r>
    </w:p>
    <w:p>
      <w:pPr>
        <w:numPr>
          <w:ilvl w:val="0"/>
          <w:numId w:val="1002"/>
        </w:numPr>
      </w:pPr>
      <w:r>
        <w:rPr>
          <w:rFonts w:hint="eastAsia"/>
        </w:rPr>
        <w:t xml:space="preserve">各行の一番左にあるハンドル(3本の横棒)をつかんで、上下に移動させることができる。最も重要な指標に最も大きな影響を与える決定が上位に来るように行を並べ替えること。左上のセルには、赤とオレンジのセルが最も集中しているべきである。この時点で、あなたの研究において最も注意を払うべき決定を特定せよ。最も重要な指標に中程度または高い影響を与える決定がない場合は、決定のリストを見直すこと。</w:t>
      </w:r>
    </w:p>
    <w:p>
      <w:pPr>
        <w:numPr>
          <w:ilvl w:val="0"/>
          <w:numId w:val="1002"/>
        </w:numPr>
      </w:pPr>
      <w:hyperlink r:id="rId24">
        <w:r>
          <w:rPr>
            <w:rStyle w:val="Hyperlink"/>
            <w:rFonts w:hint="eastAsia"/>
          </w:rPr>
          <w:t xml:space="preserve">不確実性優先順位付けツール</w:t>
        </w:r>
      </w:hyperlink>
      <w:r>
        <w:rPr>
          <w:rFonts w:hint="eastAsia"/>
        </w:rPr>
        <w:t xml:space="preserve">を用いて、不確実性についても同様のプロセスを繰り返し、列挙及び優先順位付けを行うこと。これらを特定するために、</w:t>
      </w:r>
      <w:hyperlink r:id="rId25">
        <w:r>
          <w:rPr>
            <w:rStyle w:val="Hyperlink"/>
            <w:rFonts w:hint="eastAsia"/>
          </w:rPr>
          <w:t xml:space="preserve">不確実性のカテゴリー</w:t>
        </w:r>
      </w:hyperlink>
      <w:r>
        <w:rPr>
          <w:rFonts w:hint="eastAsia"/>
        </w:rPr>
        <w:t xml:space="preserve">を活用すること。</w:t>
      </w:r>
    </w:p>
    <w:p>
      <w:pPr>
        <w:numPr>
          <w:ilvl w:val="0"/>
          <w:numId w:val="1002"/>
        </w:numPr>
      </w:pPr>
      <w:r>
        <w:rPr>
          <w:rFonts w:hint="eastAsia"/>
        </w:rPr>
        <w:t xml:space="preserve">平均的に評価できる不確実性と、リスク事象として評価すべき不確実性を区別することが重要である。</w:t>
      </w:r>
    </w:p>
    <w:p>
      <w:pPr>
        <w:numPr>
          <w:ilvl w:val="1"/>
          <w:numId w:val="1003"/>
        </w:numPr>
      </w:pPr>
      <w:r>
        <w:rPr>
          <w:rFonts w:hint="eastAsia"/>
        </w:rPr>
        <w:t xml:space="preserve">どの不確実性の源泉が、時間経過に伴う平均パフォーマンスによって捉えられるか。</w:t>
      </w:r>
    </w:p>
    <w:p>
      <w:pPr>
        <w:numPr>
          <w:ilvl w:val="1"/>
          <w:numId w:val="1003"/>
        </w:numPr>
      </w:pPr>
      <w:r>
        <w:rPr>
          <w:rFonts w:hint="eastAsia"/>
        </w:rPr>
        <w:t xml:space="preserve">どの不確実性の源泉が、平均では適切に捉えられないリスクの形態を表しているか。</w:t>
      </w:r>
    </w:p>
    <w:p>
      <w:pPr>
        <w:numPr>
          <w:ilvl w:val="0"/>
          <w:numId w:val="1002"/>
        </w:numPr>
      </w:pPr>
      <w:r>
        <w:rPr>
          <w:rFonts w:hint="eastAsia"/>
        </w:rPr>
        <w:t xml:space="preserve">最も重要な指標に最も大きな影響を与えると思われる単一の決定を選択せよ。</w:t>
      </w:r>
    </w:p>
    <w:p>
      <w:pPr>
        <w:numPr>
          <w:ilvl w:val="1"/>
          <w:numId w:val="1004"/>
        </w:numPr>
      </w:pPr>
      <w:r>
        <w:rPr>
          <w:rFonts w:hint="eastAsia"/>
        </w:rPr>
        <w:t xml:space="preserve">この決定を下すために、どのようなアプローチを用いると考えられるか。</w:t>
      </w:r>
    </w:p>
    <w:p>
      <w:pPr>
        <w:numPr>
          <w:ilvl w:val="1"/>
          <w:numId w:val="1004"/>
        </w:numPr>
      </w:pPr>
      <w:r>
        <w:rPr>
          <w:rFonts w:hint="eastAsia"/>
        </w:rPr>
        <w:t xml:space="preserve">この決定を下すために必要と思われるデータは何か。これには、その決定が高いまたは中程度の影響を及ぼすパフォーマンス指標の算出も含む。</w:t>
      </w:r>
    </w:p>
    <w:p>
      <w:pPr>
        <w:numPr>
          <w:ilvl w:val="0"/>
          <w:numId w:val="1002"/>
        </w:numPr>
      </w:pPr>
      <w:r>
        <w:rPr>
          <w:rFonts w:hint="eastAsia"/>
        </w:rPr>
        <w:t xml:space="preserve">(7)で特定したのと同じ決定を用いて、その決定を実行するために協働する必要がある人々、部門、グループ、あるいは組織を特定せよ。</w:t>
      </w:r>
    </w:p>
    <w:bookmarkStart w:id="26" w:name="出典注"/>
    <w:p>
      <w:pPr>
        <w:pStyle w:val="Heading2"/>
      </w:pPr>
      <w:r>
        <w:rPr>
          <w:rFonts w:hint="eastAsia"/>
        </w:rPr>
        <w:t xml:space="preserve">出典注</w:t>
      </w:r>
    </w:p>
    <w:p>
      <w:pPr>
        <w:pStyle w:val="FirstParagraph"/>
      </w:pPr>
      <w:r>
        <w:rPr>
          <w:rFonts w:hint="eastAsia"/>
        </w:rPr>
        <w:t xml:space="preserve">公開されている背景情報:ClinicalTrials.govは、2026年7月時点で595,847件の登録研究があると報告している。米国食品医薬品局(FDA)は、第III相試験は一般に300人から3,000人の参加者を組み入れ、1年から4年続くと説明している。無作為化外科試験に関する公表された分析によれば、遅延して完了した試験における完了遅延の中央値は12.2か月であり、複数の研究が、患者募集の不十分さが試験の中止または主要な問いに答えられない主要な理由の一つであると指摘している。概念的基盤:Warren</w:t>
      </w:r>
      <w:r>
        <w:t xml:space="preserve"> B. </w:t>
      </w:r>
      <w:r>
        <w:rPr>
          <w:rFonts w:hint="eastAsia"/>
        </w:rPr>
        <w:t xml:space="preserve">Powell著『Bridging</w:t>
      </w:r>
      <w:r>
        <w:t xml:space="preserve"> Decision </w:t>
      </w:r>
      <w:r>
        <w:rPr>
          <w:rFonts w:hint="eastAsia"/>
        </w:rPr>
        <w:t xml:space="preserve">Problems』第I巻、第2章、「Running</w:t>
      </w:r>
      <w:r>
        <w:t xml:space="preserve"> clinical trials for drug </w:t>
      </w:r>
      <w:r>
        <w:rPr>
          <w:rFonts w:hint="eastAsia"/>
        </w:rPr>
        <w:t xml:space="preserve">testing」の節。出典アクセス日2026年7月30日:ClinicalTrials.gov、Trends</w:t>
      </w:r>
      <w:r>
        <w:t xml:space="preserve"> and Charts on Registered </w:t>
      </w:r>
      <w:r>
        <w:rPr>
          <w:rFonts w:hint="eastAsia"/>
        </w:rPr>
        <w:t xml:space="preserve">Studies;米国食品医薬品局、Step</w:t>
      </w:r>
      <w:r>
        <w:t xml:space="preserve"> 3: Clinical </w:t>
      </w:r>
      <w:r>
        <w:rPr>
          <w:rFonts w:hint="eastAsia"/>
        </w:rPr>
        <w:t xml:space="preserve">Research;Shadbolt他、JAMA</w:t>
      </w:r>
      <w:r>
        <w:t xml:space="preserve"> Network </w:t>
      </w:r>
      <w:r>
        <w:rPr>
          <w:rFonts w:hint="eastAsia"/>
        </w:rPr>
        <w:t xml:space="preserve">Open(2023);Briel他、Journal</w:t>
      </w:r>
      <w:r>
        <w:t xml:space="preserve"> of Clinical Epidemiology(2017)。</w:t>
      </w:r>
    </w:p>
    <w:bookmarkEnd w:id="26"/>
    <w:bookmarkEnd w:id="27"/>
    <w:bookmarkStart w:id="29" w:name="chatgpt要約"/>
    <w:p>
      <w:pPr>
        <w:pStyle w:val="Heading1"/>
      </w:pPr>
      <w:r>
        <w:rPr>
          <w:rFonts w:hint="eastAsia"/>
        </w:rPr>
        <w:t xml:space="preserve">ChatGPT要約</w:t>
      </w:r>
    </w:p>
    <w:bookmarkStart w:id="28" w:name="プロンプト"/>
    <w:p>
      <w:pPr>
        <w:pStyle w:val="Heading2"/>
      </w:pPr>
      <w:r>
        <w:t xml:space="preserve">プロンプト</w:t>
      </w:r>
    </w:p>
    <w:p>
      <w:pPr>
        <w:pStyle w:val="FirstParagraph"/>
      </w:pPr>
      <w:r>
        <w:t xml:space="preserve">https://warrenpowell.org/bridging-vol1/chapter-2/#clinicaltrials </w:t>
      </w:r>
      <w:r>
        <w:rPr>
          <w:rFonts w:hint="eastAsia"/>
        </w:rPr>
        <w:t xml:space="preserve">のセクションにある資料に基づき、4～6ページのケーススタディを作成せよ。そのセクションにある指標、決定、及び不確実性に基づいて文脈を作成すること。ただし、それらを明示的に取り上げることはしないこと。ケースの問題にはデータによる裏付けを持たせること。</w:t>
      </w:r>
    </w:p>
    <w:bookmarkEnd w:id="28"/>
    <w:bookmarkEnd w:id="29"/>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711">
    <w:nsid w:val="00A99711"/>
    <w:multiLevelType w:val="multilevel"/>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Letter"/>
      <w:lvlText w:val="%3."/>
      <w:lvlJc w:val="left"/>
      <w:pPr>
        <w:ind w:left="2160" w:hanging="360"/>
      </w:pPr>
    </w:lvl>
    <w:lvl w:ilvl="3">
      <w:start w:val="1"/>
      <w:numFmt w:val="lowerLetter"/>
      <w:lvlText w:val="%4."/>
      <w:lvlJc w:val="left"/>
      <w:pPr>
        <w:ind w:left="2880" w:hanging="360"/>
      </w:pPr>
    </w:lvl>
    <w:lvl w:ilvl="4">
      <w:start w:val="1"/>
      <w:numFmt w:val="lowerLetter"/>
      <w:lvlText w:val="%5."/>
      <w:lvlJc w:val="left"/>
      <w:pPr>
        <w:ind w:left="3600" w:hanging="360"/>
      </w:pPr>
    </w:lvl>
    <w:lvl w:ilvl="5">
      <w:start w:val="1"/>
      <w:numFmt w:val="lowerLetter"/>
      <w:lvlText w:val="%6."/>
      <w:lvlJc w:val="left"/>
      <w:pPr>
        <w:ind w:left="4320" w:hanging="360"/>
      </w:pPr>
    </w:lvl>
    <w:lvl w:ilvl="6">
      <w:start w:val="1"/>
      <w:numFmt w:val="lowerLetter"/>
      <w:lvlText w:val="%7."/>
      <w:lvlJc w:val="left"/>
      <w:pPr>
        <w:ind w:left="5040" w:hanging="360"/>
      </w:pPr>
    </w:lvl>
    <w:lvl w:ilvl="7">
      <w:start w:val="1"/>
      <w:numFmt w:val="lowerLetter"/>
      <w:lvlText w:val="%8."/>
      <w:lvlJc w:val="left"/>
      <w:pPr>
        <w:ind w:left="5760" w:hanging="360"/>
      </w:pPr>
    </w:lvl>
    <w:lvl w:ilvl="8">
      <w:start w:val="1"/>
      <w:numFmt w:val="lowerLetter"/>
      <w:lvlText w:val="%9."/>
      <w:lvlJc w:val="left"/>
      <w:pPr>
        <w:ind w:left="6480" w:hanging="36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7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7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hyperlink" Id="rId22" Target="https://warrenpowell.org/decision-framing-tool/#decision-prioritization-tool" TargetMode="External" /><Relationship Type="http://schemas.openxmlformats.org/officeDocument/2006/relationships/hyperlink" Id="rId21" Target="https://warrenpowell.org/decision-framing-tool/#metrics-pyramid-tool" TargetMode="External" /><Relationship Type="http://schemas.openxmlformats.org/officeDocument/2006/relationships/hyperlink" Id="rId24" Target="https://warrenpowell.org/decision-framing-tool/#uncertainty-prioritization-tool" TargetMode="External" /><Relationship Type="http://schemas.openxmlformats.org/officeDocument/2006/relationships/hyperlink" Id="rId23" Target="https://warrenpowell.org/decisionsdecisions/#types-of-decision-settings" TargetMode="External" /><Relationship Type="http://schemas.openxmlformats.org/officeDocument/2006/relationships/hyperlink" Id="rId25" Target="https://warrenpowell.org/modeling-uncertainty/#categories" TargetMode="External" /></Relationships>
</file>

<file path=word/_rels/footnotes.xml.rels><?xml version="1.0" encoding="UTF-8"?><Relationships xmlns="http://schemas.openxmlformats.org/package/2006/relationships"><Relationship Type="http://schemas.openxmlformats.org/officeDocument/2006/relationships/hyperlink" Id="rId22" Target="https://warrenpowell.org/decision-framing-tool/#decision-prioritization-tool" TargetMode="External" /><Relationship Type="http://schemas.openxmlformats.org/officeDocument/2006/relationships/hyperlink" Id="rId21" Target="https://warrenpowell.org/decision-framing-tool/#metrics-pyramid-tool" TargetMode="External" /><Relationship Type="http://schemas.openxmlformats.org/officeDocument/2006/relationships/hyperlink" Id="rId24" Target="https://warrenpowell.org/decision-framing-tool/#uncertainty-prioritization-tool" TargetMode="External" /><Relationship Type="http://schemas.openxmlformats.org/officeDocument/2006/relationships/hyperlink" Id="rId23" Target="https://warrenpowell.org/decisionsdecisions/#types-of-decision-settings" TargetMode="External" /><Relationship Type="http://schemas.openxmlformats.org/officeDocument/2006/relationships/hyperlink" Id="rId25" Target="https://warrenpowell.org/modeling-uncertainty/#categories"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2026-09-11T17:29:08Z</dcterms:created>
  <dcterms:modified xsi:type="dcterms:W3CDTF">2026-09-11T17:29:08Z</dcterms:modified>
</cp:coreProperties>
</file>

<file path=docProps/custom.xml><?xml version="1.0" encoding="utf-8"?>
<Properties xmlns="http://schemas.openxmlformats.org/officeDocument/2006/custom-properties" xmlns:vt="http://schemas.openxmlformats.org/officeDocument/2006/docPropsVTypes"/>
</file>