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オーロラ・モーターズ</w:t>
      </w:r>
    </w:p>
    <w:p>
      <w:pPr>
        <w:pStyle w:val="BodyText"/>
      </w:pPr>
      <w:r>
        <w:rPr>
          <w:rFonts w:hint="eastAsia"/>
        </w:rPr>
        <w:t xml:space="preserve">フロー調整のジレンマ</w:t>
      </w:r>
    </w:p>
    <w:p>
      <w:pPr>
        <w:pStyle w:val="BodyText"/>
      </w:pPr>
      <w:r>
        <w:rPr>
          <w:rFonts w:hint="eastAsia"/>
        </w:rPr>
        <w:t xml:space="preserve">グローバルな部品、生産、顧客配送を同期させる架空のティーチングケース</w:t>
      </w:r>
    </w:p>
    <w:tbl>
      <w:tblPr>
        <w:tblStyle w:val="Table"/>
        <w:tblW w:type="pct" w:w="5023"/>
        <w:tblLayout w:type="fixed"/>
        <w:tblLook w:firstRow="1" w:lastRow="0" w:firstColumn="0" w:lastColumn="0" w:noHBand="0" w:noVBand="0" w:val="0020"/>
      </w:tblPr>
      <w:tblGrid>
        <w:gridCol w:w="7956"/>
      </w:tblGrid>
      <w:tr>
        <w:trPr>
          <w:tblHeader w:val="on"/>
        </w:trPr>
        <w:tc>
          <w:tcPr/>
          <w:p>
            <w:pPr>
              <w:pStyle w:val="FirstParagraph"/>
            </w:pPr>
            <w:r>
              <w:rPr>
                <w:rFonts w:hint="eastAsia"/>
              </w:rPr>
              <w:t xml:space="preserve">決定事項</w:t>
            </w:r>
            <w:r>
              <w:t xml:space="preserve"> |</w:t>
            </w:r>
          </w:p>
          <w:p>
            <w:pPr>
              <w:pStyle w:val="BodyText"/>
            </w:pPr>
            <w:r>
              <w:rPr>
                <w:rFonts w:hint="eastAsia"/>
              </w:rPr>
              <w:t xml:space="preserve">関税、連邦補助金、ガソリン価格、購買者の嗜好が同社のサプライチェーンよりも速く変化しうる中で、オーロラ・モーターズは不確実な入荷部品を生産および顧客配送とどのように調整すべきか？</w:t>
            </w:r>
            <w:r>
              <w:t xml:space="preserve"> |</w:t>
            </w:r>
          </w:p>
        </w:tc>
      </w:tr>
    </w:tbl>
    <w:p>
      <w:pPr>
        <w:pStyle w:val="BodyText"/>
      </w:pPr>
      <w:r>
        <w:rPr>
          <w:rFonts w:hint="eastAsia"/>
        </w:rPr>
        <w:t xml:space="preserve">2025年10月6日月曜日、オーロラ・モーターズの最高執行責任者（COO）であるマヤ・チェンは、すべてが正しいはずのない3つの予測を携えて経営企画会議に入った。購買チームは輸入部品コストの上昇を予想していた。営業部門は、ガソリン価格の再上昇を受けてオーロラのハイブリッドスポーツ・ユーティリティ・ビークルの需要が加速すると予想していた。財務部門は、9月30日以降に取得した車両に対する連邦のクリーンビークル税額控除が終了し、一部のディーラーが顧客への支払見積もりに組み込んでいた特典が失われたと警告していた。その一方で、3,800件の完了済み顧客注文が生産日程を待っていた。</w:t>
      </w:r>
    </w:p>
    <w:p>
      <w:pPr>
        <w:pStyle w:val="BodyText"/>
      </w:pPr>
      <w:r>
        <w:rPr>
          <w:rFonts w:hint="eastAsia"/>
        </w:rPr>
        <w:t xml:space="preserve">オーロラは米国内の1つの工場でハイブリッド電気自動車を組み立てていた。同社の最重要モデルであるオーロラ・クロスウィンドは、ガソリンエンジン、電動モーター、パワーエレクトロニクス、1.8kWhのバッテリーパックを組み合わせていた。最終組立は国内であったが、この車両はアジア産のバッテリーセルと半導体モジュール、欧州産の特殊インバーター、北米産のエンジン、車体パネル、シートに依存していた。180ドルの制御モジュールが欠品するだけで、42,000ドルの車両の出荷が遅延する可能性があった。</w:t>
      </w:r>
    </w:p>
    <w:bookmarkStart w:id="9" w:name="協調されたフローを中心に構築された企業"/>
    <w:p>
      <w:pPr>
        <w:pStyle w:val="Heading1"/>
      </w:pPr>
      <w:r>
        <w:rPr>
          <w:rFonts w:hint="eastAsia"/>
        </w:rPr>
        <w:t xml:space="preserve">協調されたフローを中心に構築された企業</w:t>
      </w:r>
    </w:p>
    <w:p>
      <w:pPr>
        <w:pStyle w:val="FirstParagraph"/>
      </w:pPr>
      <w:r>
        <w:rPr>
          <w:rFonts w:hint="eastAsia"/>
        </w:rPr>
        <w:t xml:space="preserve">オーロラは、ディーラーに8週間の受注から納車までの確実な期間を約束することで成長してきた。同社の運用システムは、ディーラー注文を12週間の生産スケジュールに変換し、その後、発注、海上輸送予約、鉄道容量、完成車配送予定を発行していた。このシステムは、予測とリードタイムが安定している場合にはうまく機能した。しかし、通商政策とエネルギー市場が急激に動くと、機能不全に陥った。</w:t>
      </w:r>
    </w:p>
    <w:p>
      <w:pPr>
        <w:pStyle w:val="BodyText"/>
      </w:pPr>
      <w:r>
        <w:rPr>
          <w:rFonts w:hint="eastAsia"/>
        </w:rPr>
        <w:t xml:space="preserve">製造工場は2交代制で週1,150台を生産できた。ハイブリッド・パワートレイン・ラインが制約条件であったが、それ以外の部分での不足が、しばしばこのラインが全能力を使用することを妨げていた。オーロラは一部の部品を代替したり、モデルの順序を変更したり、ほぼ完成した車両を後の完成のために保留したり、航空輸送を利用したりすることができた。これらの対応策は、それぞれシステムの異なる部分にコストと遅延を移転させるものであった。</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jc w:val="left"/>
            </w:pPr>
            <w:r>
              <w:rPr>
                <w:rFonts w:hint="eastAsia"/>
              </w:rPr>
              <w:t xml:space="preserve">入荷品目</w:t>
            </w:r>
          </w:p>
        </w:tc>
        <w:tc>
          <w:tcPr/>
          <w:p>
            <w:pPr>
              <w:pStyle w:val="Compact"/>
              <w:jc w:val="left"/>
            </w:pPr>
            <w:r>
              <w:rPr>
                <w:rFonts w:hint="eastAsia"/>
              </w:rPr>
              <w:t xml:space="preserve">主要調達先</w:t>
            </w:r>
          </w:p>
        </w:tc>
        <w:tc>
          <w:tcPr/>
          <w:p>
            <w:pPr>
              <w:pStyle w:val="Compact"/>
              <w:jc w:val="left"/>
            </w:pPr>
            <w:r>
              <w:rPr>
                <w:rFonts w:hint="eastAsia"/>
              </w:rPr>
              <w:t xml:space="preserve">通常リードタイム</w:t>
            </w:r>
          </w:p>
        </w:tc>
        <w:tc>
          <w:tcPr/>
          <w:p>
            <w:pPr>
              <w:pStyle w:val="Compact"/>
              <w:jc w:val="left"/>
            </w:pPr>
            <w:r>
              <w:rPr>
                <w:rFonts w:hint="eastAsia"/>
              </w:rPr>
              <w:t xml:space="preserve">手持ち在庫</w:t>
            </w:r>
          </w:p>
        </w:tc>
        <w:tc>
          <w:tcPr/>
          <w:p>
            <w:pPr>
              <w:pStyle w:val="Compact"/>
              <w:jc w:val="center"/>
            </w:pPr>
            <w:r>
              <w:rPr>
                <w:rFonts w:hint="eastAsia"/>
              </w:rPr>
              <w:t xml:space="preserve">リスク要因</w:t>
            </w:r>
          </w:p>
        </w:tc>
      </w:tr>
      <w:tr>
        <w:tc>
          <w:tcPr/>
          <w:p>
            <w:pPr>
              <w:pStyle w:val="Compact"/>
              <w:jc w:val="left"/>
            </w:pPr>
            <w:r>
              <w:t xml:space="preserve">バッテリーセル</w:t>
            </w:r>
          </w:p>
        </w:tc>
        <w:tc>
          <w:tcPr/>
          <w:p>
            <w:pPr>
              <w:pStyle w:val="Compact"/>
              <w:jc w:val="left"/>
            </w:pPr>
            <w:r>
              <w:rPr>
                <w:rFonts w:hint="eastAsia"/>
              </w:rPr>
              <w:t xml:space="preserve">東アジア</w:t>
            </w:r>
          </w:p>
        </w:tc>
        <w:tc>
          <w:tcPr/>
          <w:p>
            <w:pPr>
              <w:pStyle w:val="Compact"/>
              <w:jc w:val="left"/>
            </w:pPr>
            <w:r>
              <w:rPr>
                <w:rFonts w:hint="eastAsia"/>
              </w:rPr>
              <w:t xml:space="preserve">11週間</w:t>
            </w:r>
          </w:p>
        </w:tc>
        <w:tc>
          <w:tcPr/>
          <w:p>
            <w:pPr>
              <w:pStyle w:val="Compact"/>
              <w:jc w:val="left"/>
            </w:pPr>
            <w:r>
              <w:rPr>
                <w:rFonts w:hint="eastAsia"/>
              </w:rPr>
              <w:t xml:space="preserve">5.2週間</w:t>
            </w:r>
          </w:p>
        </w:tc>
        <w:tc>
          <w:tcPr/>
          <w:p>
            <w:pPr>
              <w:pStyle w:val="Compact"/>
              <w:jc w:val="center"/>
            </w:pPr>
            <w:r>
              <w:rPr>
                <w:rFonts w:hint="eastAsia"/>
              </w:rPr>
              <w:t xml:space="preserve">関税、海上輸送遅延、品質検査</w:t>
            </w:r>
          </w:p>
        </w:tc>
      </w:tr>
      <w:tr>
        <w:tc>
          <w:tcPr/>
          <w:p>
            <w:pPr>
              <w:pStyle w:val="Compact"/>
              <w:jc w:val="left"/>
            </w:pPr>
            <w:r>
              <w:t xml:space="preserve">パワーコントロールモジュ</w:t>
            </w:r>
          </w:p>
        </w:tc>
        <w:tc>
          <w:tcPr/>
          <w:p>
            <w:pPr>
              <w:pStyle w:val="Compact"/>
              <w:jc w:val="left"/>
            </w:pPr>
            <w:r>
              <w:t xml:space="preserve">ール </w:t>
            </w:r>
            <w:r>
              <w:rPr>
                <w:rFonts w:hint="eastAsia"/>
              </w:rPr>
              <w:t xml:space="preserve">東アジア</w:t>
            </w:r>
          </w:p>
        </w:tc>
        <w:tc>
          <w:tcPr/>
          <w:p>
            <w:pPr>
              <w:pStyle w:val="Compact"/>
              <w:jc w:val="left"/>
            </w:pPr>
            <w:r>
              <w:rPr>
                <w:rFonts w:hint="eastAsia"/>
              </w:rPr>
              <w:t xml:space="preserve">8週間</w:t>
            </w:r>
          </w:p>
        </w:tc>
        <w:tc>
          <w:tcPr/>
          <w:p>
            <w:pPr>
              <w:pStyle w:val="Compact"/>
              <w:jc w:val="left"/>
            </w:pPr>
            <w:r>
              <w:rPr>
                <w:rFonts w:hint="eastAsia"/>
              </w:rPr>
              <w:t xml:space="preserve">2.6週間</w:t>
            </w:r>
          </w:p>
        </w:tc>
        <w:tc>
          <w:tcPr/>
          <w:p>
            <w:pPr>
              <w:pStyle w:val="Compact"/>
              <w:jc w:val="center"/>
            </w:pPr>
            <w:r>
              <w:rPr>
                <w:rFonts w:hint="eastAsia"/>
              </w:rPr>
              <w:t xml:space="preserve">関税、半導体割当</w:t>
            </w:r>
          </w:p>
        </w:tc>
      </w:tr>
      <w:tr>
        <w:tc>
          <w:tcPr/>
          <w:p>
            <w:pPr>
              <w:pStyle w:val="Compact"/>
              <w:jc w:val="left"/>
            </w:pPr>
            <w:r>
              <w:t xml:space="preserve">インバーター</w:t>
            </w:r>
          </w:p>
        </w:tc>
        <w:tc>
          <w:tcPr/>
          <w:p>
            <w:pPr>
              <w:pStyle w:val="Compact"/>
              <w:jc w:val="left"/>
            </w:pPr>
            <w:r>
              <w:rPr>
                <w:rFonts w:hint="eastAsia"/>
              </w:rPr>
              <w:t xml:space="preserve">欧州連合</w:t>
            </w:r>
          </w:p>
        </w:tc>
        <w:tc>
          <w:tcPr/>
          <w:p>
            <w:pPr>
              <w:pStyle w:val="Compact"/>
              <w:jc w:val="left"/>
            </w:pPr>
            <w:r>
              <w:rPr>
                <w:rFonts w:hint="eastAsia"/>
              </w:rPr>
              <w:t xml:space="preserve">7週間</w:t>
            </w:r>
          </w:p>
        </w:tc>
        <w:tc>
          <w:tcPr/>
          <w:p>
            <w:pPr>
              <w:pStyle w:val="Compact"/>
              <w:jc w:val="left"/>
            </w:pPr>
            <w:r>
              <w:rPr>
                <w:rFonts w:hint="eastAsia"/>
              </w:rPr>
              <w:t xml:space="preserve">3.1週間</w:t>
            </w:r>
          </w:p>
        </w:tc>
        <w:tc>
          <w:tcPr/>
          <w:p>
            <w:pPr>
              <w:pStyle w:val="Compact"/>
              <w:jc w:val="center"/>
            </w:pPr>
            <w:r>
              <w:rPr>
                <w:rFonts w:hint="eastAsia"/>
              </w:rPr>
              <w:t xml:space="preserve">自動車部品関税、港湾混雑</w:t>
            </w:r>
          </w:p>
        </w:tc>
      </w:tr>
      <w:tr>
        <w:tc>
          <w:tcPr/>
          <w:p>
            <w:pPr>
              <w:pStyle w:val="Compact"/>
              <w:jc w:val="left"/>
            </w:pPr>
            <w:r>
              <w:t xml:space="preserve">ガソリンエンジン</w:t>
            </w:r>
          </w:p>
        </w:tc>
        <w:tc>
          <w:tcPr/>
          <w:p>
            <w:pPr>
              <w:pStyle w:val="Compact"/>
              <w:jc w:val="left"/>
            </w:pPr>
            <w:r>
              <w:rPr>
                <w:rFonts w:hint="eastAsia"/>
              </w:rPr>
              <w:t xml:space="preserve">米国／メキシコ</w:t>
            </w:r>
          </w:p>
        </w:tc>
        <w:tc>
          <w:tcPr/>
          <w:p>
            <w:pPr>
              <w:pStyle w:val="Compact"/>
              <w:jc w:val="left"/>
            </w:pPr>
            <w:r>
              <w:rPr>
                <w:rFonts w:hint="eastAsia"/>
              </w:rPr>
              <w:t xml:space="preserve">3週間</w:t>
            </w:r>
          </w:p>
        </w:tc>
        <w:tc>
          <w:tcPr/>
          <w:p>
            <w:pPr>
              <w:pStyle w:val="Compact"/>
              <w:jc w:val="left"/>
            </w:pPr>
            <w:r>
              <w:rPr>
                <w:rFonts w:hint="eastAsia"/>
              </w:rPr>
              <w:t xml:space="preserve">1.8週間</w:t>
            </w:r>
          </w:p>
        </w:tc>
        <w:tc>
          <w:tcPr/>
          <w:p>
            <w:pPr>
              <w:pStyle w:val="Compact"/>
              <w:jc w:val="center"/>
            </w:pPr>
            <w:r>
              <w:rPr>
                <w:rFonts w:hint="eastAsia"/>
              </w:rPr>
              <w:t xml:space="preserve">モデルミックスの変化</w:t>
            </w:r>
          </w:p>
        </w:tc>
      </w:tr>
      <w:tr>
        <w:tc>
          <w:tcPr/>
          <w:p>
            <w:pPr>
              <w:pStyle w:val="Compact"/>
              <w:jc w:val="left"/>
            </w:pPr>
            <w:r>
              <w:rPr>
                <w:rFonts w:hint="eastAsia"/>
              </w:rPr>
              <w:t xml:space="preserve">シート・内装材</w:t>
            </w:r>
          </w:p>
        </w:tc>
        <w:tc>
          <w:tcPr/>
          <w:p>
            <w:pPr>
              <w:pStyle w:val="Compact"/>
              <w:jc w:val="left"/>
            </w:pPr>
            <w:r>
              <w:rPr>
                <w:rFonts w:hint="eastAsia"/>
              </w:rPr>
              <w:t xml:space="preserve">米国</w:t>
            </w:r>
          </w:p>
        </w:tc>
        <w:tc>
          <w:tcPr/>
          <w:p>
            <w:pPr>
              <w:pStyle w:val="Compact"/>
              <w:jc w:val="left"/>
            </w:pPr>
            <w:r>
              <w:rPr>
                <w:rFonts w:hint="eastAsia"/>
              </w:rPr>
              <w:t xml:space="preserve">2週間</w:t>
            </w:r>
          </w:p>
        </w:tc>
        <w:tc>
          <w:tcPr/>
          <w:p>
            <w:pPr>
              <w:pStyle w:val="Compact"/>
              <w:jc w:val="left"/>
            </w:pPr>
            <w:r>
              <w:rPr>
                <w:rFonts w:hint="eastAsia"/>
              </w:rPr>
              <w:t xml:space="preserve">1.3週間</w:t>
            </w:r>
          </w:p>
        </w:tc>
        <w:tc>
          <w:tcPr/>
          <w:p>
            <w:pPr>
              <w:pStyle w:val="Compact"/>
              <w:jc w:val="center"/>
            </w:pPr>
            <w:r>
              <w:rPr>
                <w:rFonts w:hint="eastAsia"/>
              </w:rPr>
              <w:t xml:space="preserve">シーケンス依存、代替性の低さ</w:t>
            </w:r>
          </w:p>
        </w:tc>
      </w:tr>
    </w:tbl>
    <w:bookmarkEnd w:id="9"/>
    <w:bookmarkStart w:id="10" w:name="連動しなかった外部シグナル"/>
    <w:p>
      <w:pPr>
        <w:pStyle w:val="Heading1"/>
      </w:pPr>
      <w:r>
        <w:rPr>
          <w:rFonts w:hint="eastAsia"/>
        </w:rPr>
        <w:t xml:space="preserve">連動しなかった外部シグナル</w:t>
      </w:r>
    </w:p>
    <w:p>
      <w:pPr>
        <w:pStyle w:val="FirstParagraph"/>
      </w:pPr>
      <w:r>
        <w:rPr>
          <w:rFonts w:hint="eastAsia"/>
        </w:rPr>
        <w:t xml:space="preserve">バッテリーの経済性は、電動車両の生産が着実に容易になっていくことを示唆していた。米国エネルギー省の推定によれば、軽量電気自動車用バッテリーパックのコストは2008年に使用可能kWhあたり1,415ドル、2023年には139ドルとなり、実質価格で約90パーセント低下した。しかし、オーロラの小型ハイブリッドパックはパワートレイン総コストの一部を占めるにすぎず、関税の扱いは化学組成、原産地、分類によって異なっていた。2024年、米国は中国産リチウムイオンEVバッテリーに対する通商法301条関税を25パーセントに引き上げた。2025年には、指定された輸入自動車および主要自動車部品に25パーセントの関税を課す別の措置が発動されたが、その後の各国との合意により実効税率は異なり、対象となるEU自動車関連品目には合計15パーセントの税率を目標とする枠組みも含まれていた。</w:t>
      </w:r>
    </w:p>
    <w:p>
      <w:pPr>
        <w:pStyle w:val="BodyText"/>
      </w:pPr>
      <w:r>
        <w:rPr>
          <w:rFonts w:hint="eastAsia"/>
        </w:rPr>
        <w:t xml:space="preserve">エネルギー価格は、それとは異なる不確実性を生み出していた。WTI原油の年間平均価格は、2020年に1バレルあたり約39ドル、2021年に68ドル、2022年に95ドル、2023年に78ドル、2024年に77ドルであった。この推移は、戦争、制裁、生産決定、輸送の混乱が、顧客が燃費に置く価値を急速に変化させうることを経営陣に思い起こさせた。しかし、それに対応して発注した部品をオーロラが受け取る前に、高い原油価格が下落してしまう可能性もあった。</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jc w:val="left"/>
            </w:pPr>
            <w:r>
              <w:rPr>
                <w:rFonts w:hint="eastAsia"/>
              </w:rPr>
              <w:t xml:space="preserve">年</w:t>
            </w:r>
          </w:p>
        </w:tc>
        <w:tc>
          <w:tcPr/>
          <w:p>
            <w:pPr>
              <w:pStyle w:val="Compact"/>
            </w:pPr>
            <w:r>
              <w:rPr>
                <w:rFonts w:hint="eastAsia"/>
              </w:rPr>
              <w:t xml:space="preserve">WTI原油価格（ドル／バレル）</w:t>
            </w:r>
          </w:p>
        </w:tc>
        <w:tc>
          <w:tcPr/>
          <w:p>
            <w:pPr>
              <w:pStyle w:val="Compact"/>
              <w:jc w:val="right"/>
            </w:pPr>
            <w:r>
              <w:rPr>
                <w:rFonts w:hint="eastAsia"/>
              </w:rPr>
              <w:t xml:space="preserve">DOEバッテリーパックコスト（ドル／使用可</w:t>
            </w:r>
          </w:p>
        </w:tc>
        <w:tc>
          <w:tcPr/>
          <w:p>
            <w:pPr>
              <w:pStyle w:val="Compact"/>
              <w:jc w:val="left"/>
            </w:pPr>
            <w:r>
              <w:rPr>
                <w:rFonts w:hint="eastAsia"/>
              </w:rPr>
              <w:t xml:space="preserve">能kWh）</w:t>
            </w:r>
            <w:r>
              <w:t xml:space="preserve"> </w:t>
            </w:r>
            <w:r>
              <w:rPr>
                <w:rFonts w:hint="eastAsia"/>
              </w:rPr>
              <w:t xml:space="preserve">主要な市場・政策シグナル</w:t>
            </w:r>
          </w:p>
        </w:tc>
      </w:tr>
      <w:tr>
        <w:tc>
          <w:tcPr/>
          <w:p>
            <w:pPr>
              <w:pStyle w:val="Compact"/>
              <w:jc w:val="left"/>
            </w:pPr>
            <w:r>
              <w:t xml:space="preserve">2008</w:t>
            </w:r>
          </w:p>
        </w:tc>
        <w:tc>
          <w:tcPr/>
          <w:p>
            <w:pPr>
              <w:pStyle w:val="Compact"/>
            </w:pPr>
            <w:r>
              <w:t xml:space="preserve">99.67*</w:t>
            </w:r>
          </w:p>
        </w:tc>
        <w:tc>
          <w:tcPr/>
          <w:p>
            <w:pPr>
              <w:pStyle w:val="Compact"/>
              <w:jc w:val="right"/>
            </w:pPr>
            <w:r>
              <w:t xml:space="preserve">1,415</w:t>
            </w:r>
          </w:p>
        </w:tc>
        <w:tc>
          <w:tcPr/>
          <w:p>
            <w:pPr>
              <w:pStyle w:val="Compact"/>
              <w:jc w:val="left"/>
            </w:pPr>
            <w:r>
              <w:rPr>
                <w:rFonts w:hint="eastAsia"/>
              </w:rPr>
              <w:t xml:space="preserve">原油価格の高いボラティリティ、電動化への初期投資</w:t>
            </w:r>
          </w:p>
        </w:tc>
      </w:tr>
      <w:tr>
        <w:tc>
          <w:tcPr/>
          <w:p>
            <w:pPr>
              <w:pStyle w:val="Compact"/>
              <w:jc w:val="left"/>
            </w:pPr>
            <w:r>
              <w:t xml:space="preserve">2020</w:t>
            </w:r>
          </w:p>
        </w:tc>
        <w:tc>
          <w:tcPr/>
          <w:p>
            <w:pPr>
              <w:pStyle w:val="Compact"/>
            </w:pPr>
            <w:r>
              <w:t xml:space="preserve">39.16</w:t>
            </w:r>
          </w:p>
        </w:tc>
        <w:tc>
          <w:tcPr/>
          <w:p>
            <w:pPr>
              <w:pStyle w:val="Compact"/>
              <w:jc w:val="right"/>
            </w:pPr>
            <w:r>
              <w:t xml:space="preserve">—</w:t>
            </w:r>
          </w:p>
        </w:tc>
        <w:tc>
          <w:tcPr/>
          <w:p>
            <w:pPr>
              <w:pStyle w:val="Compact"/>
              <w:jc w:val="left"/>
            </w:pPr>
            <w:r>
              <w:rPr>
                <w:rFonts w:hint="eastAsia"/>
              </w:rPr>
              <w:t xml:space="preserve">パンデミックによる需要ショック</w:t>
            </w:r>
          </w:p>
        </w:tc>
      </w:tr>
      <w:tr>
        <w:tc>
          <w:tcPr/>
          <w:p>
            <w:pPr>
              <w:pStyle w:val="Compact"/>
              <w:jc w:val="left"/>
            </w:pPr>
            <w:r>
              <w:t xml:space="preserve">2021</w:t>
            </w:r>
          </w:p>
        </w:tc>
        <w:tc>
          <w:tcPr/>
          <w:p>
            <w:pPr>
              <w:pStyle w:val="Compact"/>
            </w:pPr>
            <w:r>
              <w:t xml:space="preserve">68.13</w:t>
            </w:r>
          </w:p>
        </w:tc>
        <w:tc>
          <w:tcPr/>
          <w:p>
            <w:pPr>
              <w:pStyle w:val="Compact"/>
              <w:jc w:val="right"/>
            </w:pPr>
            <w:r>
              <w:t xml:space="preserve">157</w:t>
            </w:r>
          </w:p>
        </w:tc>
        <w:tc>
          <w:tcPr/>
          <w:p>
            <w:pPr>
              <w:pStyle w:val="Compact"/>
              <w:jc w:val="left"/>
            </w:pPr>
            <w:r>
              <w:rPr>
                <w:rFonts w:hint="eastAsia"/>
              </w:rPr>
              <w:t xml:space="preserve">燃料需要の回復</w:t>
            </w:r>
          </w:p>
        </w:tc>
      </w:tr>
      <w:tr>
        <w:tc>
          <w:tcPr/>
          <w:p>
            <w:pPr>
              <w:pStyle w:val="Compact"/>
              <w:jc w:val="left"/>
            </w:pPr>
            <w:r>
              <w:t xml:space="preserve">2022</w:t>
            </w:r>
          </w:p>
        </w:tc>
        <w:tc>
          <w:tcPr/>
          <w:p>
            <w:pPr>
              <w:pStyle w:val="Compact"/>
            </w:pPr>
            <w:r>
              <w:t xml:space="preserve">94.90</w:t>
            </w:r>
          </w:p>
        </w:tc>
        <w:tc>
          <w:tcPr/>
          <w:p>
            <w:pPr>
              <w:pStyle w:val="Compact"/>
              <w:jc w:val="right"/>
            </w:pPr>
            <w:r>
              <w:t xml:space="preserve">153</w:t>
            </w:r>
          </w:p>
        </w:tc>
        <w:tc>
          <w:tcPr/>
          <w:p>
            <w:pPr>
              <w:pStyle w:val="Compact"/>
              <w:jc w:val="left"/>
            </w:pPr>
            <w:r>
              <w:rPr>
                <w:rFonts w:hint="eastAsia"/>
              </w:rPr>
              <w:t xml:space="preserve">戦争関連のエネルギーショック、IRA成立</w:t>
            </w:r>
          </w:p>
        </w:tc>
      </w:tr>
      <w:tr>
        <w:tc>
          <w:tcPr/>
          <w:p>
            <w:pPr>
              <w:pStyle w:val="Compact"/>
              <w:jc w:val="left"/>
            </w:pPr>
            <w:r>
              <w:t xml:space="preserve">2023</w:t>
            </w:r>
          </w:p>
        </w:tc>
        <w:tc>
          <w:tcPr/>
          <w:p>
            <w:pPr>
              <w:pStyle w:val="Compact"/>
            </w:pPr>
            <w:r>
              <w:t xml:space="preserve">77.58</w:t>
            </w:r>
          </w:p>
        </w:tc>
        <w:tc>
          <w:tcPr/>
          <w:p>
            <w:pPr>
              <w:pStyle w:val="Compact"/>
              <w:jc w:val="right"/>
            </w:pPr>
            <w:r>
              <w:t xml:space="preserve">139</w:t>
            </w:r>
          </w:p>
        </w:tc>
        <w:tc>
          <w:tcPr/>
          <w:p>
            <w:pPr>
              <w:pStyle w:val="Compact"/>
              <w:jc w:val="left"/>
            </w:pPr>
            <w:r>
              <w:rPr>
                <w:rFonts w:hint="eastAsia"/>
              </w:rPr>
              <w:t xml:space="preserve">新たな鉱物・電池部品規則の開始</w:t>
            </w:r>
          </w:p>
        </w:tc>
      </w:tr>
      <w:tr>
        <w:tc>
          <w:tcPr/>
          <w:p>
            <w:pPr>
              <w:pStyle w:val="Compact"/>
              <w:jc w:val="left"/>
            </w:pPr>
            <w:r>
              <w:t xml:space="preserve">2024</w:t>
            </w:r>
          </w:p>
        </w:tc>
        <w:tc>
          <w:tcPr/>
          <w:p>
            <w:pPr>
              <w:pStyle w:val="Compact"/>
            </w:pPr>
            <w:r>
              <w:t xml:space="preserve">76.63</w:t>
            </w:r>
          </w:p>
        </w:tc>
        <w:tc>
          <w:tcPr/>
          <w:p>
            <w:pPr>
              <w:pStyle w:val="Compact"/>
              <w:jc w:val="right"/>
            </w:pPr>
            <w:r>
              <w:t xml:space="preserve">—</w:t>
            </w:r>
          </w:p>
        </w:tc>
        <w:tc>
          <w:tcPr/>
          <w:p>
            <w:pPr>
              <w:pStyle w:val="Compact"/>
              <w:jc w:val="left"/>
            </w:pPr>
            <w:r>
              <w:rPr>
                <w:rFonts w:hint="eastAsia"/>
              </w:rPr>
              <w:t xml:space="preserve">中国製EVバッテリー関税が25%へ引き上げ</w:t>
            </w:r>
          </w:p>
        </w:tc>
      </w:tr>
      <w:tr>
        <w:tc>
          <w:tcPr/>
          <w:p>
            <w:pPr>
              <w:pStyle w:val="Compact"/>
              <w:jc w:val="left"/>
            </w:pPr>
            <w:r>
              <w:t xml:space="preserve">2025</w:t>
            </w:r>
          </w:p>
        </w:tc>
        <w:tc>
          <w:tcPr/>
          <w:p>
            <w:pPr>
              <w:pStyle w:val="Compact"/>
            </w:pPr>
            <w:r>
              <w:t xml:space="preserve">65.39</w:t>
            </w:r>
          </w:p>
        </w:tc>
        <w:tc>
          <w:tcPr/>
          <w:p>
            <w:pPr>
              <w:pStyle w:val="Compact"/>
              <w:jc w:val="right"/>
            </w:pPr>
            <w:r>
              <w:t xml:space="preserve">—</w:t>
            </w:r>
          </w:p>
        </w:tc>
        <w:tc>
          <w:tcPr/>
          <w:p>
            <w:pPr>
              <w:pStyle w:val="Compact"/>
              <w:jc w:val="left"/>
            </w:pPr>
            <w:r>
              <w:rPr>
                <w:rFonts w:hint="eastAsia"/>
              </w:rPr>
              <w:t xml:space="preserve">自動車・部品関税、新クリーンビークル税額控除が9月30日終了</w:t>
            </w:r>
          </w:p>
        </w:tc>
      </w:tr>
    </w:tbl>
    <w:p>
      <w:pPr>
        <w:pStyle w:val="BodyText"/>
      </w:pPr>
      <w:r>
        <w:rPr>
          <w:rFonts w:hint="eastAsia"/>
        </w:rPr>
        <w:t xml:space="preserve">*2008年の値はEIAの年間WTIスポット価格系列の値であり、バッテリーコストは実質ドルによるDOE推定値であるため、すべての年次発表間で直接比較できるわけではない。</w:t>
      </w:r>
    </w:p>
    <w:bookmarkEnd w:id="10"/>
    <w:bookmarkStart w:id="11" w:name="需要は魅力的になる一方予測はますます困難に"/>
    <w:p>
      <w:pPr>
        <w:pStyle w:val="Heading1"/>
      </w:pPr>
      <w:r>
        <w:rPr>
          <w:rFonts w:hint="eastAsia"/>
        </w:rPr>
        <w:t xml:space="preserve">需要は魅力的になる一方、予測はますます困難に</w:t>
      </w:r>
    </w:p>
    <w:p>
      <w:pPr>
        <w:pStyle w:val="FirstParagraph"/>
      </w:pPr>
      <w:r>
        <w:rPr>
          <w:rFonts w:hint="eastAsia"/>
        </w:rPr>
        <w:t xml:space="preserve">消費者の態度が状況を複雑にしていた。AAAは2024年に、米国成人の18パーセントが完全電気自動車を購入する可能性が高いと報告した。これは前年の23パーセントから低下したものであった。一方、31パーセントはハイブリッド車を購入する可能性が高いと回答していた。2025年には、完全電気自動車を購入する可能性があると回答した割合は再び16パーセントに低下した。オーロラのディーラーは、この数値をハイブリッド車が実用的な橋渡し技術になりつつある証拠と解釈した。しかし営業部門は、アンケート上の関心が必ずしもオーロラの価格帯での正式な注文につながるとは限らないと警告した。</w:t>
      </w:r>
    </w:p>
    <w:p>
      <w:pPr>
        <w:pStyle w:val="BodyText"/>
      </w:pPr>
      <w:r>
        <w:rPr>
          <w:rFonts w:hint="eastAsia"/>
        </w:rPr>
        <w:t xml:space="preserve">連邦の補助金は、また別の不連続性を加えた。改正されたクリーンビークル税額控除は、北米での最終組立を要求しており、2023年以降は重要鉱物および電池部品の調達に関するますます厳格な基準を課すようになっていた。7kWh以上のプラグインハイブリッド車はこれらの規則を満たせば対象となり得たが、オーロラの従来型クロスウィンド・ハイブリッドは対象外であった。そのためオーロラは、プラグイン版の開発を加速していた。しかし、連邦のガイダンスにより、2025年9月30日以降に取得した車両については新クリーンビークル税額控除が利用不可となったことで、このプログラムの経済性が変化した。一部市場ではディーラーが引き続き州の補助金を利用できたが、その有無と金額は市場によって異なっていた。</w:t>
      </w:r>
    </w:p>
    <w:bookmarkEnd w:id="11"/>
    <w:bookmarkStart w:id="12" w:name="月の計画問題"/>
    <w:p>
      <w:pPr>
        <w:pStyle w:val="Heading1"/>
      </w:pPr>
      <w:r>
        <w:rPr>
          <w:rFonts w:hint="eastAsia"/>
        </w:rPr>
        <w:t xml:space="preserve">10月の計画問題</w:t>
      </w:r>
    </w:p>
    <w:p>
      <w:pPr>
        <w:pStyle w:val="FirstParagraph"/>
      </w:pPr>
      <w:r>
        <w:rPr>
          <w:rFonts w:hint="eastAsia"/>
        </w:rPr>
        <w:t xml:space="preserve">オーロラの計画チームは、今後16週間の3つの需要シナリオを準備した。これらのシナリオは確率ではなく、それぞれが経営陣が妥当と考える整合的なストーリーを表していた。</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jc w:val="left"/>
            </w:pPr>
            <w:r>
              <w:t xml:space="preserve">シナリオ</w:t>
            </w:r>
          </w:p>
        </w:tc>
        <w:tc>
          <w:tcPr/>
          <w:p>
            <w:pPr>
              <w:pStyle w:val="Compact"/>
              <w:jc w:val="left"/>
            </w:pPr>
            <w:r>
              <w:rPr>
                <w:rFonts w:hint="eastAsia"/>
              </w:rPr>
              <w:t xml:space="preserve">引き金となる事象</w:t>
            </w:r>
          </w:p>
        </w:tc>
        <w:tc>
          <w:tcPr/>
          <w:p>
            <w:pPr>
              <w:pStyle w:val="Compact"/>
              <w:jc w:val="right"/>
            </w:pPr>
            <w:r>
              <w:rPr>
                <w:rFonts w:hint="eastAsia"/>
              </w:rPr>
              <w:t xml:space="preserve">クロスウィンド需要</w:t>
            </w:r>
          </w:p>
        </w:tc>
        <w:tc>
          <w:tcPr/>
          <w:p>
            <w:pPr>
              <w:pStyle w:val="Compact"/>
              <w:jc w:val="right"/>
            </w:pPr>
            <w:r>
              <w:rPr>
                <w:rFonts w:hint="eastAsia"/>
              </w:rPr>
              <w:t xml:space="preserve">プラグイン需要</w:t>
            </w:r>
          </w:p>
        </w:tc>
        <w:tc>
          <w:tcPr/>
          <w:p>
            <w:pPr>
              <w:pStyle w:val="Compact"/>
              <w:jc w:val="center"/>
            </w:pPr>
            <w:r>
              <w:rPr>
                <w:rFonts w:hint="eastAsia"/>
              </w:rPr>
              <w:t xml:space="preserve">運用上の帰結</w:t>
            </w:r>
          </w:p>
        </w:tc>
      </w:tr>
      <w:tr>
        <w:tc>
          <w:tcPr/>
          <w:p>
            <w:pPr>
              <w:pStyle w:val="Compact"/>
              <w:jc w:val="left"/>
            </w:pPr>
            <w:r>
              <w:rPr>
                <w:rFonts w:hint="eastAsia"/>
              </w:rPr>
              <w:t xml:space="preserve">燃料ショック</w:t>
            </w:r>
          </w:p>
        </w:tc>
        <w:tc>
          <w:tcPr/>
          <w:p>
            <w:pPr>
              <w:pStyle w:val="Compact"/>
              <w:jc w:val="left"/>
            </w:pPr>
            <w:r>
              <w:rPr>
                <w:rFonts w:hint="eastAsia"/>
              </w:rPr>
              <w:t xml:space="preserve">原油供給の混乱、ガソリン価格の急騰</w:t>
            </w:r>
            <w:r>
              <w:t xml:space="preserve"> +22%</w:t>
            </w:r>
          </w:p>
        </w:tc>
        <w:tc>
          <w:tcPr/>
          <w:p>
            <w:pPr>
              <w:pStyle w:val="Compact"/>
              <w:jc w:val="right"/>
            </w:pPr>
            <w:r>
              <w:t xml:space="preserve">+35%</w:t>
            </w:r>
          </w:p>
        </w:tc>
        <w:tc>
          <w:tcPr/>
          <w:p>
            <w:pPr>
              <w:pStyle w:val="Compact"/>
              <w:jc w:val="right"/>
            </w:pPr>
            <w:r>
              <w:rPr>
                <w:rFonts w:hint="eastAsia"/>
              </w:rPr>
              <w:t xml:space="preserve">アジア製部品</w:t>
            </w:r>
          </w:p>
        </w:tc>
        <w:tc>
          <w:tcPr/>
          <w:p>
            <w:pPr>
              <w:pStyle w:val="Compact"/>
              <w:jc w:val="center"/>
            </w:pPr>
            <w:r>
              <w:rPr>
                <w:rFonts w:hint="eastAsia"/>
              </w:rPr>
              <w:t xml:space="preserve">を急送、低採算モデルを後回しに</w:t>
            </w:r>
          </w:p>
        </w:tc>
      </w:tr>
      <w:tr>
        <w:tc>
          <w:tcPr/>
          <w:p>
            <w:pPr>
              <w:pStyle w:val="Compact"/>
              <w:jc w:val="left"/>
            </w:pPr>
            <w:r>
              <w:rPr>
                <w:rFonts w:hint="eastAsia"/>
              </w:rPr>
              <w:t xml:space="preserve">政策後退</w:t>
            </w:r>
          </w:p>
        </w:tc>
        <w:tc>
          <w:tcPr/>
          <w:p>
            <w:pPr>
              <w:pStyle w:val="Compact"/>
              <w:jc w:val="left"/>
            </w:pPr>
            <w:r>
              <w:rPr>
                <w:rFonts w:hint="eastAsia"/>
              </w:rPr>
              <w:t xml:space="preserve">税額控除の廃止による電動化需要の落ち込み</w:t>
            </w:r>
          </w:p>
        </w:tc>
        <w:tc>
          <w:tcPr/>
          <w:p>
            <w:pPr>
              <w:pStyle w:val="Compact"/>
              <w:jc w:val="right"/>
            </w:pPr>
            <w:r>
              <w:t xml:space="preserve">-8%</w:t>
            </w:r>
          </w:p>
        </w:tc>
        <w:tc>
          <w:tcPr/>
          <w:p>
            <w:pPr>
              <w:pStyle w:val="Compact"/>
              <w:jc w:val="right"/>
            </w:pPr>
            <w:r>
              <w:t xml:space="preserve">-28%</w:t>
            </w:r>
          </w:p>
        </w:tc>
        <w:tc>
          <w:tcPr/>
          <w:p>
            <w:pPr>
              <w:pStyle w:val="Compact"/>
              <w:jc w:val="center"/>
            </w:pPr>
            <w:r>
              <w:rPr>
                <w:rFonts w:hint="eastAsia"/>
              </w:rPr>
              <w:t xml:space="preserve">プラグイン部品の過剰、ディーラーによるキャンセル</w:t>
            </w:r>
          </w:p>
        </w:tc>
      </w:tr>
      <w:tr>
        <w:tc>
          <w:tcPr/>
          <w:p>
            <w:pPr>
              <w:pStyle w:val="Compact"/>
              <w:jc w:val="left"/>
            </w:pPr>
            <w:r>
              <w:rPr>
                <w:rFonts w:hint="eastAsia"/>
              </w:rPr>
              <w:t xml:space="preserve">ハイブリッド転換</w:t>
            </w:r>
          </w:p>
        </w:tc>
        <w:tc>
          <w:tcPr/>
          <w:p>
            <w:pPr>
              <w:pStyle w:val="Compact"/>
              <w:jc w:val="left"/>
            </w:pPr>
            <w:r>
              <w:rPr>
                <w:rFonts w:hint="eastAsia"/>
              </w:rPr>
              <w:t xml:space="preserve">買い手は完全EVを避けつつ燃費を求める</w:t>
            </w:r>
            <w:r>
              <w:t xml:space="preserve"> +15%</w:t>
            </w:r>
          </w:p>
        </w:tc>
        <w:tc>
          <w:tcPr/>
          <w:p>
            <w:pPr>
              <w:pStyle w:val="Compact"/>
              <w:jc w:val="right"/>
            </w:pPr>
            <w:r>
              <w:t xml:space="preserve">+5%</w:t>
            </w:r>
          </w:p>
        </w:tc>
        <w:tc>
          <w:tcPr/>
          <w:p>
            <w:pPr>
              <w:pStyle w:val="Compact"/>
              <w:jc w:val="right"/>
            </w:pPr>
            <w:r>
              <w:t xml:space="preserve">エンジン</w:t>
            </w:r>
          </w:p>
        </w:tc>
        <w:tc>
          <w:tcPr/>
          <w:p>
            <w:pPr>
              <w:pStyle w:val="Compact"/>
              <w:jc w:val="center"/>
            </w:pPr>
            <w:r>
              <w:rPr>
                <w:rFonts w:hint="eastAsia"/>
              </w:rPr>
              <w:t xml:space="preserve">、インバーター、バッテリーの需要が同時に上昇</w:t>
            </w:r>
          </w:p>
        </w:tc>
      </w:tr>
    </w:tbl>
    <w:p>
      <w:pPr>
        <w:pStyle w:val="BodyText"/>
      </w:pPr>
      <w:r>
        <w:rPr>
          <w:rFonts w:hint="eastAsia"/>
        </w:rPr>
        <w:t xml:space="preserve">現行の生産計画では、16週間の計画期間にわたって15,900台を予定していた。確定済みの部品供給量では、介入なしでは13,750台しか支えられなかった。購買部門は、1,860万ドルの前倒し発注と割増運賃を提案した。製造部門は、入手可能な部品に合わせて生産を再配列し、週間生産台数の減少を受け入れつつ緊急物流を回避することを提案した。営業部門は、ガソリン価格が高い地域のディーラー注文を優先し、直ちに配送日を約束することを望んだ。財務部門は、税額控除変更後のキャンセル状況をよりよく理解するまで、希少な部品にコミットすべきではないと主張した。</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jc w:val="left"/>
            </w:pPr>
            <w:r>
              <w:rPr>
                <w:rFonts w:hint="eastAsia"/>
              </w:rPr>
              <w:t xml:space="preserve">提案された対応策</w:t>
            </w:r>
          </w:p>
        </w:tc>
        <w:tc>
          <w:tcPr/>
          <w:p>
            <w:pPr>
              <w:pStyle w:val="Compact"/>
              <w:jc w:val="center"/>
            </w:pPr>
            <w:r>
              <w:rPr>
                <w:rFonts w:hint="eastAsia"/>
              </w:rPr>
              <w:t xml:space="preserve">即時の現金・コスト</w:t>
            </w:r>
          </w:p>
        </w:tc>
        <w:tc>
          <w:tcPr/>
          <w:p>
            <w:pPr>
              <w:pStyle w:val="Compact"/>
            </w:pPr>
            <w:r>
              <w:rPr>
                <w:rFonts w:hint="eastAsia"/>
              </w:rPr>
              <w:t xml:space="preserve">潜在的な利点</w:t>
            </w:r>
            <w:r>
              <w:t xml:space="preserve"> </w:t>
            </w:r>
            <w:r>
              <w:rPr>
                <w:rFonts w:hint="eastAsia"/>
              </w:rPr>
              <w:t xml:space="preserve">主な懸念</w:t>
            </w:r>
          </w:p>
        </w:tc>
        <w:tc>
          <w:tcPr/>
          <w:p>
            <w:pPr>
              <w:pStyle w:val="Compact"/>
              <w:jc w:val="left"/>
            </w:pPr>
            <w:r>
              <w:rPr>
                <w:rFonts w:hint="eastAsia"/>
              </w:rPr>
              <w:t xml:space="preserve">事項</w:t>
            </w:r>
          </w:p>
        </w:tc>
      </w:tr>
      <w:tr>
        <w:tc>
          <w:tcPr/>
          <w:p>
            <w:pPr>
              <w:pStyle w:val="Compact"/>
              <w:jc w:val="left"/>
            </w:pPr>
            <w:r>
              <w:rPr>
                <w:rFonts w:hint="eastAsia"/>
              </w:rPr>
              <w:t xml:space="preserve">輸入部品の購入と急送</w:t>
            </w:r>
          </w:p>
        </w:tc>
        <w:tc>
          <w:tcPr/>
          <w:p>
            <w:pPr>
              <w:pStyle w:val="Compact"/>
              <w:jc w:val="center"/>
            </w:pPr>
            <w:r>
              <w:rPr>
                <w:rFonts w:hint="eastAsia"/>
              </w:rPr>
              <w:t xml:space="preserve">1,860万ドルのコミットメント、340万ドルの割増運</w:t>
            </w:r>
          </w:p>
        </w:tc>
        <w:tc>
          <w:tcPr/>
          <w:p>
            <w:pPr>
              <w:pStyle w:val="Compact"/>
            </w:pPr>
            <w:r>
              <w:rPr>
                <w:rFonts w:hint="eastAsia"/>
              </w:rPr>
              <w:t xml:space="preserve">賃</w:t>
            </w:r>
            <w:r>
              <w:t xml:space="preserve"> </w:t>
            </w:r>
            <w:r>
              <w:rPr>
                <w:rFonts w:hint="eastAsia"/>
              </w:rPr>
              <w:t xml:space="preserve">生産量とディーラーサービスを維持</w:t>
            </w:r>
          </w:p>
        </w:tc>
        <w:tc>
          <w:tcPr/>
          <w:p>
            <w:pPr>
              <w:pStyle w:val="Compact"/>
              <w:jc w:val="left"/>
            </w:pPr>
            <w:r>
              <w:rPr>
                <w:rFonts w:hint="eastAsia"/>
              </w:rPr>
              <w:t xml:space="preserve">到着前に関税や需要が変化する可能性</w:t>
            </w:r>
          </w:p>
        </w:tc>
      </w:tr>
      <w:tr>
        <w:tc>
          <w:tcPr/>
          <w:p>
            <w:pPr>
              <w:pStyle w:val="Compact"/>
              <w:jc w:val="left"/>
            </w:pPr>
            <w:r>
              <w:rPr>
                <w:rFonts w:hint="eastAsia"/>
              </w:rPr>
              <w:t xml:space="preserve">未完成車両の組立</w:t>
            </w:r>
          </w:p>
        </w:tc>
        <w:tc>
          <w:tcPr/>
          <w:p>
            <w:pPr>
              <w:pStyle w:val="Compact"/>
              <w:jc w:val="center"/>
            </w:pPr>
            <w:r>
              <w:rPr>
                <w:rFonts w:hint="eastAsia"/>
              </w:rPr>
              <w:t xml:space="preserve">620万ドルの一時的運転資本</w:t>
            </w:r>
          </w:p>
        </w:tc>
        <w:tc>
          <w:tcPr/>
          <w:p>
            <w:pPr>
              <w:pStyle w:val="Compact"/>
            </w:pPr>
            <w:r>
              <w:rPr>
                <w:rFonts w:hint="eastAsia"/>
              </w:rPr>
              <w:t xml:space="preserve">労働力とボディショップの稼働を維持</w:t>
            </w:r>
          </w:p>
        </w:tc>
        <w:tc>
          <w:tcPr/>
          <w:p>
            <w:pPr>
              <w:pStyle w:val="Compact"/>
              <w:jc w:val="left"/>
            </w:pPr>
            <w:r>
              <w:rPr>
                <w:rFonts w:hint="eastAsia"/>
              </w:rPr>
              <w:t xml:space="preserve">手直し、保管、品質リスク</w:t>
            </w:r>
          </w:p>
        </w:tc>
      </w:tr>
      <w:tr>
        <w:tc>
          <w:tcPr/>
          <w:p>
            <w:pPr>
              <w:pStyle w:val="Compact"/>
              <w:jc w:val="left"/>
            </w:pPr>
            <w:r>
              <w:rPr>
                <w:rFonts w:hint="eastAsia"/>
              </w:rPr>
              <w:t xml:space="preserve">マージン・地域による部品再配分</w:t>
            </w:r>
          </w:p>
        </w:tc>
        <w:tc>
          <w:tcPr/>
          <w:p>
            <w:pPr>
              <w:pStyle w:val="Compact"/>
              <w:jc w:val="center"/>
            </w:pPr>
            <w:r>
              <w:rPr>
                <w:rFonts w:hint="eastAsia"/>
              </w:rPr>
              <w:t xml:space="preserve">直接コストは低い</w:t>
            </w:r>
          </w:p>
        </w:tc>
        <w:tc>
          <w:tcPr/>
          <w:p>
            <w:pPr>
              <w:pStyle w:val="Compact"/>
            </w:pPr>
            <w:r>
              <w:rPr>
                <w:rFonts w:hint="eastAsia"/>
              </w:rPr>
              <w:t xml:space="preserve">希少な供給を現在の価値に合致させる</w:t>
            </w:r>
          </w:p>
        </w:tc>
        <w:tc>
          <w:tcPr/>
          <w:p>
            <w:pPr>
              <w:pStyle w:val="Compact"/>
              <w:jc w:val="left"/>
            </w:pPr>
            <w:r>
              <w:rPr>
                <w:rFonts w:hint="eastAsia"/>
              </w:rPr>
              <w:t xml:space="preserve">ディーラー間の公平性と予測誤差</w:t>
            </w:r>
          </w:p>
        </w:tc>
      </w:tr>
      <w:tr>
        <w:tc>
          <w:tcPr/>
          <w:p>
            <w:pPr>
              <w:pStyle w:val="Compact"/>
              <w:jc w:val="left"/>
            </w:pPr>
            <w:r>
              <w:rPr>
                <w:rFonts w:hint="eastAsia"/>
              </w:rPr>
              <w:t xml:space="preserve">生産計画の縮小</w:t>
            </w:r>
          </w:p>
        </w:tc>
        <w:tc>
          <w:tcPr/>
          <w:p>
            <w:pPr>
              <w:pStyle w:val="Compact"/>
              <w:jc w:val="center"/>
            </w:pPr>
            <w:r>
              <w:rPr>
                <w:rFonts w:hint="eastAsia"/>
              </w:rPr>
              <w:t xml:space="preserve">逸失する貢献利益</w:t>
            </w:r>
          </w:p>
        </w:tc>
        <w:tc>
          <w:tcPr/>
          <w:p>
            <w:pPr>
              <w:pStyle w:val="Compact"/>
            </w:pPr>
            <w:r>
              <w:rPr>
                <w:rFonts w:hint="eastAsia"/>
              </w:rPr>
              <w:t xml:space="preserve">在庫と関税エクスポージャーを抑制</w:t>
            </w:r>
          </w:p>
        </w:tc>
        <w:tc>
          <w:tcPr/>
          <w:p>
            <w:pPr>
              <w:pStyle w:val="Compact"/>
              <w:jc w:val="left"/>
            </w:pPr>
            <w:r>
              <w:rPr>
                <w:rFonts w:hint="eastAsia"/>
              </w:rPr>
              <w:t xml:space="preserve">顧客の長期待機、サプライヤーの混乱</w:t>
            </w:r>
          </w:p>
        </w:tc>
      </w:tr>
      <w:tr>
        <w:tc>
          <w:tcPr/>
          <w:p>
            <w:pPr>
              <w:pStyle w:val="Compact"/>
              <w:jc w:val="left"/>
            </w:pPr>
            <w:r>
              <w:rPr>
                <w:rFonts w:hint="eastAsia"/>
              </w:rPr>
              <w:t xml:space="preserve">デュアルソーシングと再設計</w:t>
            </w:r>
          </w:p>
        </w:tc>
        <w:tc>
          <w:tcPr/>
          <w:p>
            <w:pPr>
              <w:pStyle w:val="Compact"/>
              <w:jc w:val="center"/>
            </w:pPr>
            <w:r>
              <w:rPr>
                <w:rFonts w:hint="eastAsia"/>
              </w:rPr>
              <w:t xml:space="preserve">18か月で最大4,200万ドル</w:t>
            </w:r>
          </w:p>
        </w:tc>
        <w:tc>
          <w:tcPr/>
          <w:p>
            <w:pPr>
              <w:pStyle w:val="Compact"/>
            </w:pPr>
            <w:r>
              <w:rPr>
                <w:rFonts w:hint="eastAsia"/>
              </w:rPr>
              <w:t xml:space="preserve">長期的なレジリエンスと現地調達比率</w:t>
            </w:r>
          </w:p>
        </w:tc>
        <w:tc>
          <w:tcPr/>
          <w:p>
            <w:pPr>
              <w:pStyle w:val="Compact"/>
              <w:jc w:val="left"/>
            </w:pPr>
            <w:r>
              <w:rPr>
                <w:rFonts w:hint="eastAsia"/>
              </w:rPr>
              <w:t xml:space="preserve">現在の未処理注文には遅すぎる</w:t>
            </w:r>
          </w:p>
        </w:tc>
      </w:tr>
    </w:tbl>
    <w:bookmarkEnd w:id="12"/>
    <w:bookmarkStart w:id="13" w:name="つの別々の予測ではなく1つの調整問題"/>
    <w:p>
      <w:pPr>
        <w:pStyle w:val="Heading1"/>
      </w:pPr>
      <w:r>
        <w:rPr>
          <w:rFonts w:hint="eastAsia"/>
        </w:rPr>
        <w:t xml:space="preserve">4つの別々の予測ではなく、1つの調整問題</w:t>
      </w:r>
    </w:p>
    <w:p>
      <w:pPr>
        <w:pStyle w:val="FirstParagraph"/>
      </w:pPr>
      <w:r>
        <w:rPr>
          <w:rFonts w:hint="eastAsia"/>
        </w:rPr>
        <w:t xml:space="preserve">チェンは、オーロラの各部門がこの問題の異なるバージョンをそれぞれ最適化していると考えていた。購買部門は部品の入手可能性と購入価格の変動を測定していた。製造部門はラインの稼働率と完成車両数を測定していた。物流部門は割増運賃と配送実績を測定していた。営業部門は注文数とディーラーの充足率を測定していた。財務部門は現金、利益率、在庫を測定していた。部品コミットメントから顧客配送までの統合された意思決定を担う部門は誰もいなかった。</w:t>
      </w:r>
    </w:p>
    <w:p>
      <w:pPr>
        <w:pStyle w:val="BodyText"/>
      </w:pPr>
      <w:r>
        <w:rPr>
          <w:rFonts w:hint="eastAsia"/>
        </w:rPr>
        <w:t xml:space="preserve">複数の管理職が週次の「コントロールタワー」会議を提案した。他の者は、会議では根本的な問題は解決しないと主張した。オーロラには、入荷リードタイム、関税、生産制約、不確実なキャンセル、地域別需要、出荷能力を統合的に表現する決定モデルが必要であった。そのようなモデルに必要な情報は不完全であった。サプライヤーのリードタイムは、その分布が大きく歪んでいる場合でも単一の数値として提示されていた。ディーラー注文はペナルティなしにキャンセルされ得た。関税分類は輸入後に争われることもあった。ガソリン価格の予測は、地政学的ショックについて確実な警告を与えなかった。</w:t>
      </w:r>
    </w:p>
    <w:bookmarkEnd w:id="13"/>
    <w:bookmarkStart w:id="14" w:name="会議"/>
    <w:p>
      <w:pPr>
        <w:pStyle w:val="Heading1"/>
      </w:pPr>
      <w:r>
        <w:rPr>
          <w:rFonts w:hint="eastAsia"/>
        </w:rPr>
        <w:t xml:space="preserve">会議</w:t>
      </w:r>
    </w:p>
    <w:p>
      <w:pPr>
        <w:pStyle w:val="FirstParagraph"/>
      </w:pPr>
      <w:r>
        <w:rPr>
          <w:rFonts w:hint="eastAsia"/>
        </w:rPr>
        <w:t xml:space="preserve">午後4時、チェンはボードに5つの数字を書き出した。3,800件の顧客注文、2.6週間分の制御モジュール、1,860万ドルの提案されたコミットメント、16週間分の不確実な需要、そして8週間の配送約束である。最高経営責任者は金曜日までに提言を求めていた。彼は予測を求めたのではなかった。彼が尋ねたのは、オーロラが今何をすべきか、次に何の情報を収集すべきか、そしてどのコミットメントを可逆的なままにしておくべきか、であった。</w:t>
      </w:r>
    </w:p>
    <w:p>
      <w:pPr>
        <w:pStyle w:val="BodyText"/>
      </w:pPr>
      <w:r>
        <w:rPr>
          <w:rFonts w:hint="eastAsia"/>
        </w:rPr>
        <w:t xml:space="preserve">チェンは供給と需要の間に明確な分離を見出せなかった。バッテリーセルをさらに発注すれば、燃料価格急騰時の配送を守れるかもしれないが、関税が上昇したりプラグイン需要が弱まったりすれば、滞留在庫を生み出す可能性もあった。生産を削減すれば現金を温存できるかもしれないが、まさに買い手がハイブリッドへ移行する時に市場を明け渡すことになりかねなかった。希少な車両を最も利益率の高い地域に配分すれば、短期的な利益は改善するかもしれないが、他の地域でのディーラー関係を損なう可能性があった。サプライチェーンを再設計すれば将来のエクスポージャーは低減するかもしれないが、すでにシステム内にある注文を満たすことにはならなかった。</w:t>
      </w:r>
    </w:p>
    <w:p>
      <w:pPr>
        <w:pStyle w:val="BodyText"/>
      </w:pPr>
      <w:r>
        <w:rPr>
          <w:rFonts w:hint="eastAsia"/>
        </w:rPr>
        <w:t xml:space="preserve">経営陣は、自分たちが直面している市場のバージョンを知る前に、運用姿勢を選択しなければならないだろう。</w:t>
      </w:r>
    </w:p>
    <w:bookmarkEnd w:id="14"/>
    <w:bookmarkStart w:id="15" w:name="議論のための質問"/>
    <w:p>
      <w:pPr>
        <w:pStyle w:val="Heading1"/>
      </w:pPr>
      <w:r>
        <w:rPr>
          <w:rFonts w:hint="eastAsia"/>
        </w:rPr>
        <w:t xml:space="preserve">議論のための質問</w:t>
      </w:r>
    </w:p>
    <w:p>
      <w:pPr>
        <w:numPr>
          <w:ilvl w:val="0"/>
          <w:numId w:val="1001"/>
        </w:numPr>
      </w:pPr>
      <w:r>
        <w:rPr>
          <w:rFonts w:hint="eastAsia"/>
        </w:rPr>
        <w:t xml:space="preserve">このケースにおける主要な業績評価指標は何か。どの指標同士が互いに矛盾するか。</w:t>
      </w:r>
    </w:p>
    <w:p>
      <w:pPr>
        <w:numPr>
          <w:ilvl w:val="0"/>
          <w:numId w:val="1001"/>
        </w:numPr>
      </w:pPr>
      <w:r>
        <w:rPr>
          <w:rFonts w:hint="eastAsia"/>
        </w:rPr>
        <w:t xml:space="preserve">オーロラが今すぐ下さなければならない決定は何か。また、より多くの情報が届くまで先送りできる決定はどれか。</w:t>
      </w:r>
    </w:p>
    <w:p>
      <w:pPr>
        <w:numPr>
          <w:ilvl w:val="0"/>
          <w:numId w:val="1001"/>
        </w:numPr>
      </w:pPr>
      <w:r>
        <w:rPr>
          <w:rFonts w:hint="eastAsia"/>
        </w:rPr>
        <w:t xml:space="preserve">オーロラは、入荷購買、生産の順序付け、在庫の位置づけ、ディーラーへの配分、顧客への配送約束をどのように結び付けるべきか。</w:t>
      </w:r>
    </w:p>
    <w:p>
      <w:pPr>
        <w:numPr>
          <w:ilvl w:val="0"/>
          <w:numId w:val="1001"/>
        </w:numPr>
      </w:pPr>
      <w:r>
        <w:rPr>
          <w:rFonts w:hint="eastAsia"/>
        </w:rPr>
        <w:t xml:space="preserve">どの不確実性が外生的であり、どの不確実性を契約、製品設計、情報収集、または顧客向け方針を通じてオーロラは制御できるか。</w:t>
      </w:r>
    </w:p>
    <w:p>
      <w:pPr>
        <w:numPr>
          <w:ilvl w:val="0"/>
          <w:numId w:val="1001"/>
        </w:numPr>
      </w:pPr>
      <w:r>
        <w:rPr>
          <w:rFonts w:hint="eastAsia"/>
        </w:rPr>
        <w:t xml:space="preserve">金曜日までに最も価値のあるデータは何か。有用ではあるが到着が遅すぎる情報は何か。</w:t>
      </w:r>
    </w:p>
    <w:p>
      <w:pPr>
        <w:numPr>
          <w:ilvl w:val="0"/>
          <w:numId w:val="1001"/>
        </w:numPr>
      </w:pPr>
      <w:r>
        <w:rPr>
          <w:rFonts w:hint="eastAsia"/>
        </w:rPr>
        <w:t xml:space="preserve">どのシナリオにおいても優越する提案がない中で、オーロラは5つの提案された対応策をどのように評価すべきか。</w:t>
      </w:r>
    </w:p>
    <w:p>
      <w:pPr>
        <w:numPr>
          <w:ilvl w:val="0"/>
          <w:numId w:val="1001"/>
        </w:numPr>
      </w:pPr>
      <w:r>
        <w:rPr>
          <w:rFonts w:hint="eastAsia"/>
        </w:rPr>
        <w:t xml:space="preserve">たとえオーロラが高度な計画モデルを開発したとしても、どのような組織的変更が必要になり得るか。</w:t>
      </w:r>
    </w:p>
    <w:bookmarkEnd w:id="15"/>
    <w:bookmarkStart w:id="21" w:name="決定枠組みのための質問"/>
    <w:p>
      <w:pPr>
        <w:pStyle w:val="Heading1"/>
      </w:pPr>
      <w:r>
        <w:rPr>
          <w:rFonts w:hint="eastAsia"/>
        </w:rPr>
        <w:t xml:space="preserve">決定枠組みのための質問</w:t>
      </w:r>
    </w:p>
    <w:p>
      <w:pPr>
        <w:numPr>
          <w:ilvl w:val="0"/>
          <w:numId w:val="1002"/>
        </w:numPr>
      </w:pPr>
      <w:r>
        <w:rPr>
          <w:rFonts w:hint="eastAsia"/>
        </w:rPr>
        <w:t xml:space="preserve">意思決定者の責任を特定し、記述せよ。これにより問題の範囲が定まるはずである。</w:t>
      </w:r>
    </w:p>
    <w:p>
      <w:pPr>
        <w:numPr>
          <w:ilvl w:val="0"/>
          <w:numId w:val="1002"/>
        </w:numPr>
      </w:pPr>
      <w:hyperlink r:id="rId16">
        <w:r>
          <w:rPr>
            <w:rStyle w:val="Hyperlink"/>
          </w:rPr>
          <w:t xml:space="preserve">メトリクス・ピラミッドツール</w:t>
        </w:r>
      </w:hyperlink>
      <w:r>
        <w:rPr>
          <w:rFonts w:hint="eastAsia"/>
        </w:rPr>
        <w:t xml:space="preserve">を使用して、さまざまな業績評価指標を特定し、優先順位を付けよ。指標を保持する楕円をクリックして、それが最大化すべき指標（緑）、最小化すべき指標（赤）、下限としての目標値（薄緑）、上限としての目標値（薄赤）、または最終的な目標値（紫）のいずれであるかを識別せよ。</w:t>
      </w:r>
    </w:p>
    <w:p>
      <w:pPr>
        <w:numPr>
          <w:ilvl w:val="0"/>
          <w:numId w:val="1002"/>
        </w:numPr>
      </w:pPr>
      <w:hyperlink r:id="rId17">
        <w:r>
          <w:rPr>
            <w:rStyle w:val="Hyperlink"/>
            <w:rFonts w:hint="eastAsia"/>
          </w:rPr>
          <w:t xml:space="preserve">決定優先順位付けツール</w:t>
        </w:r>
      </w:hyperlink>
      <w:r>
        <w:rPr>
          <w:rFonts w:hint="eastAsia"/>
        </w:rPr>
        <w:t xml:space="preserve">を使用して、まずさまざまな種類の決定を列挙せよ（</w:t>
      </w:r>
      <w:hyperlink r:id="rId18">
        <w:r>
          <w:rPr>
            <w:rStyle w:val="Hyperlink"/>
            <w:rFonts w:hint="eastAsia"/>
          </w:rPr>
          <w:t xml:space="preserve">決定の種類</w:t>
        </w:r>
      </w:hyperlink>
      <w:r>
        <w:rPr>
          <w:rFonts w:hint="eastAsia"/>
        </w:rPr>
        <w:t xml:space="preserve">を参考にせよ）。これらは、右側のマトリクスの行を構成することになり、その列は上記のピラミッドにおける優先順位に従って左から右に並べられた業績評価指標である。各セルをクリックして、その決定が各指標に与える影響が高い（赤）、中程度（オレンジ）、低い（黄）、なし（白）のいずれかを示せ。</w:t>
      </w:r>
    </w:p>
    <w:p>
      <w:pPr>
        <w:numPr>
          <w:ilvl w:val="0"/>
          <w:numId w:val="1002"/>
        </w:numPr>
      </w:pPr>
      <w:r>
        <w:rPr>
          <w:rFonts w:hint="eastAsia"/>
        </w:rPr>
        <w:t xml:space="preserve">各行の一番左にあるハンドル（3本の横棒）をつかんで、上下に移動させることができる。最も重要な指標に最も大きな影響を与える決定が上位に来るように行を並べ替えよ。左上の隅のセルには、赤とオレンジのセルが最も集中しているはずである。この時点で、あなたの研究で最も注意を払うべき決定を特定せよ。最も重要な指標に対して中程度または高い影響を与える決定が一つもない場合は、決定のリストを見直せ。</w:t>
      </w:r>
    </w:p>
    <w:p>
      <w:pPr>
        <w:numPr>
          <w:ilvl w:val="0"/>
          <w:numId w:val="1002"/>
        </w:numPr>
      </w:pPr>
      <w:hyperlink r:id="rId19">
        <w:r>
          <w:rPr>
            <w:rStyle w:val="Hyperlink"/>
            <w:rFonts w:hint="eastAsia"/>
          </w:rPr>
          <w:t xml:space="preserve">不確実性優先順位付けツール</w:t>
        </w:r>
      </w:hyperlink>
      <w:r>
        <w:rPr>
          <w:rFonts w:hint="eastAsia"/>
        </w:rPr>
        <w:t xml:space="preserve">を使用して、不確実性についても同じ手順を繰り返し、列挙と優先順位付けを行え。これらを特定する際には</w:t>
      </w:r>
      <w:hyperlink r:id="rId20">
        <w:r>
          <w:rPr>
            <w:rStyle w:val="Hyperlink"/>
            <w:rFonts w:hint="eastAsia"/>
          </w:rPr>
          <w:t xml:space="preserve">不確実性のカテゴリー</w:t>
        </w:r>
      </w:hyperlink>
      <w:r>
        <w:rPr>
          <w:rFonts w:hint="eastAsia"/>
        </w:rPr>
        <w:t xml:space="preserve">を参考にせよ。</w:t>
      </w:r>
    </w:p>
    <w:p>
      <w:pPr>
        <w:numPr>
          <w:ilvl w:val="0"/>
          <w:numId w:val="1002"/>
        </w:numPr>
      </w:pPr>
      <w:r>
        <w:rPr>
          <w:rFonts w:hint="eastAsia"/>
        </w:rPr>
        <w:t xml:space="preserve">平均として、あるいはリスクイベントとして評価できる不確実性を区別することが重要である：</w:t>
      </w:r>
    </w:p>
    <w:p>
      <w:pPr>
        <w:numPr>
          <w:ilvl w:val="1"/>
          <w:numId w:val="1003"/>
        </w:numPr>
      </w:pPr>
      <w:r>
        <w:rPr>
          <w:rFonts w:hint="eastAsia"/>
        </w:rPr>
        <w:t xml:space="preserve">どの不確実性の源が、時間をかけた平均的なパフォーマンスを用いて捉えられるか。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最も重要な指標に最も大きな影響を与えると思われる単一の決定を選べ。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この決定に高いまたは中程度の影響がある場合、業績評価指標の計算を含め、この決定を下すために必要と思われるデータは何か。</w:t>
      </w:r>
    </w:p>
    <w:p>
      <w:pPr>
        <w:numPr>
          <w:ilvl w:val="0"/>
          <w:numId w:val="1002"/>
        </w:numPr>
      </w:pPr>
      <w:r>
        <w:rPr>
          <w:rFonts w:hint="eastAsia"/>
        </w:rPr>
        <w:t xml:space="preserve">(7)で特定したのと同じ決定について、その決定を実行するために協力する必要がある人々、部門、グループ、または組織を特定せよ。</w:t>
      </w:r>
    </w:p>
    <w:bookmarkEnd w:id="21"/>
    <w:bookmarkStart w:id="22" w:name="歴史的背景に関する出典注記"/>
    <w:p>
      <w:pPr>
        <w:pStyle w:val="Heading1"/>
      </w:pPr>
      <w:r>
        <w:rPr>
          <w:rFonts w:hint="eastAsia"/>
        </w:rPr>
        <w:t xml:space="preserve">歴史的背景に関する出典注記</w:t>
      </w:r>
    </w:p>
    <w:p>
      <w:pPr>
        <w:pStyle w:val="FirstParagraph"/>
      </w:pPr>
      <w:r>
        <w:rPr>
          <w:rFonts w:hint="eastAsia"/>
        </w:rPr>
        <w:t xml:space="preserve">米国エネルギー情報局、「Cushing,</w:t>
      </w:r>
      <w:r>
        <w:t xml:space="preserve"> OK WTI Spot Price </w:t>
      </w:r>
      <w:r>
        <w:rPr>
          <w:rFonts w:hint="eastAsia"/>
        </w:rPr>
        <w:t xml:space="preserve">FOB」年次系列（2026年7月アクセス）。</w:t>
      </w:r>
    </w:p>
    <w:p>
      <w:pPr>
        <w:pStyle w:val="BodyText"/>
      </w:pPr>
      <w:r>
        <w:rPr>
          <w:rFonts w:hint="eastAsia"/>
        </w:rPr>
        <w:t xml:space="preserve">米国エネルギー省、車両技術局、「Electric</w:t>
      </w:r>
      <w:r>
        <w:t xml:space="preserve"> Vehicle Battery Pack Costs for a Light-Duty Vehicle in 2023 Are 90% Lower than in </w:t>
      </w:r>
      <w:r>
        <w:rPr>
          <w:rFonts w:hint="eastAsia"/>
        </w:rPr>
        <w:t xml:space="preserve">2008」、2024年8月5日。</w:t>
      </w:r>
    </w:p>
    <w:p>
      <w:pPr>
        <w:pStyle w:val="BodyText"/>
      </w:pPr>
      <w:r>
        <w:rPr>
          <w:rFonts w:hint="eastAsia"/>
        </w:rPr>
        <w:t xml:space="preserve">米国通商代表部、通商法301条関税改定、2024年5月および9月。</w:t>
      </w:r>
    </w:p>
    <w:p>
      <w:pPr>
        <w:pStyle w:val="BodyText"/>
      </w:pPr>
      <w:r>
        <w:rPr>
          <w:rFonts w:hint="eastAsia"/>
        </w:rPr>
        <w:t xml:space="preserve">ホワイトハウス、自動車および自動車部品輸入に関する布告10908号およびその改正、2025年3月～4月；米国・EU貿易枠組み声明、2025年7月～8月。</w:t>
      </w:r>
    </w:p>
    <w:p>
      <w:pPr>
        <w:pStyle w:val="BodyText"/>
      </w:pPr>
      <w:r>
        <w:rPr>
          <w:rFonts w:hint="eastAsia"/>
        </w:rPr>
        <w:t xml:space="preserve">米国内国歳入庁、「2023年以降に購入された新クリーンビークルに対する税額控除」および2025年フォーム8936の説明書。</w:t>
      </w:r>
    </w:p>
    <w:p>
      <w:pPr>
        <w:pStyle w:val="BodyText"/>
      </w:pPr>
      <w:r>
        <w:rPr>
          <w:rFonts w:hint="eastAsia"/>
        </w:rPr>
        <w:t xml:space="preserve">AAA、年次電気自動車消費者調査、2024年および2025年。</w:t>
      </w:r>
    </w:p>
    <w:p>
      <w:pPr>
        <w:pStyle w:val="BodyText"/>
      </w:pPr>
      <w:r>
        <w:rPr>
          <w:rFonts w:hint="eastAsia"/>
          <w:b/>
          <w:bCs/>
        </w:rPr>
        <w:t xml:space="preserve">ケースに関する注記：</w:t>
      </w:r>
      <w:r>
        <w:t xml:space="preserve"> </w:t>
      </w:r>
      <w:r>
        <w:rPr>
          <w:rFonts w:hint="eastAsia"/>
        </w:rPr>
        <w:t xml:space="preserve">オーロラ・モーターズ、その従業員、製品、サプライヤー、ディーラー、注文、コスト、予測、および運用データはすべて架空のものである。歴史的数値は、現実的な意思決定環境を構築する目的でのみ含まれている。本ケースは意図的に解決策を提示していない。</w:t>
      </w:r>
    </w:p>
    <w:bookmarkEnd w:id="22"/>
    <w:bookmarkStart w:id="25" w:name="chatgptノート"/>
    <w:p>
      <w:pPr>
        <w:pStyle w:val="Heading1"/>
      </w:pPr>
      <w:r>
        <w:t xml:space="preserve">ChatGPTノート</w:t>
      </w:r>
    </w:p>
    <w:bookmarkStart w:id="23" w:name="プロンプト"/>
    <w:p>
      <w:pPr>
        <w:pStyle w:val="Heading2"/>
      </w:pPr>
      <w:r>
        <w:t xml:space="preserve">プロンプト</w:t>
      </w:r>
    </w:p>
    <w:p>
      <w:pPr>
        <w:pStyle w:val="FirstParagraph"/>
      </w:pPr>
      <w:r>
        <w:rPr>
          <w:rFonts w:hint="eastAsia"/>
        </w:rPr>
        <w:t xml:space="preserve">自動車製造工程への入荷フローと顧客配送の調整を試みる製造会社をテーマにしたケーススタディを生成せよ。製品はハイブリッド電気自動車であり、アジアおよび欧州からの部品に対する関税、また連邦政府から時折利用可能だが撤回される可能性のある税額控除政策の変更の影響を受ける。もう一つの要因は変動するガソリン価格であり、これも産油国との戦争などの結果としての散発的な不足を含む国際的な問題の影響を受ける。原油価格、バッテリーコスト、関税に関する歴史的データ、および変化する顧客の態度も含めるよう試みよ。</w:t>
      </w:r>
    </w:p>
    <w:bookmarkEnd w:id="23"/>
    <w:bookmarkStart w:id="24" w:name="要約"/>
    <w:p>
      <w:pPr>
        <w:pStyle w:val="Heading2"/>
      </w:pPr>
      <w:r>
        <w:rPr>
          <w:rFonts w:hint="eastAsia"/>
        </w:rPr>
        <w:t xml:space="preserve">要約</w:t>
      </w:r>
    </w:p>
    <w:p>
      <w:pPr>
        <w:pStyle w:val="FirstParagraph"/>
      </w:pPr>
      <w:r>
        <w:rPr>
          <w:rFonts w:hint="eastAsia"/>
        </w:rPr>
        <w:t xml:space="preserve">このケースは、架空のハイブリッド車メーカーが、以下の状況の中で、輸入部品、生産の順序付け、在庫、ディーラーへの配分、顧客への配送約束をどのように調整すべきかを検討するものである：</w:t>
      </w:r>
    </w:p>
    <w:p>
      <w:pPr>
        <w:numPr>
          <w:ilvl w:val="0"/>
          <w:numId w:val="1005"/>
        </w:numPr>
      </w:pPr>
      <w:r>
        <w:rPr>
          <w:rFonts w:hint="eastAsia"/>
        </w:rPr>
        <w:t xml:space="preserve">アジア産バッテリーおよび電子部品、欧州産自動車部品に対する関税</w:t>
      </w:r>
    </w:p>
    <w:p>
      <w:pPr>
        <w:numPr>
          <w:ilvl w:val="0"/>
          <w:numId w:val="1005"/>
        </w:numPr>
      </w:pPr>
      <w:r>
        <w:rPr>
          <w:rFonts w:hint="eastAsia"/>
        </w:rPr>
        <w:t xml:space="preserve">連邦のクリーンビークル税制優遇措置の変化</w:t>
      </w:r>
    </w:p>
    <w:p>
      <w:pPr>
        <w:numPr>
          <w:ilvl w:val="0"/>
          <w:numId w:val="1005"/>
        </w:numPr>
      </w:pPr>
      <w:r>
        <w:rPr>
          <w:rFonts w:hint="eastAsia"/>
        </w:rPr>
        <w:t xml:space="preserve">地政学的混乱によって引き起こされる原油・ガソリン価格の変動</w:t>
      </w:r>
    </w:p>
    <w:p>
      <w:pPr>
        <w:numPr>
          <w:ilvl w:val="0"/>
          <w:numId w:val="1005"/>
        </w:numPr>
      </w:pPr>
      <w:r>
        <w:rPr>
          <w:rFonts w:hint="eastAsia"/>
        </w:rPr>
        <w:t xml:space="preserve">低下するバッテリーコスト</w:t>
      </w:r>
    </w:p>
    <w:p>
      <w:pPr>
        <w:numPr>
          <w:ilvl w:val="0"/>
          <w:numId w:val="1005"/>
        </w:numPr>
      </w:pPr>
      <w:r>
        <w:rPr>
          <w:rFonts w:hint="eastAsia"/>
        </w:rPr>
        <w:t xml:space="preserve">ガソリン車、ハイブリッド車、プラグインハイブリッド車、完全電気自動車の間で移り変わる消費者の関心</w:t>
      </w:r>
    </w:p>
    <w:p>
      <w:pPr>
        <w:numPr>
          <w:ilvl w:val="0"/>
          <w:numId w:val="1005"/>
        </w:numPr>
      </w:pPr>
      <w:r>
        <w:rPr>
          <w:rFonts w:hint="eastAsia"/>
        </w:rPr>
        <w:t xml:space="preserve">長い入荷リードタイムと不確実な顧客キャンセル</w:t>
      </w:r>
    </w:p>
    <w:p>
      <w:pPr>
        <w:pStyle w:val="FirstParagraph"/>
      </w:pPr>
      <w:r>
        <w:rPr>
          <w:rFonts w:hint="eastAsia"/>
        </w:rPr>
        <w:t xml:space="preserve">このケースには、原油価格とバッテリーコストの歴史的データ、関税と税額控除の変遷、代替的な需要シナリオ、運用上の対応選択肢、定量的な図表、および議論のための質問が含まれている。優先すべき解決策は示されていない。歴史的背景は、EIA、エネルギー省、USTR、内国歳入庁、ホワイトハウス、AAAの各出典に基づいている。</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2026-09-11T17:30:43Z</dcterms:created>
  <dcterms:modified xsi:type="dcterms:W3CDTF">2026-09-11T17:30:43Z</dcterms:modified>
</cp:coreProperties>
</file>

<file path=docProps/custom.xml><?xml version="1.0" encoding="utf-8"?>
<Properties xmlns="http://schemas.openxmlformats.org/officeDocument/2006/custom-properties" xmlns:vt="http://schemas.openxmlformats.org/officeDocument/2006/docPropsVTypes"/>
</file>