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ベルウェザー保健局"/>
    <w:p>
      <w:pPr>
        <w:pStyle w:val="Heading1"/>
      </w:pPr>
      <w:r>
        <w:rPr>
          <w:rFonts w:hint="eastAsia"/>
        </w:rPr>
        <w:t xml:space="preserve">ベルウェザー保健局</w:t>
      </w:r>
    </w:p>
    <w:p>
      <w:pPr>
        <w:pStyle w:val="FirstParagraph"/>
      </w:pPr>
      <w:r>
        <w:rPr>
          <w:rFonts w:hint="eastAsia"/>
          <w:b/>
          <w:bCs/>
        </w:rPr>
        <w:t xml:space="preserve">36,000キットの決定</w:t>
      </w:r>
    </w:p>
    <w:p>
      <w:pPr>
        <w:pStyle w:val="BodyText"/>
      </w:pPr>
      <w:r>
        <w:rPr>
          <w:rFonts w:hint="eastAsia"/>
          <w:i/>
          <w:iCs/>
        </w:rPr>
        <w:t xml:space="preserve">限られたオーバードーズ救命用供給を、最も入手しやすく、認識され、使用される場所に配置するという公衆衛生ケース</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2026年9月、ベルウェザーのオーバードーズ予防局は、パートナーが要請した数より少ないナロキソンキットを受け取った。オーバードーズによる死亡は州全体で減少しているが、いくつかの農村部の郡と2つの都市近隣地域では状況が悪化している。同局は出荷分を配分し、誰を訓練するかを決定し、公式データにまだ現れていないかもしれない新興のホットスポットのためにキットを確保すべきかどうかを判断しなければならない。</w:t>
            </w:r>
          </w:p>
        </w:tc>
      </w:tr>
    </w:tbl>
    <w:p>
      <w:r>
        <w:pict>
          <v:rect style="width:0;height:1.5pt" o:hralign="center" o:hrstd="t" o:hr="t"/>
        </w:pict>
      </w:r>
    </w:p>
    <w:p>
      <w:pPr>
        <w:pStyle w:val="FirstParagraph"/>
      </w:pPr>
      <w:r>
        <w:rPr>
          <w:rFonts w:hint="eastAsia"/>
        </w:rPr>
        <w:t xml:space="preserve">このケースはフィクションであり、教育目的の議論を意図している。名前、出来事、内部の数値はこのケースのために作成された。公開統計は出典注記にまとめられている。</w:t>
      </w:r>
    </w:p>
    <w:bookmarkEnd w:id="9"/>
    <w:bookmarkStart w:id="10" w:name="金曜日の出荷"/>
    <w:p>
      <w:pPr>
        <w:pStyle w:val="Heading1"/>
      </w:pPr>
      <w:r>
        <w:rPr>
          <w:rFonts w:hint="eastAsia"/>
        </w:rPr>
        <w:t xml:space="preserve">金曜日の出荷</w:t>
      </w:r>
    </w:p>
    <w:p>
      <w:pPr>
        <w:pStyle w:val="FirstParagraph"/>
      </w:pPr>
      <w:r>
        <w:rPr>
          <w:rFonts w:hint="eastAsia"/>
        </w:rPr>
        <w:t xml:space="preserve">金曜日の朝8時10分、ベルウェザー保健局のオーバードーズ予防担当ディレクターであるマヤ・オルティス博士は、州の秋季ナロキソン出荷が2回分の点鼻薬キット36,000個で構成されることを知った。郡機関、病院、救急サービス、ハームリダクションプログラム、刑務所、治療提供者、薬局、フードパントリー、住宅支援団体が合わせて要請したキット数は61,400個であった。</w:t>
      </w:r>
    </w:p>
    <w:p>
      <w:pPr>
        <w:pStyle w:val="BodyText"/>
      </w:pPr>
      <w:r>
        <w:rPr>
          <w:rFonts w:hint="eastAsia"/>
        </w:rPr>
        <w:t xml:space="preserve">この不足は全国的な生産障害によるものではなかった。ベルウェザーの連邦補助金の到着が予想より遅れ、州の調達契約が再入札中に失効し、州議会は3か月分のつなぎ予算しか承認していなかった。同局は後日追加のキットを発注することはできたが、それがいつ到着するのか、また次の助成期間でどの程度の請求が償還対象になるのかは誰にも分からなかった。</w:t>
      </w:r>
    </w:p>
    <w:p>
      <w:pPr>
        <w:pStyle w:val="BodyText"/>
      </w:pPr>
      <w:r>
        <w:rPr>
          <w:rFonts w:hint="eastAsia"/>
        </w:rPr>
        <w:t xml:space="preserve">オルティスは月曜正午までに配分計画を承認しなければならなかった。倉庫はカートンにラベルを貼り、訓練資料を準備し、配送を予定するための時間を必要としていた。複数の郡パートナーはすでにキットを配給制にしていた。他のパートナーは未使用の在庫を報告していたが、それらのキットが倉庫に眠っているのか、アウトリーチワーカーが携行しているのか、オーバードーズを目撃しそうな人々に渡されているのか、あるいは期限切れや破損で廃棄されているのかは分からなかった。</w:t>
      </w:r>
    </w:p>
    <w:bookmarkEnd w:id="10"/>
    <w:bookmarkStart w:id="12" w:name="不均一に改善する危機"/>
    <w:p>
      <w:pPr>
        <w:pStyle w:val="Heading1"/>
      </w:pPr>
      <w:r>
        <w:rPr>
          <w:rFonts w:hint="eastAsia"/>
        </w:rPr>
        <w:t xml:space="preserve">不均一に改善する危機</w:t>
      </w:r>
    </w:p>
    <w:p>
      <w:pPr>
        <w:pStyle w:val="FirstParagraph"/>
      </w:pPr>
      <w:r>
        <w:rPr>
          <w:rFonts w:hint="eastAsia"/>
        </w:rPr>
        <w:t xml:space="preserve">全国的には、何年にもわたる壊滅的な増加の後、オーバードーズによる死亡率は減少し始めていた。連邦の最終データでは、2024年の米国における薬物過剰摂取死亡者数は79,384人と記録され、2023年からの年齢調整死亡率は26.2パーセント減少した。2026年7月時点で入手可能な速報データでは、2026年2月終了の12か月間で68,641人の死亡が予測されており、前期間からさらに12.1パーセント減少していた。この改善は大きなものであったが、総数は依然として高く、違法薬物の供給は変化し続けていた。</w:t>
      </w:r>
    </w:p>
    <w:p>
      <w:pPr>
        <w:pStyle w:val="BodyText"/>
      </w:pPr>
      <w:r>
        <w:rPr>
          <w:rFonts w:hint="eastAsia"/>
        </w:rPr>
        <w:t xml:space="preserve">ナロキソンの入手可能性も拡大していた。2024年には150万件を超える処方箋が米国の小売薬局を通じて調剤された。しかし全国の薬局調剤率は2023年の人口100人あたり0.6件から2024年には0.4件に低下し、その率は管轄区域間で大きく異なっていた。薬局データには、保健局、救急隊員、地域団体、あるいは友人や親族によって配布されたすべてのキットは含まれていなかった。</w:t>
      </w:r>
    </w:p>
    <w:p>
      <w:pPr>
        <w:pStyle w:val="BodyText"/>
      </w:pPr>
      <w:r>
        <w:rPr>
          <w:rFonts w:hint="eastAsia"/>
        </w:rPr>
        <w:t xml:space="preserve">ベルウェザー州全体の死亡者数は前年比で18パーセント減少していた。この減少は州都地域と3つの郊外の郡に集中していた。北部の製造業地帯では死亡者数はほぼ横ばいであった。2つの農村地域ではむしろ増加しており、緊急救命室では、鎮静作用のある混入物と混ぜられたフェンタニルへの曝露が疑われる患者の長時間観察が必要なケースが増加していた。</w:t>
      </w:r>
    </w:p>
    <w:bookmarkStart w:id="11" w:name="図1.-ベルウェザー州のオーバードーズ指標"/>
    <w:p>
      <w:pPr>
        <w:pStyle w:val="Heading2"/>
      </w:pPr>
      <w:r>
        <w:rPr>
          <w:rFonts w:hint="eastAsia"/>
        </w:rPr>
        <w:t xml:space="preserve">図1.</w:t>
      </w:r>
      <w:r>
        <w:t xml:space="preserve"> </w:t>
      </w:r>
      <w:r>
        <w:rPr>
          <w:rFonts w:hint="eastAsia"/>
        </w:rPr>
        <w:t xml:space="preserve">ベルウェザー州のオーバードーズ指標</w:t>
      </w:r>
    </w:p>
    <w:tbl>
      <w:tblPr>
        <w:tblStyle w:val="Table"/>
        <w:tblW w:type="pct" w:w="4885"/>
        <w:tblLayout w:type="fixed"/>
        <w:tblLook w:firstRow="1" w:lastRow="0" w:firstColumn="0" w:lastColumn="0" w:noHBand="0" w:noVBand="0" w:val="0020"/>
      </w:tblPr>
      <w:tblGrid>
        <w:gridCol w:w="3368"/>
        <w:gridCol w:w="1092"/>
        <w:gridCol w:w="1092"/>
        <w:gridCol w:w="2184"/>
      </w:tblGrid>
      <w:tr>
        <w:trPr>
          <w:tblHeader w:val="on"/>
        </w:trPr>
        <w:tc>
          <w:tcPr/>
          <w:p>
            <w:pPr>
              <w:pStyle w:val="Compact"/>
              <w:jc w:val="left"/>
            </w:pPr>
            <w:r>
              <w:rPr>
                <w:rFonts w:hint="eastAsia"/>
              </w:rPr>
              <w:t xml:space="preserve">指標</w:t>
            </w:r>
          </w:p>
        </w:tc>
        <w:tc>
          <w:tcPr/>
          <w:p>
            <w:pPr>
              <w:pStyle w:val="Compact"/>
              <w:jc w:val="center"/>
            </w:pPr>
            <w:r>
              <w:rPr>
                <w:rFonts w:hint="eastAsia"/>
              </w:rPr>
              <w:t xml:space="preserve">2024年</w:t>
            </w:r>
          </w:p>
        </w:tc>
        <w:tc>
          <w:tcPr/>
          <w:p>
            <w:pPr>
              <w:pStyle w:val="Compact"/>
              <w:jc w:val="center"/>
            </w:pPr>
            <w:r>
              <w:rPr>
                <w:rFonts w:hint="eastAsia"/>
              </w:rPr>
              <w:t xml:space="preserve">2025年</w:t>
            </w:r>
          </w:p>
        </w:tc>
        <w:tc>
          <w:tcPr/>
          <w:p>
            <w:pPr>
              <w:pStyle w:val="Compact"/>
              <w:jc w:val="center"/>
            </w:pPr>
            <w:r>
              <w:rPr>
                <w:rFonts w:hint="eastAsia"/>
              </w:rPr>
              <w:t xml:space="preserve">直近12か月</w:t>
            </w:r>
          </w:p>
        </w:tc>
      </w:tr>
      <w:tr>
        <w:tc>
          <w:tcPr/>
          <w:p>
            <w:pPr>
              <w:pStyle w:val="Compact"/>
              <w:jc w:val="left"/>
            </w:pPr>
            <w:r>
              <w:rPr>
                <w:rFonts w:hint="eastAsia"/>
              </w:rPr>
              <w:t xml:space="preserve">疑われる致死的オーバードーズ</w:t>
            </w:r>
          </w:p>
        </w:tc>
        <w:tc>
          <w:tcPr/>
          <w:p>
            <w:pPr>
              <w:pStyle w:val="Compact"/>
              <w:jc w:val="center"/>
            </w:pPr>
            <w:r>
              <w:t xml:space="preserve">1,184</w:t>
            </w:r>
          </w:p>
        </w:tc>
        <w:tc>
          <w:tcPr/>
          <w:p>
            <w:pPr>
              <w:pStyle w:val="Compact"/>
              <w:jc w:val="center"/>
            </w:pPr>
            <w:r>
              <w:t xml:space="preserve">971</w:t>
            </w:r>
          </w:p>
        </w:tc>
        <w:tc>
          <w:tcPr/>
          <w:p>
            <w:pPr>
              <w:pStyle w:val="Compact"/>
              <w:jc w:val="center"/>
            </w:pPr>
            <w:r>
              <w:t xml:space="preserve">906</w:t>
            </w:r>
          </w:p>
        </w:tc>
      </w:tr>
      <w:tr>
        <w:tc>
          <w:tcPr/>
          <w:p>
            <w:pPr>
              <w:pStyle w:val="Compact"/>
              <w:jc w:val="left"/>
            </w:pPr>
            <w:r>
              <w:rPr>
                <w:rFonts w:hint="eastAsia"/>
              </w:rPr>
              <w:t xml:space="preserve">EMSによるオーバードーズ対応</w:t>
            </w:r>
          </w:p>
        </w:tc>
        <w:tc>
          <w:tcPr/>
          <w:p>
            <w:pPr>
              <w:pStyle w:val="Compact"/>
              <w:jc w:val="center"/>
            </w:pPr>
            <w:r>
              <w:t xml:space="preserve">9,840</w:t>
            </w:r>
          </w:p>
        </w:tc>
        <w:tc>
          <w:tcPr/>
          <w:p>
            <w:pPr>
              <w:pStyle w:val="Compact"/>
              <w:jc w:val="center"/>
            </w:pPr>
            <w:r>
              <w:t xml:space="preserve">10,260</w:t>
            </w:r>
          </w:p>
        </w:tc>
        <w:tc>
          <w:tcPr/>
          <w:p>
            <w:pPr>
              <w:pStyle w:val="Compact"/>
              <w:jc w:val="center"/>
            </w:pPr>
            <w:r>
              <w:t xml:space="preserve">10,710</w:t>
            </w:r>
          </w:p>
        </w:tc>
      </w:tr>
      <w:tr>
        <w:tc>
          <w:tcPr/>
          <w:p>
            <w:pPr>
              <w:pStyle w:val="Compact"/>
              <w:jc w:val="left"/>
            </w:pPr>
            <w:r>
              <w:rPr>
                <w:rFonts w:hint="eastAsia"/>
              </w:rPr>
              <w:t xml:space="preserve">EMSによるナロキソン投与</w:t>
            </w:r>
          </w:p>
        </w:tc>
        <w:tc>
          <w:tcPr/>
          <w:p>
            <w:pPr>
              <w:pStyle w:val="Compact"/>
              <w:jc w:val="center"/>
            </w:pPr>
            <w:r>
              <w:t xml:space="preserve">6,420</w:t>
            </w:r>
          </w:p>
        </w:tc>
        <w:tc>
          <w:tcPr/>
          <w:p>
            <w:pPr>
              <w:pStyle w:val="Compact"/>
              <w:jc w:val="center"/>
            </w:pPr>
            <w:r>
              <w:t xml:space="preserve">6,980</w:t>
            </w:r>
          </w:p>
        </w:tc>
        <w:tc>
          <w:tcPr/>
          <w:p>
            <w:pPr>
              <w:pStyle w:val="Compact"/>
              <w:jc w:val="center"/>
            </w:pPr>
            <w:r>
              <w:t xml:space="preserve">7,310</w:t>
            </w:r>
          </w:p>
        </w:tc>
      </w:tr>
      <w:tr>
        <w:tc>
          <w:tcPr/>
          <w:p>
            <w:pPr>
              <w:pStyle w:val="Compact"/>
              <w:jc w:val="left"/>
            </w:pPr>
            <w:r>
              <w:rPr>
                <w:rFonts w:hint="eastAsia"/>
              </w:rPr>
              <w:t xml:space="preserve">オーバードーズ後の病院搬送</w:t>
            </w:r>
          </w:p>
        </w:tc>
        <w:tc>
          <w:tcPr/>
          <w:p>
            <w:pPr>
              <w:pStyle w:val="Compact"/>
              <w:jc w:val="center"/>
            </w:pPr>
            <w:r>
              <w:t xml:space="preserve">4,780</w:t>
            </w:r>
          </w:p>
        </w:tc>
        <w:tc>
          <w:tcPr/>
          <w:p>
            <w:pPr>
              <w:pStyle w:val="Compact"/>
              <w:jc w:val="center"/>
            </w:pPr>
            <w:r>
              <w:t xml:space="preserve">4,960</w:t>
            </w:r>
          </w:p>
        </w:tc>
        <w:tc>
          <w:tcPr/>
          <w:p>
            <w:pPr>
              <w:pStyle w:val="Compact"/>
              <w:jc w:val="center"/>
            </w:pPr>
            <w:r>
              <w:t xml:space="preserve">5,240</w:t>
            </w:r>
          </w:p>
        </w:tc>
      </w:tr>
      <w:tr>
        <w:tc>
          <w:tcPr/>
          <w:p>
            <w:pPr>
              <w:pStyle w:val="Compact"/>
              <w:jc w:val="left"/>
            </w:pPr>
            <w:r>
              <w:rPr>
                <w:rFonts w:hint="eastAsia"/>
              </w:rPr>
              <w:t xml:space="preserve">地域から報告された救命例</w:t>
            </w:r>
          </w:p>
        </w:tc>
        <w:tc>
          <w:tcPr/>
          <w:p>
            <w:pPr>
              <w:pStyle w:val="Compact"/>
              <w:jc w:val="center"/>
            </w:pPr>
            <w:r>
              <w:t xml:space="preserve">2,940</w:t>
            </w:r>
          </w:p>
        </w:tc>
        <w:tc>
          <w:tcPr/>
          <w:p>
            <w:pPr>
              <w:pStyle w:val="Compact"/>
              <w:jc w:val="center"/>
            </w:pPr>
            <w:r>
              <w:t xml:space="preserve">3,880</w:t>
            </w:r>
          </w:p>
        </w:tc>
        <w:tc>
          <w:tcPr/>
          <w:p>
            <w:pPr>
              <w:pStyle w:val="Compact"/>
              <w:jc w:val="center"/>
            </w:pPr>
            <w:r>
              <w:t xml:space="preserve">4,210</w:t>
            </w:r>
          </w:p>
        </w:tc>
      </w:tr>
      <w:tr>
        <w:tc>
          <w:tcPr/>
          <w:p>
            <w:pPr>
              <w:pStyle w:val="Compact"/>
              <w:jc w:val="left"/>
            </w:pPr>
            <w:r>
              <w:rPr>
                <w:rFonts w:hint="eastAsia"/>
              </w:rPr>
              <w:t xml:space="preserve">州購入によるキット配布数</w:t>
            </w:r>
          </w:p>
        </w:tc>
        <w:tc>
          <w:tcPr/>
          <w:p>
            <w:pPr>
              <w:pStyle w:val="Compact"/>
              <w:jc w:val="center"/>
            </w:pPr>
            <w:r>
              <w:t xml:space="preserve">118,000</w:t>
            </w:r>
          </w:p>
        </w:tc>
        <w:tc>
          <w:tcPr/>
          <w:p>
            <w:pPr>
              <w:pStyle w:val="Compact"/>
              <w:jc w:val="center"/>
            </w:pPr>
            <w:r>
              <w:t xml:space="preserve">142,000</w:t>
            </w:r>
          </w:p>
        </w:tc>
        <w:tc>
          <w:tcPr/>
          <w:p>
            <w:pPr>
              <w:pStyle w:val="Compact"/>
              <w:jc w:val="center"/>
            </w:pPr>
            <w:r>
              <w:t xml:space="preserve">136,500</w:t>
            </w:r>
          </w:p>
        </w:tc>
      </w:tr>
      <w:tr>
        <w:tc>
          <w:tcPr/>
          <w:p>
            <w:pPr>
              <w:pStyle w:val="Compact"/>
              <w:jc w:val="left"/>
            </w:pPr>
            <w:r>
              <w:rPr>
                <w:rFonts w:hint="eastAsia"/>
              </w:rPr>
              <w:t xml:space="preserve">在庫切れを報告した郡の数</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11</w:t>
            </w:r>
          </w:p>
        </w:tc>
      </w:tr>
    </w:tbl>
    <w:p>
      <w:pPr>
        <w:pStyle w:val="BodyText"/>
      </w:pPr>
      <w:r>
        <w:rPr>
          <w:rFonts w:hint="eastAsia"/>
        </w:rPr>
        <w:t xml:space="preserve">オルティスはスタッフに対し、死亡者数の減少から単純な結論を導かないよう注意を促した。より多くのナロキソンがオーバードーズ件数を変えないまま死亡を防いでいる可能性がある。EMS対応と病院搬送は依然として増加していた。地域からの救命報告は任意であり、ほぼ確実に不完全であった。報告される救命例が少ない郡は、必要性が低いのか、報告が不十分なのか、認知度が低いのか、地域の信頼が弱いのか、あるいは流通しているキットが少なすぎるのか、いずれの可能性もあった。</w:t>
      </w:r>
    </w:p>
    <w:bookmarkEnd w:id="11"/>
    <w:bookmarkEnd w:id="12"/>
    <w:bookmarkStart w:id="14" w:name="キットの配布先候補"/>
    <w:p>
      <w:pPr>
        <w:pStyle w:val="Heading1"/>
      </w:pPr>
      <w:r>
        <w:rPr>
          <w:rFonts w:hint="eastAsia"/>
        </w:rPr>
        <w:t xml:space="preserve">キットの配布先候補</w:t>
      </w:r>
    </w:p>
    <w:p>
      <w:pPr>
        <w:pStyle w:val="FirstParagraph"/>
      </w:pPr>
      <w:r>
        <w:rPr>
          <w:rFonts w:hint="eastAsia"/>
        </w:rPr>
        <w:t xml:space="preserve">ベルウェザー州は6つの主要な経路を通じてナロキソンを配布していた。それぞれが異なる集団に届き、異なる情報を生み出していた。救急隊員はオーバードーズ現場に迅速にキットを届けられたが、通常は911への通報の後にしか到着しなかった。ハームリダクション団体は薬物使用者やその社会的ネットワークと直接接触していたが、複数の団体は少人数のスタッフと非公式な記録で運営されていた。薬局は広範な地理的カバレッジを提供していたが、しばしば顧客が製品を要求するか薬剤師とやり取りする必要があった。</w:t>
      </w:r>
    </w:p>
    <w:p>
      <w:pPr>
        <w:pStyle w:val="BodyText"/>
      </w:pPr>
      <w:r>
        <w:rPr>
          <w:rFonts w:hint="eastAsia"/>
        </w:rPr>
        <w:t xml:space="preserve">病院や治療提供者は、退院時、特に断薬期間の後でリスクが高まっている患者にナロキソンを渡すことができた。刑務所は釈放時、耐性が低下している可能性がある時期にキットを配布できたが、参加は郡保安官によって異なっていた。フードパントリー、シェルター、図書館、信仰系団体、住宅支援団体は治療プログラムを訪れることのないかもしれない人々に届いていたが、一部の団体は、ナロキソンを目に見える形で提供することが寄付者、理事会、あるいは近隣住民との間で論争を引き起こすことを懸念していた。</w:t>
      </w:r>
    </w:p>
    <w:bookmarkStart w:id="13" w:name="図2.-36000キット出荷分への要請"/>
    <w:p>
      <w:pPr>
        <w:pStyle w:val="Heading2"/>
      </w:pPr>
      <w:r>
        <w:rPr>
          <w:rFonts w:hint="eastAsia"/>
        </w:rPr>
        <w:t xml:space="preserve">図2.</w:t>
      </w:r>
      <w:r>
        <w:t xml:space="preserve"> </w:t>
      </w:r>
      <w:r>
        <w:rPr>
          <w:rFonts w:hint="eastAsia"/>
        </w:rPr>
        <w:t xml:space="preserve">36,000キット出荷分への要請</w:t>
      </w:r>
    </w:p>
    <w:tbl>
      <w:tblPr>
        <w:tblStyle w:val="Table"/>
        <w:tblW w:type="pct" w:w="4920"/>
        <w:tblLayout w:type="fixed"/>
        <w:tblLook w:firstRow="1" w:lastRow="0" w:firstColumn="0" w:lastColumn="0" w:noHBand="0" w:noVBand="0" w:val="0020"/>
      </w:tblPr>
      <w:tblGrid>
        <w:gridCol w:w="3231"/>
        <w:gridCol w:w="1077"/>
        <w:gridCol w:w="2154"/>
        <w:gridCol w:w="1330"/>
      </w:tblGrid>
      <w:tr>
        <w:trPr>
          <w:tblHeader w:val="on"/>
        </w:trPr>
        <w:tc>
          <w:tcPr/>
          <w:p>
            <w:pPr>
              <w:pStyle w:val="Compact"/>
              <w:jc w:val="left"/>
            </w:pPr>
            <w:r>
              <w:rPr>
                <w:rFonts w:hint="eastAsia"/>
              </w:rPr>
              <w:t xml:space="preserve">配布経路</w:t>
            </w:r>
          </w:p>
        </w:tc>
        <w:tc>
          <w:tcPr/>
          <w:p>
            <w:pPr>
              <w:pStyle w:val="Compact"/>
              <w:jc w:val="center"/>
            </w:pPr>
            <w:r>
              <w:rPr>
                <w:rFonts w:hint="eastAsia"/>
              </w:rPr>
              <w:t xml:space="preserve">要請キット数</w:t>
            </w:r>
          </w:p>
        </w:tc>
        <w:tc>
          <w:tcPr/>
          <w:p>
            <w:pPr>
              <w:pStyle w:val="Compact"/>
              <w:jc w:val="center"/>
            </w:pPr>
            <w:r>
              <w:rPr>
                <w:rFonts w:hint="eastAsia"/>
              </w:rPr>
              <w:t xml:space="preserve">過去12か月の配布数</w:t>
            </w:r>
          </w:p>
        </w:tc>
        <w:tc>
          <w:tcPr/>
          <w:p>
            <w:pPr>
              <w:pStyle w:val="Compact"/>
              <w:jc w:val="right"/>
            </w:pPr>
            <w:r>
              <w:rPr>
                <w:rFonts w:hint="eastAsia"/>
              </w:rPr>
              <w:t xml:space="preserve">報告された救命例</w:t>
            </w:r>
          </w:p>
        </w:tc>
      </w:tr>
      <w:tr>
        <w:tc>
          <w:tcPr/>
          <w:p>
            <w:pPr>
              <w:pStyle w:val="Compact"/>
              <w:jc w:val="left"/>
            </w:pPr>
            <w:r>
              <w:rPr>
                <w:rFonts w:hint="eastAsia"/>
              </w:rPr>
              <w:t xml:space="preserve">ハームリダクションおよび注射器サービスプログラム</w:t>
            </w:r>
          </w:p>
        </w:tc>
        <w:tc>
          <w:tcPr/>
          <w:p>
            <w:pPr>
              <w:pStyle w:val="Compact"/>
              <w:jc w:val="center"/>
            </w:pPr>
            <w:r>
              <w:t xml:space="preserve">19,600</w:t>
            </w:r>
          </w:p>
        </w:tc>
        <w:tc>
          <w:tcPr/>
          <w:p>
            <w:pPr>
              <w:pStyle w:val="Compact"/>
              <w:jc w:val="center"/>
            </w:pPr>
            <w:r>
              <w:t xml:space="preserve">45,200</w:t>
            </w:r>
          </w:p>
        </w:tc>
        <w:tc>
          <w:tcPr/>
          <w:p>
            <w:pPr>
              <w:pStyle w:val="Compact"/>
              <w:jc w:val="right"/>
            </w:pPr>
            <w:r>
              <w:t xml:space="preserve">2,540</w:t>
            </w:r>
          </w:p>
        </w:tc>
      </w:tr>
      <w:tr>
        <w:tc>
          <w:tcPr/>
          <w:p>
            <w:pPr>
              <w:pStyle w:val="Compact"/>
              <w:jc w:val="left"/>
            </w:pPr>
            <w:r>
              <w:rPr>
                <w:rFonts w:hint="eastAsia"/>
              </w:rPr>
              <w:t xml:space="preserve">救急・消防・法執行機関</w:t>
            </w:r>
          </w:p>
        </w:tc>
        <w:tc>
          <w:tcPr/>
          <w:p>
            <w:pPr>
              <w:pStyle w:val="Compact"/>
              <w:jc w:val="center"/>
            </w:pPr>
            <w:r>
              <w:t xml:space="preserve">11,400</w:t>
            </w:r>
          </w:p>
        </w:tc>
        <w:tc>
          <w:tcPr/>
          <w:p>
            <w:pPr>
              <w:pStyle w:val="Compact"/>
              <w:jc w:val="center"/>
            </w:pPr>
            <w:r>
              <w:t xml:space="preserve">28,600</w:t>
            </w:r>
          </w:p>
        </w:tc>
        <w:tc>
          <w:tcPr/>
          <w:p>
            <w:pPr>
              <w:pStyle w:val="Compact"/>
              <w:jc w:val="right"/>
            </w:pPr>
            <w:r>
              <w:t xml:space="preserve">1,020</w:t>
            </w:r>
          </w:p>
        </w:tc>
      </w:tr>
      <w:tr>
        <w:tc>
          <w:tcPr/>
          <w:p>
            <w:pPr>
              <w:pStyle w:val="Compact"/>
              <w:jc w:val="left"/>
            </w:pPr>
            <w:r>
              <w:rPr>
                <w:rFonts w:hint="eastAsia"/>
              </w:rPr>
              <w:t xml:space="preserve">治療提供者および病院</w:t>
            </w:r>
          </w:p>
        </w:tc>
        <w:tc>
          <w:tcPr/>
          <w:p>
            <w:pPr>
              <w:pStyle w:val="Compact"/>
              <w:jc w:val="center"/>
            </w:pPr>
            <w:r>
              <w:t xml:space="preserve">9,800</w:t>
            </w:r>
          </w:p>
        </w:tc>
        <w:tc>
          <w:tcPr/>
          <w:p>
            <w:pPr>
              <w:pStyle w:val="Compact"/>
              <w:jc w:val="center"/>
            </w:pPr>
            <w:r>
              <w:t xml:space="preserve">21,500</w:t>
            </w:r>
          </w:p>
        </w:tc>
        <w:tc>
          <w:tcPr/>
          <w:p>
            <w:pPr>
              <w:pStyle w:val="Compact"/>
              <w:jc w:val="right"/>
            </w:pPr>
            <w:r>
              <w:t xml:space="preserve">310</w:t>
            </w:r>
          </w:p>
        </w:tc>
      </w:tr>
      <w:tr>
        <w:tc>
          <w:tcPr/>
          <w:p>
            <w:pPr>
              <w:pStyle w:val="Compact"/>
              <w:jc w:val="left"/>
            </w:pPr>
            <w:r>
              <w:rPr>
                <w:rFonts w:hint="eastAsia"/>
              </w:rPr>
              <w:t xml:space="preserve">薬局</w:t>
            </w:r>
          </w:p>
        </w:tc>
        <w:tc>
          <w:tcPr/>
          <w:p>
            <w:pPr>
              <w:pStyle w:val="Compact"/>
              <w:jc w:val="center"/>
            </w:pPr>
            <w:r>
              <w:t xml:space="preserve">7,200</w:t>
            </w:r>
          </w:p>
        </w:tc>
        <w:tc>
          <w:tcPr/>
          <w:p>
            <w:pPr>
              <w:pStyle w:val="Compact"/>
              <w:jc w:val="center"/>
            </w:pPr>
            <w:r>
              <w:t xml:space="preserve">16,100</w:t>
            </w:r>
          </w:p>
        </w:tc>
        <w:tc>
          <w:tcPr/>
          <w:p>
            <w:pPr>
              <w:pStyle w:val="Compact"/>
              <w:jc w:val="right"/>
            </w:pPr>
            <w:r>
              <w:t xml:space="preserve">90</w:t>
            </w:r>
          </w:p>
        </w:tc>
      </w:tr>
      <w:tr>
        <w:tc>
          <w:tcPr/>
          <w:p>
            <w:pPr>
              <w:pStyle w:val="Compact"/>
              <w:jc w:val="left"/>
            </w:pPr>
            <w:r>
              <w:rPr>
                <w:rFonts w:hint="eastAsia"/>
              </w:rPr>
              <w:t xml:space="preserve">刑務所および再入所支援プログラム</w:t>
            </w:r>
          </w:p>
        </w:tc>
        <w:tc>
          <w:tcPr/>
          <w:p>
            <w:pPr>
              <w:pStyle w:val="Compact"/>
              <w:jc w:val="center"/>
            </w:pPr>
            <w:r>
              <w:t xml:space="preserve">5,600</w:t>
            </w:r>
          </w:p>
        </w:tc>
        <w:tc>
          <w:tcPr/>
          <w:p>
            <w:pPr>
              <w:pStyle w:val="Compact"/>
              <w:jc w:val="center"/>
            </w:pPr>
            <w:r>
              <w:t xml:space="preserve">10,400</w:t>
            </w:r>
          </w:p>
        </w:tc>
        <w:tc>
          <w:tcPr/>
          <w:p>
            <w:pPr>
              <w:pStyle w:val="Compact"/>
              <w:jc w:val="right"/>
            </w:pPr>
            <w:r>
              <w:t xml:space="preserve">120</w:t>
            </w:r>
          </w:p>
        </w:tc>
      </w:tr>
      <w:tr>
        <w:tc>
          <w:tcPr/>
          <w:p>
            <w:pPr>
              <w:pStyle w:val="Compact"/>
              <w:jc w:val="left"/>
            </w:pPr>
            <w:r>
              <w:rPr>
                <w:rFonts w:hint="eastAsia"/>
              </w:rPr>
              <w:t xml:space="preserve">住宅・食料・信仰系・その他の地域団体</w:t>
            </w:r>
          </w:p>
        </w:tc>
        <w:tc>
          <w:tcPr/>
          <w:p>
            <w:pPr>
              <w:pStyle w:val="Compact"/>
              <w:jc w:val="center"/>
            </w:pPr>
            <w:r>
              <w:t xml:space="preserve">7,800</w:t>
            </w:r>
          </w:p>
        </w:tc>
        <w:tc>
          <w:tcPr/>
          <w:p>
            <w:pPr>
              <w:pStyle w:val="Compact"/>
              <w:jc w:val="center"/>
            </w:pPr>
            <w:r>
              <w:t xml:space="preserve">14,700</w:t>
            </w:r>
          </w:p>
        </w:tc>
        <w:tc>
          <w:tcPr/>
          <w:p>
            <w:pPr>
              <w:pStyle w:val="Compact"/>
              <w:jc w:val="right"/>
            </w:pPr>
            <w:r>
              <w:t xml:space="preserve">130</w:t>
            </w:r>
          </w:p>
        </w:tc>
      </w:tr>
    </w:tbl>
    <w:p>
      <w:pPr>
        <w:pStyle w:val="BodyText"/>
      </w:pPr>
      <w:r>
        <w:rPr>
          <w:rFonts w:hint="eastAsia"/>
        </w:rPr>
        <w:t xml:space="preserve">報告された救命件数は有効性の指標として解釈することはできなかった。あるキットは、オーバードーズに一度も遭遇しなかった人に配布されたかもしれないし、報告されずに成功裏に使用されたかもしれないし、紛失したり、別の人に譲渡されたり、期限切れまで保管されたりしたかもしれない。一部の団体はオーバードーズを目撃しそうな人々に積極的に配布していたが、他の団体は緊急事態に備えてキャビネットに保管していた。州は、必要とされた瞬間に即座に利用可能なキットがいくつあったのかを把握していなかった。</w:t>
      </w:r>
    </w:p>
    <w:bookmarkEnd w:id="13"/>
    <w:bookmarkEnd w:id="14"/>
    <w:bookmarkStart w:id="16" w:name="地理と入手可能性"/>
    <w:p>
      <w:pPr>
        <w:pStyle w:val="Heading1"/>
      </w:pPr>
      <w:r>
        <w:rPr>
          <w:rFonts w:hint="eastAsia"/>
        </w:rPr>
        <w:t xml:space="preserve">地理と入手可能性</w:t>
      </w:r>
    </w:p>
    <w:p>
      <w:pPr>
        <w:pStyle w:val="FirstParagraph"/>
      </w:pPr>
      <w:r>
        <w:rPr>
          <w:rFonts w:hint="eastAsia"/>
        </w:rPr>
        <w:t xml:space="preserve">州の42の郡は大きく異なっていた。都市部の地区ではオーバードーズが集中し、確立されたアウトリーチチーム、公共交通機関、複数の薬局が存在していた。農村部の郡は交通手段が限られた広大な地域をカバーし、EMSの対応時間が長かった。いくつかの部族コミュニティは独自の保健・公安プログラムを運営しており、郡政府を通じてキットを受け取るのではなく、直接の配分を求めていた。季節労働者や仮設居住地に住む人々は地域間を移動し、居住地に基づく比較を弱めていた。</w:t>
      </w:r>
    </w:p>
    <w:bookmarkStart w:id="15" w:name="図3.-選定された地域の状況"/>
    <w:p>
      <w:pPr>
        <w:pStyle w:val="Heading2"/>
      </w:pPr>
      <w:r>
        <w:rPr>
          <w:rFonts w:hint="eastAsia"/>
        </w:rPr>
        <w:t xml:space="preserve">図3.</w:t>
      </w:r>
      <w:r>
        <w:t xml:space="preserve"> </w:t>
      </w:r>
      <w:r>
        <w:rPr>
          <w:rFonts w:hint="eastAsia"/>
        </w:rPr>
        <w:t xml:space="preserve">選定された地域の状況</w:t>
      </w:r>
    </w:p>
    <w:tbl>
      <w:tblPr>
        <w:tblStyle w:val="Table"/>
        <w:tblW w:type="pct" w:w="4915"/>
        <w:tblLayout w:type="fixed"/>
        <w:tblLook w:firstRow="1" w:lastRow="0" w:firstColumn="0" w:lastColumn="0" w:noHBand="0" w:noVBand="0" w:val="0020"/>
      </w:tblPr>
      <w:tblGrid>
        <w:gridCol w:w="1946"/>
        <w:gridCol w:w="872"/>
        <w:gridCol w:w="2013"/>
        <w:gridCol w:w="1476"/>
        <w:gridCol w:w="1476"/>
      </w:tblGrid>
      <w:tr>
        <w:trPr>
          <w:tblHeader w:val="on"/>
        </w:trPr>
        <w:tc>
          <w:tcPr/>
          <w:p>
            <w:pPr>
              <w:pStyle w:val="Compact"/>
              <w:jc w:val="left"/>
            </w:pPr>
            <w:r>
              <w:rPr>
                <w:rFonts w:hint="eastAsia"/>
              </w:rPr>
              <w:t xml:space="preserve">地域</w:t>
            </w:r>
          </w:p>
        </w:tc>
        <w:tc>
          <w:tcPr/>
          <w:p>
            <w:pPr>
              <w:pStyle w:val="Compact"/>
              <w:jc w:val="center"/>
            </w:pPr>
            <w:r>
              <w:rPr>
                <w:rFonts w:hint="eastAsia"/>
              </w:rPr>
              <w:t xml:space="preserve">人口</w:t>
            </w:r>
          </w:p>
        </w:tc>
        <w:tc>
          <w:tcPr/>
          <w:p>
            <w:pPr>
              <w:pStyle w:val="Compact"/>
              <w:jc w:val="right"/>
            </w:pPr>
            <w:r>
              <w:rPr>
                <w:rFonts w:hint="eastAsia"/>
              </w:rPr>
              <w:t xml:space="preserve">人口10万人あたりの致死的オーバ</w:t>
            </w:r>
          </w:p>
        </w:tc>
        <w:tc>
          <w:tcPr/>
          <w:p>
            <w:pPr>
              <w:pStyle w:val="Compact"/>
            </w:pPr>
            <w:r>
              <w:t xml:space="preserve">ードーズ </w:t>
            </w:r>
            <w:r>
              <w:rPr>
                <w:rFonts w:hint="eastAsia"/>
              </w:rPr>
              <w:t xml:space="preserve">EMS対応時間</w:t>
            </w:r>
          </w:p>
        </w:tc>
        <w:tc>
          <w:tcPr/>
          <w:p>
            <w:pPr>
              <w:pStyle w:val="Compact"/>
            </w:pPr>
            <w:r>
              <w:rPr>
                <w:rFonts w:hint="eastAsia"/>
              </w:rPr>
              <w:t xml:space="preserve">の中央値</w:t>
            </w:r>
            <w:r>
              <w:t xml:space="preserve"> </w:t>
            </w:r>
            <w:r>
              <w:rPr>
                <w:rFonts w:hint="eastAsia"/>
              </w:rPr>
              <w:t xml:space="preserve">パートナー在庫</w:t>
            </w:r>
          </w:p>
        </w:tc>
      </w:tr>
      <w:tr>
        <w:tc>
          <w:tcPr/>
          <w:p>
            <w:pPr>
              <w:pStyle w:val="Compact"/>
              <w:jc w:val="left"/>
            </w:pPr>
            <w:r>
              <w:rPr>
                <w:rFonts w:hint="eastAsia"/>
              </w:rPr>
              <w:t xml:space="preserve">州都中心部</w:t>
            </w:r>
          </w:p>
        </w:tc>
        <w:tc>
          <w:tcPr/>
          <w:p>
            <w:pPr>
              <w:pStyle w:val="Compact"/>
              <w:jc w:val="center"/>
            </w:pPr>
            <w:r>
              <w:t xml:space="preserve">740,000</w:t>
            </w:r>
          </w:p>
        </w:tc>
        <w:tc>
          <w:tcPr/>
          <w:p>
            <w:pPr>
              <w:pStyle w:val="Compact"/>
              <w:jc w:val="right"/>
            </w:pPr>
            <w:r>
              <w:t xml:space="preserve">31</w:t>
            </w:r>
          </w:p>
        </w:tc>
        <w:tc>
          <w:tcPr/>
          <w:p>
            <w:pPr>
              <w:pStyle w:val="Compact"/>
            </w:pPr>
            <w:r>
              <w:rPr>
                <w:rFonts w:hint="eastAsia"/>
              </w:rPr>
              <w:t xml:space="preserve">7分</w:t>
            </w:r>
          </w:p>
        </w:tc>
        <w:tc>
          <w:tcPr/>
          <w:p>
            <w:pPr>
              <w:pStyle w:val="Compact"/>
            </w:pPr>
            <w:r>
              <w:rPr>
                <w:rFonts w:hint="eastAsia"/>
              </w:rPr>
              <w:t xml:space="preserve">18日</w:t>
            </w:r>
          </w:p>
        </w:tc>
      </w:tr>
      <w:tr>
        <w:tc>
          <w:tcPr/>
          <w:p>
            <w:pPr>
              <w:pStyle w:val="Compact"/>
              <w:jc w:val="left"/>
            </w:pPr>
            <w:r>
              <w:rPr>
                <w:rFonts w:hint="eastAsia"/>
              </w:rPr>
              <w:t xml:space="preserve">東部都市回廊</w:t>
            </w:r>
          </w:p>
        </w:tc>
        <w:tc>
          <w:tcPr/>
          <w:p>
            <w:pPr>
              <w:pStyle w:val="Compact"/>
              <w:jc w:val="center"/>
            </w:pPr>
            <w:r>
              <w:t xml:space="preserve">510,000</w:t>
            </w:r>
          </w:p>
        </w:tc>
        <w:tc>
          <w:tcPr/>
          <w:p>
            <w:pPr>
              <w:pStyle w:val="Compact"/>
              <w:jc w:val="right"/>
            </w:pPr>
            <w:r>
              <w:t xml:space="preserve">44</w:t>
            </w:r>
          </w:p>
        </w:tc>
        <w:tc>
          <w:tcPr/>
          <w:p>
            <w:pPr>
              <w:pStyle w:val="Compact"/>
            </w:pPr>
            <w:r>
              <w:rPr>
                <w:rFonts w:hint="eastAsia"/>
              </w:rPr>
              <w:t xml:space="preserve">9分</w:t>
            </w:r>
          </w:p>
        </w:tc>
        <w:tc>
          <w:tcPr/>
          <w:p>
            <w:pPr>
              <w:pStyle w:val="Compact"/>
            </w:pPr>
            <w:r>
              <w:rPr>
                <w:rFonts w:hint="eastAsia"/>
              </w:rPr>
              <w:t xml:space="preserve">6日</w:t>
            </w:r>
          </w:p>
        </w:tc>
      </w:tr>
      <w:tr>
        <w:tc>
          <w:tcPr/>
          <w:p>
            <w:pPr>
              <w:pStyle w:val="Compact"/>
              <w:jc w:val="left"/>
            </w:pPr>
            <w:r>
              <w:rPr>
                <w:rFonts w:hint="eastAsia"/>
              </w:rPr>
              <w:t xml:space="preserve">北部工業地帯</w:t>
            </w:r>
          </w:p>
        </w:tc>
        <w:tc>
          <w:tcPr/>
          <w:p>
            <w:pPr>
              <w:pStyle w:val="Compact"/>
              <w:jc w:val="center"/>
            </w:pPr>
            <w:r>
              <w:t xml:space="preserve">430,000</w:t>
            </w:r>
          </w:p>
        </w:tc>
        <w:tc>
          <w:tcPr/>
          <w:p>
            <w:pPr>
              <w:pStyle w:val="Compact"/>
              <w:jc w:val="right"/>
            </w:pPr>
            <w:r>
              <w:t xml:space="preserve">39</w:t>
            </w:r>
          </w:p>
        </w:tc>
        <w:tc>
          <w:tcPr/>
          <w:p>
            <w:pPr>
              <w:pStyle w:val="Compact"/>
            </w:pPr>
            <w:r>
              <w:rPr>
                <w:rFonts w:hint="eastAsia"/>
              </w:rPr>
              <w:t xml:space="preserve">12分</w:t>
            </w:r>
          </w:p>
        </w:tc>
        <w:tc>
          <w:tcPr/>
          <w:p>
            <w:pPr>
              <w:pStyle w:val="Compact"/>
            </w:pPr>
            <w:r>
              <w:rPr>
                <w:rFonts w:hint="eastAsia"/>
              </w:rPr>
              <w:t xml:space="preserve">9日</w:t>
            </w:r>
          </w:p>
        </w:tc>
      </w:tr>
      <w:tr>
        <w:tc>
          <w:tcPr/>
          <w:p>
            <w:pPr>
              <w:pStyle w:val="Compact"/>
              <w:jc w:val="left"/>
            </w:pPr>
            <w:r>
              <w:rPr>
                <w:rFonts w:hint="eastAsia"/>
              </w:rPr>
              <w:t xml:space="preserve">西部農村部の郡</w:t>
            </w:r>
          </w:p>
        </w:tc>
        <w:tc>
          <w:tcPr/>
          <w:p>
            <w:pPr>
              <w:pStyle w:val="Compact"/>
              <w:jc w:val="center"/>
            </w:pPr>
            <w:r>
              <w:t xml:space="preserve">265,000</w:t>
            </w:r>
          </w:p>
        </w:tc>
        <w:tc>
          <w:tcPr/>
          <w:p>
            <w:pPr>
              <w:pStyle w:val="Compact"/>
              <w:jc w:val="right"/>
            </w:pPr>
            <w:r>
              <w:t xml:space="preserve">36</w:t>
            </w:r>
          </w:p>
        </w:tc>
        <w:tc>
          <w:tcPr/>
          <w:p>
            <w:pPr>
              <w:pStyle w:val="Compact"/>
            </w:pPr>
            <w:r>
              <w:rPr>
                <w:rFonts w:hint="eastAsia"/>
              </w:rPr>
              <w:t xml:space="preserve">24分</w:t>
            </w:r>
          </w:p>
        </w:tc>
        <w:tc>
          <w:tcPr/>
          <w:p>
            <w:pPr>
              <w:pStyle w:val="Compact"/>
            </w:pPr>
            <w:r>
              <w:rPr>
                <w:rFonts w:hint="eastAsia"/>
              </w:rPr>
              <w:t xml:space="preserve">3日</w:t>
            </w:r>
          </w:p>
        </w:tc>
      </w:tr>
      <w:tr>
        <w:tc>
          <w:tcPr/>
          <w:p>
            <w:pPr>
              <w:pStyle w:val="Compact"/>
              <w:jc w:val="left"/>
            </w:pPr>
            <w:r>
              <w:rPr>
                <w:rFonts w:hint="eastAsia"/>
              </w:rPr>
              <w:t xml:space="preserve">山岳・部族地域</w:t>
            </w:r>
          </w:p>
        </w:tc>
        <w:tc>
          <w:tcPr/>
          <w:p>
            <w:pPr>
              <w:pStyle w:val="Compact"/>
              <w:jc w:val="center"/>
            </w:pPr>
            <w:r>
              <w:t xml:space="preserve">148,000</w:t>
            </w:r>
          </w:p>
        </w:tc>
        <w:tc>
          <w:tcPr/>
          <w:p>
            <w:pPr>
              <w:pStyle w:val="Compact"/>
              <w:jc w:val="right"/>
            </w:pPr>
            <w:r>
              <w:t xml:space="preserve">47</w:t>
            </w:r>
          </w:p>
        </w:tc>
        <w:tc>
          <w:tcPr/>
          <w:p>
            <w:pPr>
              <w:pStyle w:val="Compact"/>
            </w:pPr>
            <w:r>
              <w:rPr>
                <w:rFonts w:hint="eastAsia"/>
              </w:rPr>
              <w:t xml:space="preserve">31分</w:t>
            </w:r>
          </w:p>
        </w:tc>
        <w:tc>
          <w:tcPr/>
          <w:p>
            <w:pPr>
              <w:pStyle w:val="Compact"/>
            </w:pPr>
            <w:r>
              <w:rPr>
                <w:rFonts w:hint="eastAsia"/>
              </w:rPr>
              <w:t xml:space="preserve">5日</w:t>
            </w:r>
          </w:p>
        </w:tc>
      </w:tr>
      <w:tr>
        <w:tc>
          <w:tcPr/>
          <w:p>
            <w:pPr>
              <w:pStyle w:val="Compact"/>
              <w:jc w:val="left"/>
            </w:pPr>
            <w:r>
              <w:rPr>
                <w:rFonts w:hint="eastAsia"/>
              </w:rPr>
              <w:t xml:space="preserve">南部郊外</w:t>
            </w:r>
          </w:p>
        </w:tc>
        <w:tc>
          <w:tcPr/>
          <w:p>
            <w:pPr>
              <w:pStyle w:val="Compact"/>
              <w:jc w:val="center"/>
            </w:pPr>
            <w:r>
              <w:t xml:space="preserve">620,000</w:t>
            </w:r>
          </w:p>
        </w:tc>
        <w:tc>
          <w:tcPr/>
          <w:p>
            <w:pPr>
              <w:pStyle w:val="Compact"/>
              <w:jc w:val="right"/>
            </w:pPr>
            <w:r>
              <w:t xml:space="preserve">18</w:t>
            </w:r>
          </w:p>
        </w:tc>
        <w:tc>
          <w:tcPr/>
          <w:p>
            <w:pPr>
              <w:pStyle w:val="Compact"/>
            </w:pPr>
            <w:r>
              <w:rPr>
                <w:rFonts w:hint="eastAsia"/>
              </w:rPr>
              <w:t xml:space="preserve">10分</w:t>
            </w:r>
          </w:p>
        </w:tc>
        <w:tc>
          <w:tcPr/>
          <w:p>
            <w:pPr>
              <w:pStyle w:val="Compact"/>
            </w:pPr>
            <w:r>
              <w:rPr>
                <w:rFonts w:hint="eastAsia"/>
              </w:rPr>
              <w:t xml:space="preserve">34日</w:t>
            </w:r>
          </w:p>
        </w:tc>
      </w:tr>
    </w:tbl>
    <w:p>
      <w:pPr>
        <w:pStyle w:val="BodyText"/>
      </w:pPr>
      <w:r>
        <w:rPr>
          <w:rFonts w:hint="eastAsia"/>
        </w:rPr>
        <w:t xml:space="preserve">疫学チームは、直近のオーバードーズによる死亡数、非致死的なEMS対応、人口に応じてキットを配分することを提案した。農村保健のスタッフは、公式の集計は遅れがあり、長い移動時間により地域社会での保有が特に重要になると反論した。州都のハームリダクション連合は、すでに在庫を配布し尽くしたことを理由に高処理量のプログラムが不利益を被るべきではないと主張した。ある郊外の郡は2,000個のキットを返還すると申し出たが、60日以内の補充を州が保証することを条件とした。</w:t>
      </w:r>
    </w:p>
    <w:bookmarkEnd w:id="15"/>
    <w:bookmarkEnd w:id="16"/>
    <w:bookmarkStart w:id="17" w:name="訓練意識信頼"/>
    <w:p>
      <w:pPr>
        <w:pStyle w:val="Heading1"/>
      </w:pPr>
      <w:r>
        <w:rPr>
          <w:rFonts w:hint="eastAsia"/>
        </w:rPr>
        <w:t xml:space="preserve">訓練、意識、信頼</w:t>
      </w:r>
    </w:p>
    <w:p>
      <w:pPr>
        <w:pStyle w:val="FirstParagraph"/>
      </w:pPr>
      <w:r>
        <w:rPr>
          <w:rFonts w:hint="eastAsia"/>
        </w:rPr>
        <w:t xml:space="preserve">キットを所持していても使用が保証されるわけではなかった。一部の受け手は、ナロキソンを投与すると蘇生させられた本人を怒らせるのではないかと懸念していた。他の人々は警察の関与を恐れたり、呼吸の遅さをオーバードーズと認識しなかったりした。新たな混入物質は、オピオイドが同時に存在する場合でも、ナロキソンが完全には反転させない症状を引き起こす可能性があった。保健当局は、追加投与と緊急医療措置がなお必要になり得ることを強調した。</w:t>
      </w:r>
    </w:p>
    <w:p>
      <w:pPr>
        <w:pStyle w:val="BodyText"/>
      </w:pPr>
      <w:r>
        <w:rPr>
          <w:rFonts w:hint="eastAsia"/>
        </w:rPr>
        <w:t xml:space="preserve">ベルウェザーの標準訓練は45分間であった。アウトリーチパートナーは、10分間のデモンストレーションとQRコード付きカードを使えばより多くのキットを配布できると述べた。医療ディレクターは、救助呼吸、追加投与、911への通報を扱うより長い訓練を好んだ。広報部門は州全体の広告キャンペーンを提案し、一方で郡パートナーは薬物使用者から信頼されている地域のピア教育者への資金提供を求めていた。</w:t>
      </w:r>
    </w:p>
    <w:bookmarkEnd w:id="17"/>
    <w:bookmarkStart w:id="19" w:name="資金の制約"/>
    <w:p>
      <w:pPr>
        <w:pStyle w:val="Heading1"/>
      </w:pPr>
      <w:r>
        <w:rPr>
          <w:rFonts w:hint="eastAsia"/>
        </w:rPr>
        <w:t xml:space="preserve">資金の制約</w:t>
      </w:r>
    </w:p>
    <w:p>
      <w:pPr>
        <w:pStyle w:val="FirstParagraph"/>
      </w:pPr>
      <w:r>
        <w:rPr>
          <w:rFonts w:hint="eastAsia"/>
        </w:rPr>
        <w:t xml:space="preserve">連邦の州オピオイド対応プログラムは、ベルウェザーのオーバードーズ対策事業を支える外部の最大の資金源であり続けていた。2025年9月に発表された全国継続助成には、州オピオイド対応向けの14.8億ドルと、部族オピオイド対応向けの約6300万ドルが含まれていた。ベルウェザーへの助成金は、ナロキソン、治療、予防、ハームリダクション、回復支援サービスを支えていたが、支出は承認された計画と報告カテゴリーに合致していなければならなかった。</w:t>
      </w:r>
    </w:p>
    <w:p>
      <w:pPr>
        <w:pStyle w:val="BodyText"/>
      </w:pPr>
      <w:r>
        <w:rPr>
          <w:rFonts w:hint="eastAsia"/>
        </w:rPr>
        <w:t xml:space="preserve">州議会は倉庫スタッフ、調達、データシステムの一部を財源として賄っていた。オピオイド和解金は複数の郡プログラムを支えていたが、許容される用途と承認スケジュールは異なっていた。ある病院財団は薬局での配布と公衆教育に対して100万ドルを提供すると申し出たが、注射器サービスプログラムには使えなかった。別の寄付者は、訓練を受けた人数と住民に直接手渡されたキット数を州が記録することを条件に、農村部の移動式アウトリーチのみを支援するとした。</w:t>
      </w:r>
    </w:p>
    <w:bookmarkStart w:id="18" w:name="図4.-検討中のオーバードーズ予防資金"/>
    <w:p>
      <w:pPr>
        <w:pStyle w:val="Heading2"/>
      </w:pPr>
      <w:r>
        <w:rPr>
          <w:rFonts w:hint="eastAsia"/>
        </w:rPr>
        <w:t xml:space="preserve">図4.</w:t>
      </w:r>
      <w:r>
        <w:t xml:space="preserve"> </w:t>
      </w:r>
      <w:r>
        <w:rPr>
          <w:rFonts w:hint="eastAsia"/>
        </w:rPr>
        <w:t xml:space="preserve">検討中のオーバードーズ予防資金</w:t>
      </w:r>
    </w:p>
    <w:tbl>
      <w:tblPr>
        <w:tblStyle w:val="Table"/>
        <w:tblW w:type="pct" w:w="4928"/>
        <w:tblLayout w:type="fixed"/>
        <w:tblLook w:firstRow="1" w:lastRow="0" w:firstColumn="0" w:lastColumn="0" w:noHBand="0" w:noVBand="0" w:val="0020"/>
      </w:tblPr>
      <w:tblGrid>
        <w:gridCol w:w="2108"/>
        <w:gridCol w:w="1025"/>
        <w:gridCol w:w="4672"/>
      </w:tblGrid>
      <w:tr>
        <w:trPr>
          <w:tblHeader w:val="on"/>
        </w:trPr>
        <w:tc>
          <w:tcPr/>
          <w:p>
            <w:pPr>
              <w:pStyle w:val="Compact"/>
              <w:jc w:val="left"/>
            </w:pPr>
            <w:r>
              <w:rPr>
                <w:rFonts w:hint="eastAsia"/>
              </w:rPr>
              <w:t xml:space="preserve">資金源</w:t>
            </w:r>
          </w:p>
        </w:tc>
        <w:tc>
          <w:tcPr/>
          <w:p>
            <w:pPr>
              <w:pStyle w:val="Compact"/>
              <w:jc w:val="center"/>
            </w:pPr>
            <w:r>
              <w:rPr>
                <w:rFonts w:hint="eastAsia"/>
              </w:rPr>
              <w:t xml:space="preserve">予定額</w:t>
            </w:r>
          </w:p>
        </w:tc>
        <w:tc>
          <w:tcPr/>
          <w:p>
            <w:pPr>
              <w:pStyle w:val="Compact"/>
              <w:jc w:val="left"/>
            </w:pPr>
            <w:r>
              <w:rPr>
                <w:rFonts w:hint="eastAsia"/>
              </w:rPr>
              <w:t xml:space="preserve">時期／制約</w:t>
            </w:r>
          </w:p>
        </w:tc>
      </w:tr>
      <w:tr>
        <w:tc>
          <w:tcPr/>
          <w:p>
            <w:pPr>
              <w:pStyle w:val="Compact"/>
              <w:jc w:val="left"/>
            </w:pPr>
            <w:r>
              <w:rPr>
                <w:rFonts w:hint="eastAsia"/>
              </w:rPr>
              <w:t xml:space="preserve">連邦オピオイド対応助成金</w:t>
            </w:r>
          </w:p>
        </w:tc>
        <w:tc>
          <w:tcPr/>
          <w:p>
            <w:pPr>
              <w:pStyle w:val="Compact"/>
              <w:jc w:val="center"/>
            </w:pPr>
            <w:r>
              <w:rPr>
                <w:rFonts w:hint="eastAsia"/>
              </w:rPr>
              <w:t xml:space="preserve">2840万ドル</w:t>
            </w:r>
          </w:p>
        </w:tc>
        <w:tc>
          <w:tcPr/>
          <w:p>
            <w:pPr>
              <w:pStyle w:val="Compact"/>
              <w:jc w:val="left"/>
            </w:pPr>
            <w:r>
              <w:rPr>
                <w:rFonts w:hint="eastAsia"/>
              </w:rPr>
              <w:t xml:space="preserve">年次助成金。承認された予防・治療・ハームリダクション・回復計画に基づく</w:t>
            </w:r>
          </w:p>
        </w:tc>
      </w:tr>
      <w:tr>
        <w:tc>
          <w:tcPr/>
          <w:p>
            <w:pPr>
              <w:pStyle w:val="Compact"/>
              <w:jc w:val="left"/>
            </w:pPr>
            <w:r>
              <w:rPr>
                <w:rFonts w:hint="eastAsia"/>
              </w:rPr>
              <w:t xml:space="preserve">州一般会計</w:t>
            </w:r>
          </w:p>
        </w:tc>
        <w:tc>
          <w:tcPr/>
          <w:p>
            <w:pPr>
              <w:pStyle w:val="Compact"/>
              <w:jc w:val="center"/>
            </w:pPr>
            <w:r>
              <w:rPr>
                <w:rFonts w:hint="eastAsia"/>
              </w:rPr>
              <w:t xml:space="preserve">960万ドル</w:t>
            </w:r>
          </w:p>
        </w:tc>
        <w:tc>
          <w:tcPr/>
          <w:p>
            <w:pPr>
              <w:pStyle w:val="Compact"/>
              <w:jc w:val="left"/>
            </w:pPr>
            <w:r>
              <w:rPr>
                <w:rFonts w:hint="eastAsia"/>
              </w:rPr>
              <w:t xml:space="preserve">3か月分のつなぎ予算が成立。残額は予算交渉次第</w:t>
            </w:r>
          </w:p>
        </w:tc>
      </w:tr>
      <w:tr>
        <w:tc>
          <w:tcPr/>
          <w:p>
            <w:pPr>
              <w:pStyle w:val="Compact"/>
              <w:jc w:val="left"/>
            </w:pPr>
            <w:r>
              <w:rPr>
                <w:rFonts w:hint="eastAsia"/>
              </w:rPr>
              <w:t xml:space="preserve">オピオイド和解金の配分</w:t>
            </w:r>
          </w:p>
        </w:tc>
        <w:tc>
          <w:tcPr/>
          <w:p>
            <w:pPr>
              <w:pStyle w:val="Compact"/>
              <w:jc w:val="center"/>
            </w:pPr>
            <w:r>
              <w:rPr>
                <w:rFonts w:hint="eastAsia"/>
              </w:rPr>
              <w:t xml:space="preserve">780万ドル</w:t>
            </w:r>
          </w:p>
        </w:tc>
        <w:tc>
          <w:tcPr/>
          <w:p>
            <w:pPr>
              <w:pStyle w:val="Compact"/>
              <w:jc w:val="left"/>
            </w:pPr>
            <w:r>
              <w:rPr>
                <w:rFonts w:hint="eastAsia"/>
              </w:rPr>
              <w:t xml:space="preserve">郡および州の承認が必要。複数年にわたるが不均一な放出スケジュール</w:t>
            </w:r>
          </w:p>
        </w:tc>
      </w:tr>
      <w:tr>
        <w:tc>
          <w:tcPr/>
          <w:p>
            <w:pPr>
              <w:pStyle w:val="Compact"/>
              <w:jc w:val="left"/>
            </w:pPr>
            <w:r>
              <w:rPr>
                <w:rFonts w:hint="eastAsia"/>
              </w:rPr>
              <w:t xml:space="preserve">病院財団</w:t>
            </w:r>
          </w:p>
        </w:tc>
        <w:tc>
          <w:tcPr/>
          <w:p>
            <w:pPr>
              <w:pStyle w:val="Compact"/>
              <w:jc w:val="center"/>
            </w:pPr>
            <w:r>
              <w:rPr>
                <w:rFonts w:hint="eastAsia"/>
              </w:rPr>
              <w:t xml:space="preserve">100万ドル</w:t>
            </w:r>
            <w:r>
              <w:t xml:space="preserve"> </w:t>
            </w:r>
            <w:r>
              <w:rPr>
                <w:rFonts w:hint="eastAsia"/>
              </w:rPr>
              <w:t xml:space="preserve">薬</w:t>
            </w:r>
          </w:p>
        </w:tc>
        <w:tc>
          <w:tcPr/>
          <w:p>
            <w:pPr>
              <w:pStyle w:val="Compact"/>
              <w:jc w:val="left"/>
            </w:pPr>
            <w:r>
              <w:rPr>
                <w:rFonts w:hint="eastAsia"/>
              </w:rPr>
              <w:t xml:space="preserve">局へのアクセスと公衆教育のみ</w:t>
            </w:r>
          </w:p>
        </w:tc>
      </w:tr>
      <w:tr>
        <w:tc>
          <w:tcPr/>
          <w:p>
            <w:pPr>
              <w:pStyle w:val="Compact"/>
              <w:jc w:val="left"/>
            </w:pPr>
            <w:r>
              <w:rPr>
                <w:rFonts w:hint="eastAsia"/>
              </w:rPr>
              <w:t xml:space="preserve">農村部寄付者連合</w:t>
            </w:r>
          </w:p>
        </w:tc>
        <w:tc>
          <w:tcPr/>
          <w:p>
            <w:pPr>
              <w:pStyle w:val="Compact"/>
              <w:jc w:val="center"/>
            </w:pPr>
            <w:r>
              <w:rPr>
                <w:rFonts w:hint="eastAsia"/>
              </w:rPr>
              <w:t xml:space="preserve">70万ドル</w:t>
            </w:r>
          </w:p>
        </w:tc>
        <w:tc>
          <w:tcPr/>
          <w:p>
            <w:pPr>
              <w:pStyle w:val="Compact"/>
              <w:jc w:val="left"/>
            </w:pPr>
            <w:r>
              <w:rPr>
                <w:rFonts w:hint="eastAsia"/>
              </w:rPr>
              <w:t xml:space="preserve">移動式アウトリーチ。個人単位の活動報告を要求</w:t>
            </w:r>
          </w:p>
        </w:tc>
      </w:tr>
      <w:tr>
        <w:tc>
          <w:tcPr/>
          <w:p>
            <w:pPr>
              <w:pStyle w:val="Compact"/>
              <w:jc w:val="left"/>
            </w:pPr>
            <w:r>
              <w:rPr>
                <w:rFonts w:hint="eastAsia"/>
              </w:rPr>
              <w:t xml:space="preserve">メディケイドおよび保険者からの償還</w:t>
            </w:r>
          </w:p>
        </w:tc>
        <w:tc>
          <w:tcPr/>
          <w:p>
            <w:pPr>
              <w:pStyle w:val="Compact"/>
              <w:jc w:val="center"/>
            </w:pPr>
            <w:r>
              <w:rPr>
                <w:rFonts w:hint="eastAsia"/>
              </w:rPr>
              <w:t xml:space="preserve">230万ドル</w:t>
            </w:r>
          </w:p>
        </w:tc>
        <w:tc>
          <w:tcPr/>
          <w:p>
            <w:pPr>
              <w:pStyle w:val="Compact"/>
              <w:jc w:val="left"/>
            </w:pPr>
            <w:r>
              <w:rPr>
                <w:rFonts w:hint="eastAsia"/>
              </w:rPr>
              <w:t xml:space="preserve">主に治療サービス向け。地域配布への支援は限定的</w:t>
            </w:r>
          </w:p>
        </w:tc>
      </w:tr>
    </w:tbl>
    <w:p>
      <w:pPr>
        <w:pStyle w:val="BodyText"/>
      </w:pPr>
      <w:r>
        <w:rPr>
          <w:rFonts w:hint="eastAsia"/>
        </w:rPr>
        <w:t xml:space="preserve">財務スタッフは、36,000個のキット、訓練資料、輸送費、取扱費用で134万ドルかかると見積もった。同局は四半期末までに訓練と広報にさらに41万ドルを支出できた。より多くのピア教育者に資金を提供すれば、広告やデータ収集に充てられる金額が減ることになる。将来の緊急事態に備えてキットを確保しておけば急増に対する備えにはなるが、現在の要請は満たされないままとなる。</w:t>
      </w:r>
    </w:p>
    <w:bookmarkEnd w:id="18"/>
    <w:bookmarkEnd w:id="19"/>
    <w:bookmarkStart w:id="21" w:name="つの提案"/>
    <w:p>
      <w:pPr>
        <w:pStyle w:val="Heading1"/>
      </w:pPr>
      <w:r>
        <w:rPr>
          <w:rFonts w:hint="eastAsia"/>
        </w:rPr>
        <w:t xml:space="preserve">4つの提案</w:t>
      </w:r>
    </w:p>
    <w:p>
      <w:pPr>
        <w:pStyle w:val="FirstParagraph"/>
      </w:pPr>
      <w:r>
        <w:rPr>
          <w:rFonts w:hint="eastAsia"/>
        </w:rPr>
        <w:t xml:space="preserve">金曜日の午後までに、オルティスのチームは4つの提案をまとめたが、そのいずれもすべての懸念に対応するものではなかった。</w:t>
      </w:r>
    </w:p>
    <w:p>
      <w:pPr>
        <w:pStyle w:val="BodyText"/>
      </w:pPr>
      <w:r>
        <w:rPr>
          <w:rFonts w:hint="eastAsia"/>
        </w:rPr>
        <w:t xml:space="preserve">提案A：現在の負荷に従う。直近のオーバードーズ件数が最も多く、配布速度が最も速い郡と団体に大部分のキットを配分する。この方式は迅速な流通を実現するが、既存の地理的・組織的優位性を強化しかねない。</w:t>
      </w:r>
    </w:p>
    <w:p>
      <w:pPr>
        <w:pStyle w:val="BodyText"/>
      </w:pPr>
      <w:r>
        <w:rPr>
          <w:rFonts w:hint="eastAsia"/>
        </w:rPr>
        <w:t xml:space="preserve">提案B：入手可能性の格差を守る。EMSの対応が遅い、あるいは代替手段の少ない農村部の郡、部族プログラム、刑務所、シェルター、その他の場所を優先する。この計画は公平性と入手可能性を改善するかもしれないが、一部の受け手は訓練、配布、報告を行う能力が限られていた。</w:t>
      </w:r>
    </w:p>
    <w:p>
      <w:pPr>
        <w:pStyle w:val="BodyText"/>
      </w:pPr>
      <w:r>
        <w:rPr>
          <w:rFonts w:hint="eastAsia"/>
        </w:rPr>
        <w:t xml:space="preserve">提案C：即応性のある備蓄を構築する。27,000個のキットを即座に配布し、9,000個を郡の在庫切れ、新興のホットスポット、大規模公共イベント、薬物供給の変化に備えて保持する。パートナーは、倉庫にあるキットはオーバードーズを反転させられないと主張し、オルティスはすべてを配布してしまうと新たな情報に対応できなくなることを懸念した。</w:t>
      </w:r>
    </w:p>
    <w:p>
      <w:pPr>
        <w:pStyle w:val="BodyText"/>
      </w:pPr>
      <w:r>
        <w:rPr>
          <w:rFonts w:hint="eastAsia"/>
        </w:rPr>
        <w:t xml:space="preserve">提案D：キットを学習に結びつける。選定されたパートナーに対し、配布場所、受け手の種類、訓練方法、補充要請、報告された使用状況を記録することを求める。州はその後、各手法を比較し、次の出荷分を最も効果的と見られるものへとシフトさせる。小規模団体は、報告の追加が配布を遅らせ、匿名を望む受け手を遠ざけ、より良いアクセスを持つプログラムよりも管理体制の整ったプログラムを優遇することになりかねないと警告した。</w:t>
      </w:r>
    </w:p>
    <w:bookmarkStart w:id="20" w:name="図5.-代替配分案の計画上の帰結"/>
    <w:p>
      <w:pPr>
        <w:pStyle w:val="Heading2"/>
      </w:pPr>
      <w:r>
        <w:rPr>
          <w:rFonts w:hint="eastAsia"/>
        </w:rPr>
        <w:t xml:space="preserve">図5.</w:t>
      </w:r>
      <w:r>
        <w:t xml:space="preserve"> </w:t>
      </w:r>
      <w:r>
        <w:rPr>
          <w:rFonts w:hint="eastAsia"/>
        </w:rPr>
        <w:t xml:space="preserve">代替配分案の計画上の帰結</w:t>
      </w:r>
    </w:p>
    <w:tbl>
      <w:tblPr>
        <w:tblStyle w:val="Table"/>
        <w:tblW w:type="pct" w:w="4923"/>
        <w:tblLayout w:type="fixed"/>
        <w:tblLook w:firstRow="1" w:lastRow="0" w:firstColumn="0" w:lastColumn="0" w:noHBand="0" w:noVBand="0" w:val="0020"/>
      </w:tblPr>
      <w:tblGrid>
        <w:gridCol w:w="1523"/>
        <w:gridCol w:w="1401"/>
        <w:gridCol w:w="609"/>
        <w:gridCol w:w="1644"/>
        <w:gridCol w:w="2619"/>
      </w:tblGrid>
      <w:tr>
        <w:trPr>
          <w:tblHeader w:val="on"/>
        </w:trPr>
        <w:tc>
          <w:tcPr/>
          <w:p>
            <w:pPr>
              <w:pStyle w:val="Compact"/>
              <w:jc w:val="left"/>
            </w:pPr>
            <w:r>
              <w:rPr>
                <w:rFonts w:hint="eastAsia"/>
              </w:rPr>
              <w:t xml:space="preserve">計画</w:t>
            </w:r>
          </w:p>
        </w:tc>
        <w:tc>
          <w:tcPr/>
          <w:p>
            <w:pPr>
              <w:pStyle w:val="Compact"/>
              <w:jc w:val="left"/>
            </w:pPr>
            <w:r>
              <w:rPr>
                <w:rFonts w:hint="eastAsia"/>
              </w:rPr>
              <w:t xml:space="preserve">現在配布するキット数</w:t>
            </w:r>
          </w:p>
        </w:tc>
        <w:tc>
          <w:tcPr/>
          <w:p>
            <w:pPr>
              <w:pStyle w:val="Compact"/>
              <w:jc w:val="center"/>
            </w:pPr>
            <w:r>
              <w:rPr>
                <w:rFonts w:hint="eastAsia"/>
              </w:rPr>
              <w:t xml:space="preserve">備蓄数</w:t>
            </w:r>
          </w:p>
        </w:tc>
        <w:tc>
          <w:tcPr/>
          <w:p>
            <w:pPr>
              <w:pStyle w:val="Compact"/>
              <w:jc w:val="center"/>
            </w:pPr>
            <w:r>
              <w:rPr>
                <w:rFonts w:hint="eastAsia"/>
              </w:rPr>
              <w:t xml:space="preserve">訓練・データ支出</w:t>
            </w:r>
          </w:p>
        </w:tc>
        <w:tc>
          <w:tcPr/>
          <w:p>
            <w:pPr>
              <w:pStyle w:val="Compact"/>
              <w:jc w:val="center"/>
            </w:pPr>
            <w:r>
              <w:rPr>
                <w:rFonts w:hint="eastAsia"/>
              </w:rPr>
              <w:t xml:space="preserve">主要なリスク</w:t>
            </w:r>
          </w:p>
        </w:tc>
      </w:tr>
      <w:tr>
        <w:tc>
          <w:tcPr/>
          <w:p>
            <w:pPr>
              <w:pStyle w:val="Compact"/>
              <w:jc w:val="left"/>
            </w:pPr>
            <w:r>
              <w:t xml:space="preserve">A. </w:t>
            </w:r>
            <w:r>
              <w:rPr>
                <w:rFonts w:hint="eastAsia"/>
              </w:rPr>
              <w:t xml:space="preserve">現在の負荷</w:t>
            </w:r>
          </w:p>
        </w:tc>
        <w:tc>
          <w:tcPr/>
          <w:p>
            <w:pPr>
              <w:pStyle w:val="Compact"/>
              <w:jc w:val="left"/>
            </w:pPr>
            <w:r>
              <w:t xml:space="preserve">34,000</w:t>
            </w:r>
          </w:p>
        </w:tc>
        <w:tc>
          <w:tcPr/>
          <w:p>
            <w:pPr>
              <w:pStyle w:val="Compact"/>
              <w:jc w:val="center"/>
            </w:pPr>
            <w:r>
              <w:t xml:space="preserve">2,000</w:t>
            </w:r>
          </w:p>
        </w:tc>
        <w:tc>
          <w:tcPr/>
          <w:p>
            <w:pPr>
              <w:pStyle w:val="Compact"/>
              <w:jc w:val="center"/>
            </w:pPr>
            <w:r>
              <w:rPr>
                <w:rFonts w:hint="eastAsia"/>
              </w:rPr>
              <w:t xml:space="preserve">26万ドル</w:t>
            </w:r>
          </w:p>
        </w:tc>
        <w:tc>
          <w:tcPr/>
          <w:p>
            <w:pPr>
              <w:pStyle w:val="Compact"/>
              <w:jc w:val="center"/>
            </w:pPr>
            <w:r>
              <w:rPr>
                <w:rFonts w:hint="eastAsia"/>
              </w:rPr>
              <w:t xml:space="preserve">農村部と新興ニーズの見逃し</w:t>
            </w:r>
          </w:p>
        </w:tc>
      </w:tr>
      <w:tr>
        <w:tc>
          <w:tcPr/>
          <w:p>
            <w:pPr>
              <w:pStyle w:val="Compact"/>
              <w:jc w:val="left"/>
            </w:pPr>
            <w:r>
              <w:t xml:space="preserve">B. </w:t>
            </w:r>
            <w:r>
              <w:rPr>
                <w:rFonts w:hint="eastAsia"/>
              </w:rPr>
              <w:t xml:space="preserve">入手可能性の格差</w:t>
            </w:r>
          </w:p>
        </w:tc>
        <w:tc>
          <w:tcPr/>
          <w:p>
            <w:pPr>
              <w:pStyle w:val="Compact"/>
              <w:jc w:val="left"/>
            </w:pPr>
            <w:r>
              <w:t xml:space="preserve">33,000</w:t>
            </w:r>
          </w:p>
        </w:tc>
        <w:tc>
          <w:tcPr/>
          <w:p>
            <w:pPr>
              <w:pStyle w:val="Compact"/>
              <w:jc w:val="center"/>
            </w:pPr>
            <w:r>
              <w:t xml:space="preserve">3,000</w:t>
            </w:r>
          </w:p>
        </w:tc>
        <w:tc>
          <w:tcPr/>
          <w:p>
            <w:pPr>
              <w:pStyle w:val="Compact"/>
              <w:jc w:val="center"/>
            </w:pPr>
            <w:r>
              <w:rPr>
                <w:rFonts w:hint="eastAsia"/>
              </w:rPr>
              <w:t xml:space="preserve">33万ドル</w:t>
            </w:r>
          </w:p>
        </w:tc>
        <w:tc>
          <w:tcPr/>
          <w:p>
            <w:pPr>
              <w:pStyle w:val="Compact"/>
              <w:jc w:val="center"/>
            </w:pPr>
            <w:r>
              <w:rPr>
                <w:rFonts w:hint="eastAsia"/>
              </w:rPr>
              <w:t xml:space="preserve">配布の遅れと報告の脆弱化</w:t>
            </w:r>
          </w:p>
        </w:tc>
      </w:tr>
      <w:tr>
        <w:tc>
          <w:tcPr/>
          <w:p>
            <w:pPr>
              <w:pStyle w:val="Compact"/>
              <w:jc w:val="left"/>
            </w:pPr>
            <w:r>
              <w:t xml:space="preserve">C. </w:t>
            </w:r>
            <w:r>
              <w:rPr>
                <w:rFonts w:hint="eastAsia"/>
              </w:rPr>
              <w:t xml:space="preserve">即応性のある備蓄</w:t>
            </w:r>
          </w:p>
        </w:tc>
        <w:tc>
          <w:tcPr/>
          <w:p>
            <w:pPr>
              <w:pStyle w:val="Compact"/>
              <w:jc w:val="left"/>
            </w:pPr>
            <w:r>
              <w:t xml:space="preserve">27,000</w:t>
            </w:r>
          </w:p>
        </w:tc>
        <w:tc>
          <w:tcPr/>
          <w:p>
            <w:pPr>
              <w:pStyle w:val="Compact"/>
              <w:jc w:val="center"/>
            </w:pPr>
            <w:r>
              <w:t xml:space="preserve">9,000</w:t>
            </w:r>
          </w:p>
        </w:tc>
        <w:tc>
          <w:tcPr/>
          <w:p>
            <w:pPr>
              <w:pStyle w:val="Compact"/>
              <w:jc w:val="center"/>
            </w:pPr>
            <w:r>
              <w:rPr>
                <w:rFonts w:hint="eastAsia"/>
              </w:rPr>
              <w:t xml:space="preserve">24万ドル</w:t>
            </w:r>
          </w:p>
        </w:tc>
        <w:tc>
          <w:tcPr/>
          <w:p>
            <w:pPr>
              <w:pStyle w:val="Compact"/>
              <w:jc w:val="center"/>
            </w:pPr>
            <w:r>
              <w:rPr>
                <w:rFonts w:hint="eastAsia"/>
              </w:rPr>
              <w:t xml:space="preserve">パートナーが配給制を強いられる間の在庫保持</w:t>
            </w:r>
          </w:p>
        </w:tc>
      </w:tr>
      <w:tr>
        <w:tc>
          <w:tcPr/>
          <w:p>
            <w:pPr>
              <w:pStyle w:val="Compact"/>
              <w:jc w:val="left"/>
            </w:pPr>
            <w:r>
              <w:t xml:space="preserve">D. </w:t>
            </w:r>
            <w:r>
              <w:rPr>
                <w:rFonts w:hint="eastAsia"/>
              </w:rPr>
              <w:t xml:space="preserve">学習に基づく配分</w:t>
            </w:r>
          </w:p>
        </w:tc>
        <w:tc>
          <w:tcPr/>
          <w:p>
            <w:pPr>
              <w:pStyle w:val="Compact"/>
              <w:jc w:val="left"/>
            </w:pPr>
            <w:r>
              <w:t xml:space="preserve">31,000</w:t>
            </w:r>
          </w:p>
        </w:tc>
        <w:tc>
          <w:tcPr/>
          <w:p>
            <w:pPr>
              <w:pStyle w:val="Compact"/>
              <w:jc w:val="center"/>
            </w:pPr>
            <w:r>
              <w:t xml:space="preserve">5,000</w:t>
            </w:r>
          </w:p>
        </w:tc>
        <w:tc>
          <w:tcPr/>
          <w:p>
            <w:pPr>
              <w:pStyle w:val="Compact"/>
              <w:jc w:val="center"/>
            </w:pPr>
            <w:r>
              <w:rPr>
                <w:rFonts w:hint="eastAsia"/>
              </w:rPr>
              <w:t xml:space="preserve">41万ドル</w:t>
            </w:r>
          </w:p>
        </w:tc>
        <w:tc>
          <w:tcPr/>
          <w:p>
            <w:pPr>
              <w:pStyle w:val="Compact"/>
              <w:jc w:val="center"/>
            </w:pPr>
            <w:r>
              <w:rPr>
                <w:rFonts w:hint="eastAsia"/>
              </w:rPr>
              <w:t xml:space="preserve">管理負担と選択バイアス</w:t>
            </w:r>
          </w:p>
        </w:tc>
      </w:tr>
    </w:tbl>
    <w:p>
      <w:pPr>
        <w:pStyle w:val="BodyText"/>
      </w:pPr>
      <w:r>
        <w:rPr>
          <w:rFonts w:hint="eastAsia"/>
        </w:rPr>
        <w:t xml:space="preserve">この表は救われた命の数を見積もるものではなかった。チームは、配布されたキット数から、携行されたキット数、目撃されたオーバードーズ、投与された用量、生存、回避された搬送、削減された病院コストへの、正当化できる換算方法を持ち合わせていなかった。投与後の生存でさえ、EMSの対応、救助呼吸、関与した物質、投与量、タイミング、そして当人の健康状態がすべて関係していたため、そのキットのみに完全に帰属させることはできなかった。</w:t>
      </w:r>
    </w:p>
    <w:bookmarkEnd w:id="20"/>
    <w:bookmarkEnd w:id="21"/>
    <w:bookmarkStart w:id="22" w:name="月曜の朝"/>
    <w:p>
      <w:pPr>
        <w:pStyle w:val="Heading1"/>
      </w:pPr>
      <w:r>
        <w:rPr>
          <w:rFonts w:hint="eastAsia"/>
        </w:rPr>
        <w:t xml:space="preserve">月曜の朝</w:t>
      </w:r>
    </w:p>
    <w:p>
      <w:pPr>
        <w:pStyle w:val="FirstParagraph"/>
      </w:pPr>
      <w:r>
        <w:rPr>
          <w:rFonts w:hint="eastAsia"/>
        </w:rPr>
        <w:t xml:space="preserve">週末の間に、東部都市回廊では48時間以内に9件の疑われるオーバードーズが報告され、うち2件が死亡に至った。毒物検査による確認には数週間かかる見込みであった。西部のある郡では、唯一のハームリダクション看護師が退職を発表した。南部郊外は在庫の貸与を申し出たが、スタッフの時間と輸送費の償還を求めた。ある部族保健ディレクターは、近づくお祭りの前に、郡の配分方式を迂回して3つの地域拠点へ直接キットを送るようオルティスに要請した。</w:t>
      </w:r>
    </w:p>
    <w:p>
      <w:pPr>
        <w:pStyle w:val="BodyText"/>
      </w:pPr>
      <w:r>
        <w:rPr>
          <w:rFonts w:hint="eastAsia"/>
        </w:rPr>
        <w:t xml:space="preserve">オルティスは今や、36,000個のキットをどこに配分するかだけでなく、どのような条件が計画変更を正当化するのかも決定しなければならなかった。彼女は、報告された死亡数、EMSへの通報、パートナーの在庫水準、新たな混入物質、異常に大きなクラスター、あるいはキットがオーバードーズを目撃しそうな人々に届いていないという証拠を用いることができた。すべてのシグナルには遅延とギャップがあった。すべての再配分は、供給を失った団体にとって政治的に見えるリスクを伴っていた。</w:t>
      </w:r>
    </w:p>
    <w:p>
      <w:pPr>
        <w:pStyle w:val="BodyText"/>
      </w:pPr>
      <w:r>
        <w:rPr>
          <w:rFonts w:hint="eastAsia"/>
        </w:rPr>
        <w:t xml:space="preserve">月曜10時30分、保健局長は勧告を求める予定であった。オルティスは、その配分がどのように生命を守り、公的コストを抑え、支援の行き届いていない地域社会に届き、人員の限られた団体にとって実行可能であり続けるのかを説明する必要があった。彼女はまた、匿名性と信頼がサービスの一部である場合に、同局がパートナーにどの程度の情報を求めるべきかについても述べる必要があった。</w:t>
      </w:r>
    </w:p>
    <w:p>
      <w:pPr>
        <w:pStyle w:val="BodyText"/>
      </w:pPr>
      <w:r>
        <w:rPr>
          <w:rFonts w:hint="eastAsia"/>
        </w:rPr>
        <w:t xml:space="preserve">その出荷分は、重要であるには十分な規模でありながら、すべての要請を満たすには不十分な規模であった。州は倉庫を出るカートンの数を数えることはできた。しかし、ナロキソンが適切な場所に存在するかどうか、誰かがそのオーバードーズを認識するかどうか、その人が投与するかどうか、あるいは地域の在庫が尽きる前に次の出荷が到着するかどうかを、容易に数えることはできなかった。</w:t>
      </w:r>
    </w:p>
    <w:bookmarkEnd w:id="22"/>
    <w:bookmarkStart w:id="23" w:name="復習問題"/>
    <w:p>
      <w:pPr>
        <w:pStyle w:val="Heading1"/>
      </w:pPr>
      <w:r>
        <w:rPr>
          <w:rFonts w:hint="eastAsia"/>
        </w:rPr>
        <w:t xml:space="preserve">復習問題</w:t>
      </w:r>
    </w:p>
    <w:p>
      <w:pPr>
        <w:numPr>
          <w:ilvl w:val="0"/>
          <w:numId w:val="1001"/>
        </w:numPr>
      </w:pPr>
      <w:r>
        <w:rPr>
          <w:rFonts w:hint="eastAsia"/>
        </w:rPr>
        <w:t xml:space="preserve">オルティスとベルウェザー保健局が直面している中心的な問題は何か。</w:t>
      </w:r>
    </w:p>
    <w:p>
      <w:pPr>
        <w:numPr>
          <w:ilvl w:val="0"/>
          <w:numId w:val="1001"/>
        </w:numPr>
      </w:pPr>
      <w:r>
        <w:rPr>
          <w:rFonts w:hint="eastAsia"/>
        </w:rPr>
        <w:t xml:space="preserve">36,000個のキットを配分するにあたり、図表内のどの情報が最も重視されるべきか。</w:t>
      </w:r>
    </w:p>
    <w:p>
      <w:pPr>
        <w:numPr>
          <w:ilvl w:val="0"/>
          <w:numId w:val="1001"/>
        </w:numPr>
      </w:pPr>
      <w:r>
        <w:rPr>
          <w:rFonts w:hint="eastAsia"/>
        </w:rPr>
        <w:t xml:space="preserve">高処理量の都市部プログラムと、緊急対応時間の長い農村部・部族コミュニティとの間で、州はどのようにバランスを取るべきか。</w:t>
      </w:r>
    </w:p>
    <w:p>
      <w:pPr>
        <w:numPr>
          <w:ilvl w:val="0"/>
          <w:numId w:val="1001"/>
        </w:numPr>
      </w:pPr>
      <w:r>
        <w:rPr>
          <w:rFonts w:hint="eastAsia"/>
        </w:rPr>
        <w:t xml:space="preserve">ベルウェザーは中央備蓄を保持すべきか。何がその放出の引き金となるべきか。</w:t>
      </w:r>
    </w:p>
    <w:p>
      <w:pPr>
        <w:numPr>
          <w:ilvl w:val="0"/>
          <w:numId w:val="1001"/>
        </w:numPr>
      </w:pPr>
      <w:r>
        <w:rPr>
          <w:rFonts w:hint="eastAsia"/>
        </w:rPr>
        <w:t xml:space="preserve">ハームリダクション団体、救急隊員、治療提供者、薬局、刑務所、その他の地域団体の間で、キットはどのように分配されるべきか。</w:t>
      </w:r>
    </w:p>
    <w:p>
      <w:pPr>
        <w:numPr>
          <w:ilvl w:val="0"/>
          <w:numId w:val="1001"/>
        </w:numPr>
      </w:pPr>
      <w:r>
        <w:rPr>
          <w:rFonts w:hint="eastAsia"/>
        </w:rPr>
        <w:t xml:space="preserve">配布にどの程度の訓練を伴わせるべきか、また誰がそれを受けるべきか。</w:t>
      </w:r>
    </w:p>
    <w:p>
      <w:pPr>
        <w:numPr>
          <w:ilvl w:val="0"/>
          <w:numId w:val="1001"/>
        </w:numPr>
      </w:pPr>
      <w:r>
        <w:rPr>
          <w:rFonts w:hint="eastAsia"/>
        </w:rPr>
        <w:t xml:space="preserve">パートナーはどのような情報を報告することを求められるべきか。報告要件がいつ入手可能性や信頼を損ないうるか。</w:t>
      </w:r>
    </w:p>
    <w:p>
      <w:pPr>
        <w:numPr>
          <w:ilvl w:val="0"/>
          <w:numId w:val="1001"/>
        </w:numPr>
      </w:pPr>
      <w:r>
        <w:rPr>
          <w:rFonts w:hint="eastAsia"/>
        </w:rPr>
        <w:t xml:space="preserve">変化し続ける違法薬物の供給は、州の配分計画とコミュニケーション計画にどのような影響を与えるべきか。</w:t>
      </w:r>
    </w:p>
    <w:p>
      <w:pPr>
        <w:numPr>
          <w:ilvl w:val="0"/>
          <w:numId w:val="1001"/>
        </w:numPr>
      </w:pPr>
      <w:r>
        <w:rPr>
          <w:rFonts w:hint="eastAsia"/>
        </w:rPr>
        <w:t xml:space="preserve">連邦、州、和解金、寄付者からの資金に付随する制約は、運用計画をどのように形作るべきか。</w:t>
      </w:r>
    </w:p>
    <w:p>
      <w:pPr>
        <w:numPr>
          <w:ilvl w:val="0"/>
          <w:numId w:val="1001"/>
        </w:numPr>
      </w:pPr>
      <w:r>
        <w:rPr>
          <w:rFonts w:hint="eastAsia"/>
        </w:rPr>
        <w:t xml:space="preserve">3か月後あるいは6か月後にどのような証拠があれば、その配分を継続、拡大、あるいは再設計すべきだと分かるか。</w:t>
      </w:r>
    </w:p>
    <w:bookmarkEnd w:id="23"/>
    <w:bookmarkStart w:id="29" w:name="決定フレーミング設問"/>
    <w:p>
      <w:pPr>
        <w:pStyle w:val="Heading1"/>
      </w:pPr>
      <w:r>
        <w:rPr>
          <w:rFonts w:hint="eastAsia"/>
        </w:rPr>
        <w:t xml:space="preserve">決定フレーミング設問</w:t>
      </w:r>
    </w:p>
    <w:p>
      <w:pPr>
        <w:numPr>
          <w:ilvl w:val="0"/>
          <w:numId w:val="1002"/>
        </w:numPr>
      </w:pPr>
      <w:r>
        <w:rPr>
          <w:rFonts w:hint="eastAsia"/>
        </w:rPr>
        <w:t xml:space="preserve">意思決定者の責任を特定し、記述せよ。これにより問題の範囲が定まる。</w:t>
      </w:r>
    </w:p>
    <w:p>
      <w:pPr>
        <w:numPr>
          <w:ilvl w:val="0"/>
          <w:numId w:val="1002"/>
        </w:numPr>
      </w:pPr>
      <w:hyperlink r:id="rId24">
        <w:r>
          <w:rPr>
            <w:rStyle w:val="Hyperlink"/>
          </w:rPr>
          <w:t xml:space="preserve">メトリクス・ピラミッドツール</w:t>
        </w:r>
      </w:hyperlink>
      <w:r>
        <w:rPr>
          <w:rFonts w:hint="eastAsia"/>
        </w:rPr>
        <w:t xml:space="preserve">を使用して、さまざまなパフォーマンス指標を特定し優先順位付けせよ。指標を保持する楕円をクリックして、それが最大化すべき指標(緑)、最小化すべき指標(赤)、下限としての目標(薄緑)、上限としての目標(薄赤)、あるいは単なる目標値(紫)のいずれであるかを示せ。</w:t>
      </w:r>
    </w:p>
    <w:p>
      <w:pPr>
        <w:numPr>
          <w:ilvl w:val="0"/>
          <w:numId w:val="1002"/>
        </w:numPr>
      </w:pPr>
      <w:hyperlink r:id="rId25">
        <w:r>
          <w:rPr>
            <w:rStyle w:val="Hyperlink"/>
            <w:rFonts w:hint="eastAsia"/>
          </w:rPr>
          <w:t xml:space="preserve">決定優先順位付けツール</w:t>
        </w:r>
      </w:hyperlink>
      <w:r>
        <w:rPr>
          <w:rFonts w:hint="eastAsia"/>
        </w:rPr>
        <w:t xml:space="preserve">を使用して、まずさまざまな種類の決定を列挙せよ(</w:t>
      </w:r>
      <w:hyperlink r:id="rId26">
        <w:r>
          <w:rPr>
            <w:rStyle w:val="Hyperlink"/>
            <w:rFonts w:hint="eastAsia"/>
          </w:rPr>
          <w:t xml:space="preserve">決定の種類</w:t>
        </w:r>
      </w:hyperlink>
      <w:r>
        <w:rPr>
          <w:rFonts w:hint="eastAsia"/>
        </w:rPr>
        <w:t xml:space="preserve">を手引きとして使用すること)。これらは右側の行列の行を構成し、列は上記のピラミッドで優先順位付けされたパフォーマンス指標を左から右へ並べたものとなる。各セルをクリックして、各指標に対するその決定の影響が高い(赤)、中程度(オレンジ)、低い(黄)、なし(白)のいずれであるかを示せ。</w:t>
      </w:r>
    </w:p>
    <w:p>
      <w:pPr>
        <w:numPr>
          <w:ilvl w:val="0"/>
          <w:numId w:val="1002"/>
        </w:numPr>
      </w:pPr>
      <w:r>
        <w:rPr>
          <w:rFonts w:hint="eastAsia"/>
        </w:rPr>
        <w:t xml:space="preserve">各行の一番左にあるハンドル(3本線)をつかんで、上下に移動させることができる。最も重要な指標に最も大きな影響を与える決定が上位に来るように行を並び替えよ。左上隅のセルには赤とオレンジのセルが最も集中しているべきである。この時点で、あなたの研究において最も注意を払うべき決定を特定せよ。最も重要な指標に対して中程度あるいは高い影響を持つ決定がない場合は、決定の一覧を見直せ。</w:t>
      </w:r>
    </w:p>
    <w:p>
      <w:pPr>
        <w:numPr>
          <w:ilvl w:val="0"/>
          <w:numId w:val="1002"/>
        </w:numPr>
      </w:pPr>
      <w:hyperlink r:id="rId27">
        <w:r>
          <w:rPr>
            <w:rStyle w:val="Hyperlink"/>
            <w:rFonts w:hint="eastAsia"/>
          </w:rPr>
          <w:t xml:space="preserve">不確実性優先順位付けツール</w:t>
        </w:r>
      </w:hyperlink>
      <w:r>
        <w:rPr>
          <w:rFonts w:hint="eastAsia"/>
        </w:rPr>
        <w:t xml:space="preserve">を使用して、不確実性についても同様のプロセスを繰り返せ。</w:t>
      </w:r>
      <w:hyperlink r:id="rId28">
        <w:r>
          <w:rPr>
            <w:rStyle w:val="Hyperlink"/>
            <w:rFonts w:hint="eastAsia"/>
          </w:rPr>
          <w:t xml:space="preserve">不確実性のカテゴリー</w:t>
        </w:r>
      </w:hyperlink>
      <w:r>
        <w:rPr>
          <w:rFonts w:hint="eastAsia"/>
        </w:rPr>
        <w:t xml:space="preserve">を手引きとして活用せよ。</w:t>
      </w:r>
    </w:p>
    <w:p>
      <w:pPr>
        <w:numPr>
          <w:ilvl w:val="0"/>
          <w:numId w:val="1002"/>
        </w:numPr>
      </w:pPr>
      <w:r>
        <w:rPr>
          <w:rFonts w:hint="eastAsia"/>
        </w:rPr>
        <w:t xml:space="preserve">平均として評価できる不確実性と、リスクイベントとして評価すべき不確実性とを区別することが重要である。</w:t>
      </w:r>
    </w:p>
    <w:p>
      <w:pPr>
        <w:numPr>
          <w:ilvl w:val="1"/>
          <w:numId w:val="1003"/>
        </w:numPr>
      </w:pPr>
      <w:r>
        <w:rPr>
          <w:rFonts w:hint="eastAsia"/>
        </w:rPr>
        <w:t xml:space="preserve">どの不確実性の源が、時間をかけた平均的なパフォーマンスによって捉えられるか。</w:t>
      </w:r>
    </w:p>
    <w:p>
      <w:pPr>
        <w:numPr>
          <w:ilvl w:val="1"/>
          <w:numId w:val="1003"/>
        </w:numPr>
      </w:pPr>
      <w:r>
        <w:rPr>
          <w:rFonts w:hint="eastAsia"/>
        </w:rPr>
        <w:t xml:space="preserve">どの不確実性の源が、平均では適切に捉えられないリスクの形態を表しているか。</w:t>
      </w:r>
    </w:p>
    <w:p>
      <w:pPr>
        <w:numPr>
          <w:ilvl w:val="0"/>
          <w:numId w:val="1002"/>
        </w:numPr>
      </w:pPr>
      <w:r>
        <w:rPr>
          <w:rFonts w:hint="eastAsia"/>
        </w:rPr>
        <w:t xml:space="preserve">最も重要な指標に対して最も高い影響を持つと思われる単一の決定を選べ。</w:t>
      </w:r>
    </w:p>
    <w:p>
      <w:pPr>
        <w:numPr>
          <w:ilvl w:val="1"/>
          <w:numId w:val="1004"/>
        </w:numPr>
      </w:pPr>
      <w:r>
        <w:rPr>
          <w:rFonts w:hint="eastAsia"/>
        </w:rPr>
        <w:t xml:space="preserve">この決定を下すためにどのようなアプローチを用いると考えられるか。</w:t>
      </w:r>
    </w:p>
    <w:p>
      <w:pPr>
        <w:numPr>
          <w:ilvl w:val="1"/>
          <w:numId w:val="1004"/>
        </w:numPr>
      </w:pPr>
      <w:r>
        <w:rPr>
          <w:rFonts w:hint="eastAsia"/>
        </w:rPr>
        <w:t xml:space="preserve">この決定を下すために必要と思われるデータは何か。決定が高いあるいは中程度の影響を持つパフォーマンス指標の算出も含めて答えよ。</w:t>
      </w:r>
    </w:p>
    <w:p>
      <w:pPr>
        <w:numPr>
          <w:ilvl w:val="0"/>
          <w:numId w:val="1002"/>
        </w:numPr>
      </w:pPr>
      <w:r>
        <w:rPr>
          <w:rFonts w:hint="eastAsia"/>
        </w:rPr>
        <w:t xml:space="preserve">(7)で特定したのと同じ決定について、その実行のために協働する必要のある人々、部門、グループ、あるいは組織を特定せよ。</w:t>
      </w:r>
    </w:p>
    <w:bookmarkEnd w:id="29"/>
    <w:bookmarkStart w:id="30" w:name="出典注記"/>
    <w:p>
      <w:pPr>
        <w:pStyle w:val="Heading1"/>
      </w:pPr>
      <w:r>
        <w:rPr>
          <w:rFonts w:hint="eastAsia"/>
        </w:rPr>
        <w:t xml:space="preserve">出典注記</w:t>
      </w:r>
    </w:p>
    <w:p>
      <w:pPr>
        <w:pStyle w:val="FirstParagraph"/>
      </w:pPr>
      <w:r>
        <w:rPr>
          <w:rFonts w:hint="eastAsia"/>
        </w:rPr>
        <w:t xml:space="preserve">このケースの概念的基盤は、Warren</w:t>
      </w:r>
      <w:r>
        <w:t xml:space="preserve"> B. </w:t>
      </w:r>
      <w:r>
        <w:rPr>
          <w:rFonts w:hint="eastAsia"/>
        </w:rPr>
        <w:t xml:space="preserve">Powell著『Bridging</w:t>
      </w:r>
      <w:r>
        <w:t xml:space="preserve"> Decision Problems, Volume I: Framing the </w:t>
      </w:r>
      <w:r>
        <w:rPr>
          <w:rFonts w:hint="eastAsia"/>
        </w:rPr>
        <w:t xml:space="preserve">Problem』第2章の「Public</w:t>
      </w:r>
      <w:r>
        <w:t xml:space="preserve"> health - Managing naloxone </w:t>
      </w:r>
      <w:r>
        <w:rPr>
          <w:rFonts w:hint="eastAsia"/>
        </w:rPr>
        <w:t xml:space="preserve">kits(公衆衛生</w:t>
      </w:r>
      <w:r>
        <w:t xml:space="preserve"> ― </w:t>
      </w:r>
      <w:r>
        <w:rPr>
          <w:rFonts w:hint="eastAsia"/>
        </w:rPr>
        <w:t xml:space="preserve">ナロキソンキットの管理)」節である。このケースは、当該節の公衆衛生上の成果、配分およびアウトリーチの選択、資金に関する問い、未知の使用パターンを、独立した分析カテゴリーとして明示することなく、物語と図表の中に組み込んでいる。</w:t>
      </w:r>
    </w:p>
    <w:p>
      <w:pPr>
        <w:pStyle w:val="BodyText"/>
      </w:pPr>
      <w:r>
        <w:rPr>
          <w:rFonts w:hint="eastAsia"/>
        </w:rPr>
        <w:t xml:space="preserve">この設定を動機づけるために用いられた公開データには、2024年の米国における薬物過剰摂取死亡者数を79,384人、2023年からの年齢調整死亡率の26.2パーセント減少と報告したCDCの最終死亡データ、2026年2月終了の12か月間で68,641人の死亡、前年比12.1パーセント減という速報値によるCDCの推定値、2024年に150万件を超えるナロキソン処方箋が調剤され地理的なばらつきが大きかったと報告するCDCの薬局データ、そして2025年9月にSAMHSAが発表した州オピオイド対応継続助成14.8億ドルおよび部族オピオイド対応向け約6300万ドルが含まれる。違法フェンタニル供給中のメデトミジンに関するCDCの警告は、変化する混入物質についての議論の参考とした。ベルウェザーに関するすべてのデータ、人物、団体、予算、出来事はフィクションである。</w:t>
      </w:r>
    </w:p>
    <w:bookmarkEnd w:id="30"/>
    <w:bookmarkStart w:id="33" w:name="chatgptによる注記"/>
    <w:p>
      <w:pPr>
        <w:pStyle w:val="Heading1"/>
      </w:pPr>
      <w:r>
        <w:rPr>
          <w:rFonts w:hint="eastAsia"/>
        </w:rPr>
        <w:t xml:space="preserve">ChatGPTによる注記</w:t>
      </w:r>
    </w:p>
    <w:bookmarkStart w:id="31" w:name="プロンプト"/>
    <w:p>
      <w:pPr>
        <w:pStyle w:val="Heading2"/>
      </w:pPr>
      <w:r>
        <w:t xml:space="preserve">プロンプト</w:t>
      </w:r>
    </w:p>
    <w:p>
      <w:pPr>
        <w:pStyle w:val="FirstParagraph"/>
      </w:pPr>
      <w:r>
        <w:t xml:space="preserve">https://warrenpowell.org/bridging-vol1/chapter-2/#public-health--managing-naloxone-kits </w:t>
      </w:r>
      <w:r>
        <w:rPr>
          <w:rFonts w:hint="eastAsia"/>
        </w:rPr>
        <w:t xml:space="preserve">の節にある内容に基づいて、4〜6ページのケーススタディを作成せよ。当該節にある指標、決定、不確実性に基づいた文脈を作成するが、それらを明示的に取り上げることはしないこと。ケースの問題にはデータによる動機付けを行うこと。</w:t>
      </w:r>
    </w:p>
    <w:bookmarkEnd w:id="31"/>
    <w:bookmarkStart w:id="32" w:name="要約"/>
    <w:p>
      <w:pPr>
        <w:pStyle w:val="Heading2"/>
      </w:pPr>
      <w:r>
        <w:rPr>
          <w:rFonts w:hint="eastAsia"/>
        </w:rPr>
        <w:t xml:space="preserve">要約</w:t>
      </w:r>
    </w:p>
    <w:p>
      <w:pPr>
        <w:pStyle w:val="FirstParagraph"/>
      </w:pPr>
      <w:r>
        <w:rPr>
          <w:rFonts w:hint="eastAsia"/>
        </w:rPr>
        <w:t xml:space="preserve">このケースは、都市部、農村部、部族コミュニティにわたるナロキソンの配分、救急隊員・ハームリダクション団体・病院・薬局・刑務所・地域団体を通じた配布、訓練と公衆意識、薬物供給における変化する混入物質、不確実な連邦および州の資金、報告負担、そして緊急備蓄を保持すべきかどうかを扱っている。</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2026-09-11T17:32:38Z</dcterms:created>
  <dcterms:modified xsi:type="dcterms:W3CDTF">2026-09-11T17:32:38Z</dcterms:modified>
</cp:coreProperties>
</file>

<file path=docProps/custom.xml><?xml version="1.0" encoding="utf-8"?>
<Properties xmlns="http://schemas.openxmlformats.org/officeDocument/2006/custom-properties" xmlns:vt="http://schemas.openxmlformats.org/officeDocument/2006/docPropsVTypes"/>
</file>