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ブルーリバーシステムオペレーター"/>
    <w:p>
      <w:pPr>
        <w:pStyle w:val="Heading1"/>
      </w:pPr>
      <w:r>
        <w:t xml:space="preserve">ブルーリバー・システムオペレーター</w:t>
      </w:r>
    </w:p>
    <w:bookmarkStart w:id="9" w:name="午後6時の信頼性決定"/>
    <w:p>
      <w:pPr>
        <w:pStyle w:val="Heading2"/>
      </w:pPr>
      <w:r>
        <w:rPr>
          <w:rFonts w:hint="eastAsia"/>
        </w:rPr>
        <w:t xml:space="preserve">午後6時の信頼性決定</w:t>
      </w:r>
    </w:p>
    <w:p>
      <w:pPr>
        <w:pStyle w:val="FirstParagraph"/>
      </w:pPr>
      <w:r>
        <w:rPr>
          <w:rFonts w:hint="eastAsia"/>
        </w:rPr>
        <w:t xml:space="preserve">本ケースは架空のものであり、講義での議論を目的としている。登場人物、出来事、資金、内部数値はすべて創作であるが、業界設定は公開データに基づいている。</w:t>
      </w:r>
    </w:p>
    <w:p>
      <w:pPr>
        <w:pStyle w:val="BodyText"/>
      </w:pPr>
      <w:r>
        <w:rPr>
          <w:rFonts w:hint="eastAsia"/>
          <w:b/>
          <w:bCs/>
        </w:rPr>
        <w:t xml:space="preserve">7月22日午後1時40分、ブルーリバー・システムオペレーター(BRSO)の最高執行責任者エレナ・マルケスは、地域制御室で3つの画面を見つめていた。</w:t>
      </w:r>
      <w:r>
        <w:t xml:space="preserve"> </w:t>
      </w:r>
      <w:r>
        <w:rPr>
          <w:rFonts w:hint="eastAsia"/>
        </w:rPr>
        <w:t xml:space="preserve">1つ目の画面は、記録的な夜間ピークに向かって上昇する需要予測を示していた。2つ目の画面は、西部太陽光回廊に向かって移動する雷雲群を示していた。3つ目の画面には、冷却システムが通常範囲外の振動を始めた720メガワットのコンバインドサイクル発電機、リバーベンド4号機からの警告が表示されていた。</w:t>
      </w:r>
    </w:p>
    <w:p>
      <w:pPr>
        <w:pStyle w:val="BodyText"/>
      </w:pPr>
      <w:r>
        <w:rPr>
          <w:rFonts w:hint="eastAsia"/>
        </w:rPr>
        <w:t xml:space="preserve">BRSOは、架空の州であるフランクリン、モンロー、イーストンにまたがる870万人にサービスを提供する高圧送電網を統括していた。発電機や送電線の大半は所有していない。その代わり、事前に発電ユニットをコミットし、リアルタイムで給電指令を行い、近隣地域から電力を購入し、周波数を維持し、供給が需要を安全にカバーできない場合には緊急対応を指示していた。</w:t>
      </w:r>
    </w:p>
    <w:p>
      <w:pPr>
        <w:pStyle w:val="BodyText"/>
      </w:pPr>
      <w:r>
        <w:rPr>
          <w:rFonts w:hint="eastAsia"/>
        </w:rPr>
        <w:t xml:space="preserve">夜間ピークは午後6時前後に予想されており、その時間帯にはオフィスや工場がまだ稼働しており、通勤者が帰宅し、エアコン負荷が高いままとなる。前日計画では、午後2時に7,900MWの太陽光発電を想定し、午後7時までに2,100MWまで減少するとしていた。また、リバーベンド4号機が稼働可能な状態を維持することも前提としていた。もし雲が早く到来し、リバーベンドがトリップすれば、ピーク前に運転予備力がBRSOの目標を下回る可能性があった。</w:t>
      </w:r>
    </w:p>
    <w:p>
      <w:pPr>
        <w:pStyle w:val="BodyText"/>
      </w:pPr>
      <w:r>
        <w:rPr>
          <w:rFonts w:hint="eastAsia"/>
        </w:rPr>
        <w:t xml:space="preserve">マルケスには即座の選択肢があった。リバーベンドに出力を下げて稼働継続を依頼する、老朽化した2基の石油焚きピーク供給ユニットを起動する、5分間市場で電力を購入する、電池を予定より早く放電する、任意のデマンドレスポンスイベントを呼びかける、あるいは一部の産業顧客に対して制御されたサービス中断を準備する、といった選択肢である。それぞれの行動は、その日の後半に残される選択肢を変化させるものであった。電池は数秒で応答可能だが、蓄えられたエネルギーは4時間で枯渇する。石油ユニットの起動には40分かかり、高い運転コストと排出量を生じる。輸入電力は利用可能に見えたが、近隣地域も同じ熱波に見舞われていた。</w:t>
      </w:r>
    </w:p>
    <w:bookmarkEnd w:id="9"/>
    <w:bookmarkEnd w:id="10"/>
    <w:bookmarkStart w:id="11" w:name="新たな成長期に入る電力網"/>
    <w:p>
      <w:pPr>
        <w:pStyle w:val="Heading1"/>
      </w:pPr>
      <w:r>
        <w:rPr>
          <w:rFonts w:hint="eastAsia"/>
        </w:rPr>
        <w:t xml:space="preserve">新たな成長期に入る電力網</w:t>
      </w:r>
    </w:p>
    <w:p>
      <w:pPr>
        <w:pStyle w:val="FirstParagraph"/>
      </w:pPr>
      <w:r>
        <w:rPr>
          <w:rFonts w:hint="eastAsia"/>
        </w:rPr>
        <w:t xml:space="preserve">約20年間、米国の電力消費はゆるやかな伸びを示していた。その前提は今や消え去りつつある。米国エネルギー情報局(EIA)の報告によれば、2020年から2025年にかけて電力需要は年率約1.7%で成長した一方、それ以前の10年間の年間成長率は約0.1%であった。EIAは、データセンター、製造業、建物の電化、その他の大規模負荷が系統に接続されることで、今後も成長が続くと見込んでいた。</w:t>
      </w:r>
    </w:p>
    <w:p>
      <w:pPr>
        <w:pStyle w:val="BodyText"/>
      </w:pPr>
      <w:r>
        <w:rPr>
          <w:rFonts w:hint="eastAsia"/>
        </w:rPr>
        <w:t xml:space="preserve">北米の信頼性計画担当者も予測を引き上げていた。NERCの2025年長期評価では、夏季ピーク需要は10年間で224GW増加する可能性があると予測されており、これはわずか1年前に予想されていた増加幅を69%以上上回るものであった。人工知能やデジタル経済を支える新たなデータセンターが、この上方修正の大部分を占めていた。</w:t>
      </w:r>
    </w:p>
    <w:p>
      <w:pPr>
        <w:pStyle w:val="BodyText"/>
      </w:pPr>
      <w:r>
        <w:rPr>
          <w:rFonts w:hint="eastAsia"/>
        </w:rPr>
        <w:t xml:space="preserve">ブルーリバーは、これらの力を凝縮した形で経験していた。2023年以降、3つのデータセンターキャンパスが開業した。さらに6件のプロジェクト、合計4,600MWのサービス要請が、さまざまな検討段階にあった。中には実現しないものもあるだろうが、BRSOはそれを前提にすることはできなかった。また、ある製鉄所はガス炉から電気アーク技術への切り替えを検討しており、一方で家庭ではヒートポンプや電気自動車の導入が進んでいた。同時に、老朽化した石炭・石油発電所は退役しつつあり、提案されている代替発電容量の大半は太陽光、風力、電池であり、その稼働可能性は時間帯や天候によって変動するものであった。</w:t>
      </w:r>
    </w:p>
    <w:p>
      <w:pPr>
        <w:pStyle w:val="BodyText"/>
      </w:pPr>
      <w:r>
        <w:rPr>
          <w:rFonts w:hint="eastAsia"/>
        </w:rPr>
        <w:t xml:space="preserve">図1.</w:t>
      </w:r>
      <w:r>
        <w:t xml:space="preserve"> </w:t>
      </w:r>
      <w:r>
        <w:rPr>
          <w:rFonts w:hint="eastAsia"/>
        </w:rPr>
        <w:t xml:space="preserve">ブルーリバーの需要・資源見通し</w:t>
      </w:r>
    </w:p>
    <w:tbl>
      <w:tblPr>
        <w:tblStyle w:val="Table"/>
        <w:tblW w:type="pct" w:w="4907"/>
        <w:tblLayout w:type="fixed"/>
        <w:tblLook w:firstRow="1" w:lastRow="0" w:firstColumn="0" w:lastColumn="0" w:noHBand="0" w:noVBand="0" w:val="0020"/>
      </w:tblPr>
      <w:tblGrid>
        <w:gridCol w:w="2738"/>
        <w:gridCol w:w="1554"/>
        <w:gridCol w:w="1702"/>
        <w:gridCol w:w="1776"/>
      </w:tblGrid>
      <w:tr>
        <w:trPr>
          <w:tblHeader w:val="on"/>
        </w:trPr>
        <w:tc>
          <w:tcPr/>
          <w:p>
            <w:pPr>
              <w:pStyle w:val="Compact"/>
              <w:jc w:val="left"/>
            </w:pPr>
            <w:r>
              <w:rPr>
                <w:rFonts w:hint="eastAsia"/>
              </w:rPr>
              <w:t xml:space="preserve">指標</w:t>
            </w:r>
          </w:p>
        </w:tc>
        <w:tc>
          <w:tcPr/>
          <w:p>
            <w:pPr>
              <w:pStyle w:val="Compact"/>
              <w:jc w:val="center"/>
            </w:pPr>
            <w:r>
              <w:rPr>
                <w:rFonts w:hint="eastAsia"/>
              </w:rPr>
              <w:t xml:space="preserve">2022年</w:t>
            </w:r>
          </w:p>
        </w:tc>
        <w:tc>
          <w:tcPr/>
          <w:p>
            <w:pPr>
              <w:pStyle w:val="Compact"/>
              <w:jc w:val="center"/>
            </w:pPr>
            <w:r>
              <w:rPr>
                <w:rFonts w:hint="eastAsia"/>
              </w:rPr>
              <w:t xml:space="preserve">2026年予測</w:t>
            </w:r>
          </w:p>
        </w:tc>
        <w:tc>
          <w:tcPr/>
          <w:p>
            <w:pPr>
              <w:pStyle w:val="Compact"/>
              <w:jc w:val="center"/>
            </w:pPr>
            <w:r>
              <w:rPr>
                <w:rFonts w:hint="eastAsia"/>
              </w:rPr>
              <w:t xml:space="preserve">2031年計画ケース</w:t>
            </w:r>
          </w:p>
        </w:tc>
      </w:tr>
      <w:tr>
        <w:tc>
          <w:tcPr/>
          <w:p>
            <w:pPr>
              <w:pStyle w:val="Compact"/>
              <w:jc w:val="left"/>
            </w:pPr>
            <w:r>
              <w:rPr>
                <w:rFonts w:hint="eastAsia"/>
              </w:rPr>
              <w:t xml:space="preserve">年間電力使用量</w:t>
            </w:r>
            <w:r>
              <w:t xml:space="preserve"> (TWh)</w:t>
            </w:r>
          </w:p>
        </w:tc>
        <w:tc>
          <w:tcPr/>
          <w:p>
            <w:pPr>
              <w:pStyle w:val="Compact"/>
              <w:jc w:val="center"/>
            </w:pPr>
            <w:r>
              <w:t xml:space="preserve">142</w:t>
            </w:r>
          </w:p>
        </w:tc>
        <w:tc>
          <w:tcPr/>
          <w:p>
            <w:pPr>
              <w:pStyle w:val="Compact"/>
              <w:jc w:val="center"/>
            </w:pPr>
            <w:r>
              <w:t xml:space="preserve">157</w:t>
            </w:r>
          </w:p>
        </w:tc>
        <w:tc>
          <w:tcPr/>
          <w:p>
            <w:pPr>
              <w:pStyle w:val="Compact"/>
              <w:jc w:val="center"/>
            </w:pPr>
            <w:r>
              <w:t xml:space="preserve">190</w:t>
            </w:r>
          </w:p>
        </w:tc>
      </w:tr>
      <w:tr>
        <w:tc>
          <w:tcPr/>
          <w:p>
            <w:pPr>
              <w:pStyle w:val="Compact"/>
              <w:jc w:val="left"/>
            </w:pPr>
            <w:r>
              <w:rPr>
                <w:rFonts w:hint="eastAsia"/>
              </w:rPr>
              <w:t xml:space="preserve">夏季ピーク需要</w:t>
            </w:r>
            <w:r>
              <w:t xml:space="preserve"> (MW)</w:t>
            </w:r>
          </w:p>
        </w:tc>
        <w:tc>
          <w:tcPr/>
          <w:p>
            <w:pPr>
              <w:pStyle w:val="Compact"/>
              <w:jc w:val="center"/>
            </w:pPr>
            <w:r>
              <w:t xml:space="preserve">24,800</w:t>
            </w:r>
          </w:p>
        </w:tc>
        <w:tc>
          <w:tcPr/>
          <w:p>
            <w:pPr>
              <w:pStyle w:val="Compact"/>
              <w:jc w:val="center"/>
            </w:pPr>
            <w:r>
              <w:t xml:space="preserve">28,900</w:t>
            </w:r>
          </w:p>
        </w:tc>
        <w:tc>
          <w:tcPr/>
          <w:p>
            <w:pPr>
              <w:pStyle w:val="Compact"/>
              <w:jc w:val="center"/>
            </w:pPr>
            <w:r>
              <w:t xml:space="preserve">36,500</w:t>
            </w:r>
          </w:p>
        </w:tc>
      </w:tr>
      <w:tr>
        <w:tc>
          <w:tcPr/>
          <w:p>
            <w:pPr>
              <w:pStyle w:val="Compact"/>
              <w:jc w:val="left"/>
            </w:pPr>
            <w:r>
              <w:rPr>
                <w:rFonts w:hint="eastAsia"/>
              </w:rPr>
              <w:t xml:space="preserve">データセンターピーク負荷</w:t>
            </w:r>
            <w:r>
              <w:t xml:space="preserve"> (MW)</w:t>
            </w:r>
          </w:p>
        </w:tc>
        <w:tc>
          <w:tcPr/>
          <w:p>
            <w:pPr>
              <w:pStyle w:val="Compact"/>
              <w:jc w:val="center"/>
            </w:pPr>
            <w:r>
              <w:t xml:space="preserve">650</w:t>
            </w:r>
          </w:p>
        </w:tc>
        <w:tc>
          <w:tcPr/>
          <w:p>
            <w:pPr>
              <w:pStyle w:val="Compact"/>
              <w:jc w:val="center"/>
            </w:pPr>
            <w:r>
              <w:t xml:space="preserve">2,750</w:t>
            </w:r>
          </w:p>
        </w:tc>
        <w:tc>
          <w:tcPr/>
          <w:p>
            <w:pPr>
              <w:pStyle w:val="Compact"/>
              <w:jc w:val="center"/>
            </w:pPr>
            <w:r>
              <w:t xml:space="preserve">7,200</w:t>
            </w:r>
          </w:p>
        </w:tc>
      </w:tr>
      <w:tr>
        <w:tc>
          <w:tcPr/>
          <w:p>
            <w:pPr>
              <w:pStyle w:val="Compact"/>
              <w:jc w:val="left"/>
            </w:pPr>
            <w:r>
              <w:rPr>
                <w:rFonts w:hint="eastAsia"/>
              </w:rPr>
              <w:t xml:space="preserve">ディスパッチ可能な火力容量</w:t>
            </w:r>
            <w:r>
              <w:t xml:space="preserve"> (MW)</w:t>
            </w:r>
          </w:p>
        </w:tc>
        <w:tc>
          <w:tcPr/>
          <w:p>
            <w:pPr>
              <w:pStyle w:val="Compact"/>
              <w:jc w:val="center"/>
            </w:pPr>
            <w:r>
              <w:t xml:space="preserve">21,400</w:t>
            </w:r>
          </w:p>
        </w:tc>
        <w:tc>
          <w:tcPr/>
          <w:p>
            <w:pPr>
              <w:pStyle w:val="Compact"/>
              <w:jc w:val="center"/>
            </w:pPr>
            <w:r>
              <w:t xml:space="preserve">19,900</w:t>
            </w:r>
          </w:p>
        </w:tc>
        <w:tc>
          <w:tcPr/>
          <w:p>
            <w:pPr>
              <w:pStyle w:val="Compact"/>
              <w:jc w:val="center"/>
            </w:pPr>
            <w:r>
              <w:t xml:space="preserve">18,100</w:t>
            </w:r>
          </w:p>
        </w:tc>
      </w:tr>
      <w:tr>
        <w:tc>
          <w:tcPr/>
          <w:p>
            <w:pPr>
              <w:pStyle w:val="Compact"/>
              <w:jc w:val="left"/>
            </w:pPr>
            <w:r>
              <w:rPr>
                <w:rFonts w:hint="eastAsia"/>
              </w:rPr>
              <w:t xml:space="preserve">電池出力／容量</w:t>
            </w:r>
          </w:p>
        </w:tc>
        <w:tc>
          <w:tcPr/>
          <w:p>
            <w:pPr>
              <w:pStyle w:val="Compact"/>
              <w:jc w:val="center"/>
            </w:pPr>
            <w:r>
              <w:t xml:space="preserve">450 MW / 1,000 MWh</w:t>
            </w:r>
          </w:p>
        </w:tc>
        <w:tc>
          <w:tcPr/>
          <w:p>
            <w:pPr>
              <w:pStyle w:val="Compact"/>
              <w:jc w:val="center"/>
            </w:pPr>
            <w:r>
              <w:t xml:space="preserve">2,250 MW / 7,200 MWh</w:t>
            </w:r>
          </w:p>
        </w:tc>
        <w:tc>
          <w:tcPr/>
          <w:p>
            <w:pPr>
              <w:pStyle w:val="Compact"/>
              <w:jc w:val="center"/>
            </w:pPr>
            <w:r>
              <w:t xml:space="preserve">5,100 MW / 20,400 MWh</w:t>
            </w:r>
          </w:p>
        </w:tc>
      </w:tr>
    </w:tbl>
    <w:p>
      <w:pPr>
        <w:pStyle w:val="BodyText"/>
      </w:pPr>
      <w:r>
        <w:rPr>
          <w:rFonts w:hint="eastAsia"/>
        </w:rPr>
        <w:t xml:space="preserve">ブルーリバーの数値はすべて架空のものである。定格再生可能エネルギー容量は、システムピーク時に利用可能な出力と同等ではない。</w:t>
      </w:r>
    </w:p>
    <w:bookmarkEnd w:id="11"/>
    <w:bookmarkStart w:id="12" w:name="日々の運用パズル"/>
    <w:p>
      <w:pPr>
        <w:pStyle w:val="Heading1"/>
      </w:pPr>
      <w:r>
        <w:rPr>
          <w:rFonts w:hint="eastAsia"/>
        </w:rPr>
        <w:t xml:space="preserve">日々の運用パズル</w:t>
      </w:r>
    </w:p>
    <w:p>
      <w:pPr>
        <w:pStyle w:val="FirstParagraph"/>
      </w:pPr>
      <w:r>
        <w:rPr>
          <w:rFonts w:hint="eastAsia"/>
        </w:rPr>
        <w:t xml:space="preserve">BRSOは毎日午後に、翌日分に十分な発電をコミットしていた。大型原子力ユニットは概ね連続運転していた。石炭・蒸気ユニットは起動に多くの時間を要し、出力を急速に変化させることができなかった。コンバインドサイクルガスユニットはより柔軟であったが、パイプライン容量とガス価格に依存していた。単純サイクルタービンは迅速に起動できるが、コストが高かった。風力と太陽光は運転コストが低いが、BRSOは風に吹くよう命じることも、雲の塊が太陽光発電所を横切るのを防ぐこともできなかった。</w:t>
      </w:r>
    </w:p>
    <w:p>
      <w:pPr>
        <w:pStyle w:val="BodyText"/>
      </w:pPr>
      <w:r>
        <w:rPr>
          <w:rFonts w:hint="eastAsia"/>
        </w:rPr>
        <w:t xml:space="preserve">リアルタイムでは、系統運用者は電力供給と需要をほぼ完璧に均衡させなければならなかった。不均衡が生じると、周波数が60ヘルツから逸脱し、機器の損傷や自動切断を引き起こす可能性があった。給電指令と市場価格は5分ごとに更新され、調整力資源は数秒ごとに出力を調整していた。送電制約が事態を複雑にしていた。北部の安価な電力は、2本の主要送電線が熱的限界に近づいているため、常に南部の負荷中心地に到達できるわけではなかった。</w:t>
      </w:r>
    </w:p>
    <w:p>
      <w:pPr>
        <w:pStyle w:val="BodyText"/>
      </w:pPr>
      <w:r>
        <w:rPr>
          <w:rFonts w:hint="eastAsia"/>
        </w:rPr>
        <w:t xml:space="preserve">需要予測自体も変動する目標であった。夜間気温予測の1度の誤差は、ピーク需要を約280MW変化させる可能性があった。雲量は太陽光発電を減少させると同時にエアコン需要を低下させる可能性があるが、必ずしも同じ場所で起こるとは限らなかった。大規模なスポーツイベントは、観客が帰宅する際に数分以内に数百メガワットを変動させる可能性があった。産業顧客は要請があれば消費を削減できるが、その対応は生産上のコミットメント、人員配置、インセンティブ支払いに依存していた。</w:t>
      </w:r>
    </w:p>
    <w:p>
      <w:pPr>
        <w:pStyle w:val="BodyText"/>
      </w:pPr>
      <w:r>
        <w:rPr>
          <w:rFonts w:hint="eastAsia"/>
        </w:rPr>
        <w:t xml:space="preserve">図2.</w:t>
      </w:r>
      <w:r>
        <w:t xml:space="preserve"> </w:t>
      </w:r>
      <w:r>
        <w:rPr>
          <w:rFonts w:hint="eastAsia"/>
        </w:rPr>
        <w:t xml:space="preserve">7月22日午後6時の運用状況</w:t>
      </w:r>
    </w:p>
    <w:tbl>
      <w:tblPr>
        <w:tblStyle w:val="Table"/>
        <w:tblW w:type="pct" w:w="4917"/>
        <w:tblLayout w:type="fixed"/>
        <w:tblLook w:firstRow="1" w:lastRow="0" w:firstColumn="0" w:lastColumn="0" w:noHBand="0" w:noVBand="0" w:val="0020"/>
      </w:tblPr>
      <w:tblGrid>
        <w:gridCol w:w="2376"/>
        <w:gridCol w:w="1188"/>
        <w:gridCol w:w="1254"/>
        <w:gridCol w:w="2970"/>
      </w:tblGrid>
      <w:tr>
        <w:trPr>
          <w:tblHeader w:val="on"/>
        </w:trPr>
        <w:tc>
          <w:tcPr/>
          <w:p>
            <w:pPr>
              <w:pStyle w:val="Compact"/>
              <w:jc w:val="left"/>
            </w:pPr>
            <w:r>
              <w:rPr>
                <w:rFonts w:hint="eastAsia"/>
              </w:rPr>
              <w:t xml:space="preserve">資源または要件</w:t>
            </w:r>
          </w:p>
        </w:tc>
        <w:tc>
          <w:tcPr/>
          <w:p>
            <w:pPr>
              <w:pStyle w:val="Compact"/>
              <w:jc w:val="center"/>
            </w:pPr>
            <w:r>
              <w:rPr>
                <w:rFonts w:hint="eastAsia"/>
              </w:rPr>
              <w:t xml:space="preserve">予想MW</w:t>
            </w:r>
          </w:p>
        </w:tc>
        <w:tc>
          <w:tcPr/>
          <w:p>
            <w:pPr>
              <w:pStyle w:val="Compact"/>
              <w:jc w:val="center"/>
            </w:pPr>
            <w:r>
              <w:rPr>
                <w:rFonts w:hint="eastAsia"/>
              </w:rPr>
              <w:t xml:space="preserve">下振れケースMW</w:t>
            </w:r>
          </w:p>
        </w:tc>
        <w:tc>
          <w:tcPr/>
          <w:p>
            <w:pPr>
              <w:pStyle w:val="Compact"/>
              <w:jc w:val="center"/>
            </w:pPr>
            <w:r>
              <w:rPr>
                <w:rFonts w:hint="eastAsia"/>
              </w:rPr>
              <w:t xml:space="preserve">運用上の考慮事項</w:t>
            </w:r>
          </w:p>
        </w:tc>
      </w:tr>
      <w:tr>
        <w:tc>
          <w:tcPr/>
          <w:p>
            <w:pPr>
              <w:pStyle w:val="Compact"/>
              <w:jc w:val="left"/>
            </w:pPr>
            <w:r>
              <w:rPr>
                <w:rFonts w:hint="eastAsia"/>
              </w:rPr>
              <w:t xml:space="preserve">顧客需要</w:t>
            </w:r>
          </w:p>
        </w:tc>
        <w:tc>
          <w:tcPr/>
          <w:p>
            <w:pPr>
              <w:pStyle w:val="Compact"/>
              <w:jc w:val="center"/>
            </w:pPr>
            <w:r>
              <w:t xml:space="preserve">30,850</w:t>
            </w:r>
          </w:p>
        </w:tc>
        <w:tc>
          <w:tcPr/>
          <w:p>
            <w:pPr>
              <w:pStyle w:val="Compact"/>
              <w:jc w:val="center"/>
            </w:pPr>
            <w:r>
              <w:t xml:space="preserve">31,700</w:t>
            </w:r>
          </w:p>
        </w:tc>
        <w:tc>
          <w:tcPr/>
          <w:p>
            <w:pPr>
              <w:pStyle w:val="Compact"/>
              <w:jc w:val="center"/>
            </w:pPr>
            <w:r>
              <w:rPr>
                <w:rFonts w:hint="eastAsia"/>
              </w:rPr>
              <w:t xml:space="preserve">気温と湿度は不確実なまま</w:t>
            </w:r>
          </w:p>
        </w:tc>
      </w:tr>
      <w:tr>
        <w:tc>
          <w:tcPr/>
          <w:p>
            <w:pPr>
              <w:pStyle w:val="Compact"/>
              <w:jc w:val="left"/>
            </w:pPr>
            <w:r>
              <w:rPr>
                <w:rFonts w:hint="eastAsia"/>
              </w:rPr>
              <w:t xml:space="preserve">原子力および必須稼働発電</w:t>
            </w:r>
          </w:p>
        </w:tc>
        <w:tc>
          <w:tcPr/>
          <w:p>
            <w:pPr>
              <w:pStyle w:val="Compact"/>
              <w:jc w:val="center"/>
            </w:pPr>
            <w:r>
              <w:t xml:space="preserve">5,900</w:t>
            </w:r>
          </w:p>
        </w:tc>
        <w:tc>
          <w:tcPr/>
          <w:p>
            <w:pPr>
              <w:pStyle w:val="Compact"/>
              <w:jc w:val="center"/>
            </w:pPr>
            <w:r>
              <w:t xml:space="preserve">5,900</w:t>
            </w:r>
          </w:p>
        </w:tc>
        <w:tc>
          <w:tcPr/>
          <w:p>
            <w:pPr>
              <w:pStyle w:val="Compact"/>
              <w:jc w:val="center"/>
            </w:pPr>
            <w:r>
              <w:rPr>
                <w:rFonts w:hint="eastAsia"/>
              </w:rPr>
              <w:t xml:space="preserve">短期的な柔軟性はほとんどない</w:t>
            </w:r>
          </w:p>
        </w:tc>
      </w:tr>
      <w:tr>
        <w:tc>
          <w:tcPr/>
          <w:p>
            <w:pPr>
              <w:pStyle w:val="Compact"/>
              <w:jc w:val="left"/>
            </w:pPr>
            <w:r>
              <w:rPr>
                <w:rFonts w:hint="eastAsia"/>
              </w:rPr>
              <w:t xml:space="preserve">石炭・蒸気発電</w:t>
            </w:r>
          </w:p>
        </w:tc>
        <w:tc>
          <w:tcPr/>
          <w:p>
            <w:pPr>
              <w:pStyle w:val="Compact"/>
              <w:jc w:val="center"/>
            </w:pPr>
            <w:r>
              <w:t xml:space="preserve">4,850</w:t>
            </w:r>
          </w:p>
        </w:tc>
        <w:tc>
          <w:tcPr/>
          <w:p>
            <w:pPr>
              <w:pStyle w:val="Compact"/>
              <w:jc w:val="center"/>
            </w:pPr>
            <w:r>
              <w:t xml:space="preserve">4,550</w:t>
            </w:r>
          </w:p>
        </w:tc>
        <w:tc>
          <w:tcPr/>
          <w:p>
            <w:pPr>
              <w:pStyle w:val="Compact"/>
              <w:jc w:val="center"/>
            </w:pPr>
            <w:r>
              <w:rPr>
                <w:rFonts w:hint="eastAsia"/>
              </w:rPr>
              <w:t xml:space="preserve">1基にボイラー温度の懸念あり</w:t>
            </w:r>
          </w:p>
        </w:tc>
      </w:tr>
      <w:tr>
        <w:tc>
          <w:tcPr/>
          <w:p>
            <w:pPr>
              <w:pStyle w:val="Compact"/>
              <w:jc w:val="left"/>
            </w:pPr>
            <w:r>
              <w:t xml:space="preserve">コンバインドサイクルガス</w:t>
            </w:r>
          </w:p>
        </w:tc>
        <w:tc>
          <w:tcPr/>
          <w:p>
            <w:pPr>
              <w:pStyle w:val="Compact"/>
              <w:jc w:val="center"/>
            </w:pPr>
            <w:r>
              <w:t xml:space="preserve">8,300</w:t>
            </w:r>
          </w:p>
        </w:tc>
        <w:tc>
          <w:tcPr/>
          <w:p>
            <w:pPr>
              <w:pStyle w:val="Compact"/>
              <w:jc w:val="center"/>
            </w:pPr>
            <w:r>
              <w:t xml:space="preserve">7,580</w:t>
            </w:r>
          </w:p>
        </w:tc>
        <w:tc>
          <w:tcPr/>
          <w:p>
            <w:pPr>
              <w:pStyle w:val="Compact"/>
              <w:jc w:val="center"/>
            </w:pPr>
            <w:r>
              <w:rPr>
                <w:rFonts w:hint="eastAsia"/>
              </w:rPr>
              <w:t xml:space="preserve">リバーベンド4号機を含む</w:t>
            </w:r>
          </w:p>
        </w:tc>
      </w:tr>
      <w:tr>
        <w:tc>
          <w:tcPr/>
          <w:p>
            <w:pPr>
              <w:pStyle w:val="Compact"/>
              <w:jc w:val="left"/>
            </w:pPr>
            <w:r>
              <w:rPr>
                <w:rFonts w:hint="eastAsia"/>
              </w:rPr>
              <w:t xml:space="preserve">クイックスタートガス・石油</w:t>
            </w:r>
          </w:p>
        </w:tc>
        <w:tc>
          <w:tcPr/>
          <w:p>
            <w:pPr>
              <w:pStyle w:val="Compact"/>
              <w:jc w:val="center"/>
            </w:pPr>
            <w:r>
              <w:t xml:space="preserve">1,850</w:t>
            </w:r>
          </w:p>
        </w:tc>
        <w:tc>
          <w:tcPr/>
          <w:p>
            <w:pPr>
              <w:pStyle w:val="Compact"/>
              <w:jc w:val="center"/>
            </w:pPr>
            <w:r>
              <w:t xml:space="preserve">1,850</w:t>
            </w:r>
          </w:p>
        </w:tc>
        <w:tc>
          <w:tcPr/>
          <w:p>
            <w:pPr>
              <w:pStyle w:val="Compact"/>
              <w:jc w:val="center"/>
            </w:pPr>
            <w:r>
              <w:rPr>
                <w:rFonts w:hint="eastAsia"/>
              </w:rPr>
              <w:t xml:space="preserve">高コスト、起動20〜60分</w:t>
            </w:r>
          </w:p>
        </w:tc>
      </w:tr>
      <w:tr>
        <w:tc>
          <w:tcPr/>
          <w:p>
            <w:pPr>
              <w:pStyle w:val="Compact"/>
              <w:jc w:val="left"/>
            </w:pPr>
            <w:r>
              <w:rPr>
                <w:rFonts w:hint="eastAsia"/>
              </w:rPr>
              <w:t xml:space="preserve">風力</w:t>
            </w:r>
          </w:p>
        </w:tc>
        <w:tc>
          <w:tcPr/>
          <w:p>
            <w:pPr>
              <w:pStyle w:val="Compact"/>
              <w:jc w:val="center"/>
            </w:pPr>
            <w:r>
              <w:t xml:space="preserve">3,050</w:t>
            </w:r>
          </w:p>
        </w:tc>
        <w:tc>
          <w:tcPr/>
          <w:p>
            <w:pPr>
              <w:pStyle w:val="Compact"/>
              <w:jc w:val="center"/>
            </w:pPr>
            <w:r>
              <w:t xml:space="preserve">2,200</w:t>
            </w:r>
          </w:p>
        </w:tc>
        <w:tc>
          <w:tcPr/>
          <w:p>
            <w:pPr>
              <w:pStyle w:val="Compact"/>
              <w:jc w:val="center"/>
            </w:pPr>
            <w:r>
              <w:rPr>
                <w:rFonts w:hint="eastAsia"/>
              </w:rPr>
              <w:t xml:space="preserve">前線により、ピーク前に出力低下の可能性</w:t>
            </w:r>
          </w:p>
        </w:tc>
      </w:tr>
      <w:tr>
        <w:tc>
          <w:tcPr/>
          <w:p>
            <w:pPr>
              <w:pStyle w:val="Compact"/>
              <w:jc w:val="left"/>
            </w:pPr>
            <w:r>
              <w:rPr>
                <w:rFonts w:hint="eastAsia"/>
              </w:rPr>
              <w:t xml:space="preserve">太陽光</w:t>
            </w:r>
          </w:p>
        </w:tc>
        <w:tc>
          <w:tcPr/>
          <w:p>
            <w:pPr>
              <w:pStyle w:val="Compact"/>
              <w:jc w:val="center"/>
            </w:pPr>
            <w:r>
              <w:t xml:space="preserve">3,600</w:t>
            </w:r>
          </w:p>
        </w:tc>
        <w:tc>
          <w:tcPr/>
          <w:p>
            <w:pPr>
              <w:pStyle w:val="Compact"/>
              <w:jc w:val="center"/>
            </w:pPr>
            <w:r>
              <w:t xml:space="preserve">2,300</w:t>
            </w:r>
          </w:p>
        </w:tc>
        <w:tc>
          <w:tcPr/>
          <w:p>
            <w:pPr>
              <w:pStyle w:val="Compact"/>
              <w:jc w:val="center"/>
            </w:pPr>
            <w:r>
              <w:rPr>
                <w:rFonts w:hint="eastAsia"/>
              </w:rPr>
              <w:t xml:space="preserve">雷雨が早く到来する可能性</w:t>
            </w:r>
          </w:p>
        </w:tc>
      </w:tr>
      <w:tr>
        <w:tc>
          <w:tcPr/>
          <w:p>
            <w:pPr>
              <w:pStyle w:val="Compact"/>
              <w:jc w:val="left"/>
            </w:pPr>
            <w:r>
              <w:rPr>
                <w:rFonts w:hint="eastAsia"/>
              </w:rPr>
              <w:t xml:space="preserve">水力および輸入</w:t>
            </w:r>
          </w:p>
        </w:tc>
        <w:tc>
          <w:tcPr/>
          <w:p>
            <w:pPr>
              <w:pStyle w:val="Compact"/>
              <w:jc w:val="center"/>
            </w:pPr>
            <w:r>
              <w:t xml:space="preserve">2,150</w:t>
            </w:r>
          </w:p>
        </w:tc>
        <w:tc>
          <w:tcPr/>
          <w:p>
            <w:pPr>
              <w:pStyle w:val="Compact"/>
              <w:jc w:val="center"/>
            </w:pPr>
            <w:r>
              <w:t xml:space="preserve">1,750</w:t>
            </w:r>
          </w:p>
        </w:tc>
        <w:tc>
          <w:tcPr/>
          <w:p>
            <w:pPr>
              <w:pStyle w:val="Compact"/>
              <w:jc w:val="center"/>
            </w:pPr>
            <w:r>
              <w:rPr>
                <w:rFonts w:hint="eastAsia"/>
              </w:rPr>
              <w:t xml:space="preserve">近隣地域もひっ迫している</w:t>
            </w:r>
          </w:p>
        </w:tc>
      </w:tr>
      <w:tr>
        <w:tc>
          <w:tcPr/>
          <w:p>
            <w:pPr>
              <w:pStyle w:val="Compact"/>
              <w:jc w:val="left"/>
            </w:pPr>
            <w:r>
              <w:rPr>
                <w:rFonts w:hint="eastAsia"/>
              </w:rPr>
              <w:t xml:space="preserve">利用可能な電池放電</w:t>
            </w:r>
          </w:p>
        </w:tc>
        <w:tc>
          <w:tcPr/>
          <w:p>
            <w:pPr>
              <w:pStyle w:val="Compact"/>
              <w:jc w:val="center"/>
            </w:pPr>
            <w:r>
              <w:t xml:space="preserve">1,650</w:t>
            </w:r>
          </w:p>
        </w:tc>
        <w:tc>
          <w:tcPr/>
          <w:p>
            <w:pPr>
              <w:pStyle w:val="Compact"/>
              <w:jc w:val="center"/>
            </w:pPr>
            <w:r>
              <w:t xml:space="preserve">1,650</w:t>
            </w:r>
          </w:p>
        </w:tc>
        <w:tc>
          <w:tcPr/>
          <w:p>
            <w:pPr>
              <w:pStyle w:val="Compact"/>
              <w:jc w:val="center"/>
            </w:pPr>
            <w:r>
              <w:rPr>
                <w:rFonts w:hint="eastAsia"/>
              </w:rPr>
              <w:t xml:space="preserve">最大4時間の持続時間</w:t>
            </w:r>
          </w:p>
        </w:tc>
      </w:tr>
      <w:tr>
        <w:tc>
          <w:tcPr/>
          <w:p>
            <w:pPr>
              <w:pStyle w:val="Compact"/>
              <w:jc w:val="left"/>
            </w:pPr>
            <w:r>
              <w:rPr>
                <w:rFonts w:hint="eastAsia"/>
              </w:rPr>
              <w:t xml:space="preserve">契約下のデマンドレスポンス</w:t>
            </w:r>
          </w:p>
        </w:tc>
        <w:tc>
          <w:tcPr/>
          <w:p>
            <w:pPr>
              <w:pStyle w:val="Compact"/>
              <w:jc w:val="center"/>
            </w:pPr>
            <w:r>
              <w:t xml:space="preserve">900</w:t>
            </w:r>
          </w:p>
        </w:tc>
        <w:tc>
          <w:tcPr/>
          <w:p>
            <w:pPr>
              <w:pStyle w:val="Compact"/>
              <w:jc w:val="center"/>
            </w:pPr>
            <w:r>
              <w:t xml:space="preserve">550</w:t>
            </w:r>
          </w:p>
        </w:tc>
        <w:tc>
          <w:tcPr/>
          <w:p>
            <w:pPr>
              <w:pStyle w:val="Compact"/>
              <w:jc w:val="center"/>
            </w:pPr>
            <w:r>
              <w:rPr>
                <w:rFonts w:hint="eastAsia"/>
              </w:rPr>
              <w:t xml:space="preserve">参加は保証されない</w:t>
            </w:r>
          </w:p>
        </w:tc>
      </w:tr>
      <w:tr>
        <w:tc>
          <w:tcPr/>
          <w:p>
            <w:pPr>
              <w:pStyle w:val="Compact"/>
              <w:jc w:val="left"/>
            </w:pPr>
            <w:r>
              <w:rPr>
                <w:rFonts w:hint="eastAsia"/>
              </w:rPr>
              <w:t xml:space="preserve">潜在的供給／対応の合計</w:t>
            </w:r>
          </w:p>
        </w:tc>
        <w:tc>
          <w:tcPr/>
          <w:p>
            <w:pPr>
              <w:pStyle w:val="Compact"/>
              <w:jc w:val="center"/>
            </w:pPr>
            <w:r>
              <w:t xml:space="preserve">32,250</w:t>
            </w:r>
          </w:p>
        </w:tc>
        <w:tc>
          <w:tcPr/>
          <w:p>
            <w:pPr>
              <w:pStyle w:val="Compact"/>
              <w:jc w:val="center"/>
            </w:pPr>
            <w:r>
              <w:t xml:space="preserve">28,330</w:t>
            </w:r>
          </w:p>
        </w:tc>
        <w:tc>
          <w:tcPr/>
          <w:p>
            <w:pPr>
              <w:pStyle w:val="Compact"/>
              <w:jc w:val="center"/>
            </w:pPr>
            <w:r>
              <w:rPr>
                <w:rFonts w:hint="eastAsia"/>
              </w:rPr>
              <w:t xml:space="preserve">下振れケースは重大な不足を示唆する</w:t>
            </w:r>
          </w:p>
        </w:tc>
      </w:tr>
    </w:tbl>
    <w:p>
      <w:pPr>
        <w:pStyle w:val="BodyText"/>
      </w:pPr>
      <w:r>
        <w:rPr>
          <w:rFonts w:hint="eastAsia"/>
        </w:rPr>
        <w:t xml:space="preserve">下振れケースは不利な前提を組み合わせたものであり、正式な確率予測ではない。</w:t>
      </w:r>
    </w:p>
    <w:bookmarkEnd w:id="12"/>
    <w:bookmarkStart w:id="13" w:name="備えのコスト"/>
    <w:p>
      <w:pPr>
        <w:pStyle w:val="Heading1"/>
      </w:pPr>
      <w:r>
        <w:rPr>
          <w:rFonts w:hint="eastAsia"/>
        </w:rPr>
        <w:t xml:space="preserve">備えのコスト</w:t>
      </w:r>
    </w:p>
    <w:p>
      <w:pPr>
        <w:pStyle w:val="FirstParagraph"/>
      </w:pPr>
      <w:r>
        <w:rPr>
          <w:rFonts w:hint="eastAsia"/>
        </w:rPr>
        <w:t xml:space="preserve">信頼性は歴史的にBRSOの運営文化を支配してきた。しかし顧客や規制当局はますますコストを懸念するようになっていた。地域の平均卸電力価格は、2022年の1メガワット時あたり34ドルから2025年には58ドルに上昇していた。必要な時に資源が利用可能であることを保証するために支払われる容量支払いは、次回のオークションで3倍になると予測されていた。小売料金には、新規発電の接続や大規模負荷へのサービス提供に必要な送電投資も含まれていた。</w:t>
      </w:r>
    </w:p>
    <w:p>
      <w:pPr>
        <w:pStyle w:val="BodyText"/>
      </w:pPr>
      <w:r>
        <w:rPr>
          <w:rFonts w:hint="eastAsia"/>
        </w:rPr>
        <w:t xml:space="preserve">最も信頼性の高い行動が、必ずしも最も安価であるとは限らなかった。過剰な火力発電機のコミットは予測誤差に対する備えとなるが、需要や再生可能エネルギー出力が良好に推移した場合でも、顧客に起動費用と最低稼働コストを負担させることになる。ユニットのコミットが不足すると、系統は変動の激しいリアルタイム価格や緊急不足にさらされる。電池はピーカーの起動を回避できるが、午後4時に放電すると午後7時30分には蓄電が残っていない可能性がある。デマンドレスポンスの呼びかけは信頼性を保護できるが、工場の生産を中断させ、頻繁に呼びかけすぎるとプログラムへの信頼を損なう可能性がある。</w:t>
      </w:r>
    </w:p>
    <w:p>
      <w:pPr>
        <w:pStyle w:val="BodyText"/>
      </w:pPr>
      <w:r>
        <w:rPr>
          <w:rFonts w:hint="eastAsia"/>
        </w:rPr>
        <w:t xml:space="preserve">環境への影響も不均一であった。BRSOの石油ピーカーは、ガス発電よりもはるかに多くの二酸化炭素と地域汚染物質を排出していた。提案されている900MWのガス発電所は信頼性を向上させるが、30年間稼働する可能性がある。より大規模な電池ポートフォリオは直接的な排出を回避するが、充電するのに十分な余剰エネルギーが必要であり、4時間電池は複数日にわたる冬季不足をカバーできない。新しい送電網は風力資源を活用できるが、許認可と建設には7年から10年かかると予想されていた。</w:t>
      </w:r>
    </w:p>
    <w:p>
      <w:pPr>
        <w:pStyle w:val="BodyText"/>
      </w:pPr>
      <w:r>
        <w:rPr>
          <w:rFonts w:hint="eastAsia"/>
        </w:rPr>
        <w:t xml:space="preserve">図3.</w:t>
      </w:r>
      <w:r>
        <w:t xml:space="preserve"> </w:t>
      </w:r>
      <w:r>
        <w:rPr>
          <w:rFonts w:hint="eastAsia"/>
        </w:rPr>
        <w:t xml:space="preserve">選定された運用上の代替案</w:t>
      </w:r>
    </w:p>
    <w:tbl>
      <w:tblPr>
        <w:tblStyle w:val="Table"/>
        <w:tblW w:type="pct" w:w="4924"/>
        <w:tblLayout w:type="fixed"/>
        <w:tblLook w:firstRow="1" w:lastRow="0" w:firstColumn="0" w:lastColumn="0" w:noHBand="0" w:noVBand="0" w:val="0020"/>
      </w:tblPr>
      <w:tblGrid>
        <w:gridCol w:w="1740"/>
        <w:gridCol w:w="2160"/>
        <w:gridCol w:w="1080"/>
        <w:gridCol w:w="2820"/>
      </w:tblGrid>
      <w:tr>
        <w:trPr>
          <w:tblHeader w:val="on"/>
        </w:trPr>
        <w:tc>
          <w:tcPr/>
          <w:p>
            <w:pPr>
              <w:pStyle w:val="Compact"/>
              <w:jc w:val="left"/>
            </w:pPr>
            <w:r>
              <w:rPr>
                <w:rFonts w:hint="eastAsia"/>
              </w:rPr>
              <w:t xml:space="preserve">代替案</w:t>
            </w:r>
          </w:p>
        </w:tc>
        <w:tc>
          <w:tcPr/>
          <w:p>
            <w:pPr>
              <w:pStyle w:val="Compact"/>
              <w:jc w:val="center"/>
            </w:pPr>
            <w:r>
              <w:rPr>
                <w:rFonts w:hint="eastAsia"/>
              </w:rPr>
              <w:t xml:space="preserve">概算変動コスト</w:t>
            </w:r>
          </w:p>
        </w:tc>
        <w:tc>
          <w:tcPr/>
          <w:p>
            <w:pPr>
              <w:pStyle w:val="Compact"/>
              <w:jc w:val="center"/>
            </w:pPr>
            <w:r>
              <w:rPr>
                <w:rFonts w:hint="eastAsia"/>
              </w:rPr>
              <w:t xml:space="preserve">応答時間</w:t>
            </w:r>
          </w:p>
        </w:tc>
        <w:tc>
          <w:tcPr/>
          <w:p>
            <w:pPr>
              <w:pStyle w:val="Compact"/>
              <w:jc w:val="center"/>
            </w:pPr>
            <w:r>
              <w:rPr>
                <w:rFonts w:hint="eastAsia"/>
              </w:rPr>
              <w:t xml:space="preserve">持続時間／制約</w:t>
            </w:r>
          </w:p>
        </w:tc>
      </w:tr>
      <w:tr>
        <w:tc>
          <w:tcPr/>
          <w:p>
            <w:pPr>
              <w:pStyle w:val="Compact"/>
              <w:jc w:val="left"/>
            </w:pPr>
            <w:r>
              <w:t xml:space="preserve">コンバインドサイクルガス</w:t>
            </w:r>
          </w:p>
        </w:tc>
        <w:tc>
          <w:tcPr/>
          <w:p>
            <w:pPr>
              <w:pStyle w:val="Compact"/>
              <w:jc w:val="center"/>
            </w:pPr>
            <w:r>
              <w:t xml:space="preserve">42〜78ドル/MWh</w:t>
            </w:r>
          </w:p>
        </w:tc>
        <w:tc>
          <w:tcPr/>
          <w:p>
            <w:pPr>
              <w:pStyle w:val="Compact"/>
              <w:jc w:val="center"/>
            </w:pPr>
            <w:r>
              <w:rPr>
                <w:rFonts w:hint="eastAsia"/>
              </w:rPr>
              <w:t xml:space="preserve">10〜60分</w:t>
            </w:r>
          </w:p>
        </w:tc>
        <w:tc>
          <w:tcPr/>
          <w:p>
            <w:pPr>
              <w:pStyle w:val="Compact"/>
              <w:jc w:val="center"/>
            </w:pPr>
            <w:r>
              <w:rPr>
                <w:rFonts w:hint="eastAsia"/>
              </w:rPr>
              <w:t xml:space="preserve">ガスパイプラインとユニットの稼働可能性</w:t>
            </w:r>
          </w:p>
        </w:tc>
      </w:tr>
      <w:tr>
        <w:tc>
          <w:tcPr/>
          <w:p>
            <w:pPr>
              <w:pStyle w:val="Compact"/>
              <w:jc w:val="left"/>
            </w:pPr>
            <w:r>
              <w:rPr>
                <w:rFonts w:hint="eastAsia"/>
              </w:rPr>
              <w:t xml:space="preserve">単純サイクルガス</w:t>
            </w:r>
          </w:p>
        </w:tc>
        <w:tc>
          <w:tcPr/>
          <w:p>
            <w:pPr>
              <w:pStyle w:val="Compact"/>
              <w:jc w:val="center"/>
            </w:pPr>
            <w:r>
              <w:t xml:space="preserve">85〜150ドル/MWh</w:t>
            </w:r>
          </w:p>
        </w:tc>
        <w:tc>
          <w:tcPr/>
          <w:p>
            <w:pPr>
              <w:pStyle w:val="Compact"/>
              <w:jc w:val="center"/>
            </w:pPr>
            <w:r>
              <w:rPr>
                <w:rFonts w:hint="eastAsia"/>
              </w:rPr>
              <w:t xml:space="preserve">10〜20分</w:t>
            </w:r>
          </w:p>
        </w:tc>
        <w:tc>
          <w:tcPr/>
          <w:p>
            <w:pPr>
              <w:pStyle w:val="Compact"/>
              <w:jc w:val="center"/>
            </w:pPr>
            <w:r>
              <w:rPr>
                <w:rFonts w:hint="eastAsia"/>
              </w:rPr>
              <w:t xml:space="preserve">高い燃料コストと排出量</w:t>
            </w:r>
          </w:p>
        </w:tc>
      </w:tr>
      <w:tr>
        <w:tc>
          <w:tcPr/>
          <w:p>
            <w:pPr>
              <w:pStyle w:val="Compact"/>
              <w:jc w:val="left"/>
            </w:pPr>
            <w:r>
              <w:rPr>
                <w:rFonts w:hint="eastAsia"/>
              </w:rPr>
              <w:t xml:space="preserve">石油ピーカー</w:t>
            </w:r>
          </w:p>
        </w:tc>
        <w:tc>
          <w:tcPr/>
          <w:p>
            <w:pPr>
              <w:pStyle w:val="Compact"/>
              <w:jc w:val="center"/>
            </w:pPr>
            <w:r>
              <w:t xml:space="preserve">180〜320ドル/MWh</w:t>
            </w:r>
          </w:p>
        </w:tc>
        <w:tc>
          <w:tcPr/>
          <w:p>
            <w:pPr>
              <w:pStyle w:val="Compact"/>
              <w:jc w:val="center"/>
            </w:pPr>
            <w:r>
              <w:rPr>
                <w:rFonts w:hint="eastAsia"/>
              </w:rPr>
              <w:t xml:space="preserve">30〜60分</w:t>
            </w:r>
          </w:p>
        </w:tc>
        <w:tc>
          <w:tcPr/>
          <w:p>
            <w:pPr>
              <w:pStyle w:val="Compact"/>
              <w:jc w:val="center"/>
            </w:pPr>
            <w:r>
              <w:rPr>
                <w:rFonts w:hint="eastAsia"/>
              </w:rPr>
              <w:t xml:space="preserve">最も高い排出量、限られた燃料在庫</w:t>
            </w:r>
          </w:p>
        </w:tc>
      </w:tr>
      <w:tr>
        <w:tc>
          <w:tcPr/>
          <w:p>
            <w:pPr>
              <w:pStyle w:val="Compact"/>
              <w:jc w:val="left"/>
            </w:pPr>
            <w:r>
              <w:rPr>
                <w:rFonts w:hint="eastAsia"/>
              </w:rPr>
              <w:t xml:space="preserve">市場輸入</w:t>
            </w:r>
          </w:p>
        </w:tc>
        <w:tc>
          <w:tcPr/>
          <w:p>
            <w:pPr>
              <w:pStyle w:val="Compact"/>
              <w:jc w:val="center"/>
            </w:pPr>
            <w:r>
              <w:rPr>
                <w:rFonts w:hint="eastAsia"/>
              </w:rPr>
              <w:t xml:space="preserve">-20ドル〜1,000ドル超/MWh</w:t>
            </w:r>
          </w:p>
        </w:tc>
        <w:tc>
          <w:tcPr/>
          <w:p>
            <w:pPr>
              <w:pStyle w:val="Compact"/>
              <w:jc w:val="center"/>
            </w:pPr>
            <w:r>
              <w:rPr>
                <w:rFonts w:hint="eastAsia"/>
              </w:rPr>
              <w:t xml:space="preserve">5分</w:t>
            </w:r>
          </w:p>
        </w:tc>
        <w:tc>
          <w:tcPr/>
          <w:p>
            <w:pPr>
              <w:pStyle w:val="Compact"/>
              <w:jc w:val="center"/>
            </w:pPr>
            <w:r>
              <w:rPr>
                <w:rFonts w:hint="eastAsia"/>
              </w:rPr>
              <w:t xml:space="preserve">価格と送電の利用可能性が変動する</w:t>
            </w:r>
          </w:p>
        </w:tc>
      </w:tr>
      <w:tr>
        <w:tc>
          <w:tcPr/>
          <w:p>
            <w:pPr>
              <w:pStyle w:val="Compact"/>
              <w:jc w:val="left"/>
            </w:pPr>
            <w:r>
              <w:rPr>
                <w:rFonts w:hint="eastAsia"/>
              </w:rPr>
              <w:t xml:space="preserve">4時間電池</w:t>
            </w:r>
          </w:p>
        </w:tc>
        <w:tc>
          <w:tcPr/>
          <w:p>
            <w:pPr>
              <w:pStyle w:val="Compact"/>
              <w:jc w:val="center"/>
            </w:pPr>
            <w:r>
              <w:rPr>
                <w:rFonts w:hint="eastAsia"/>
              </w:rPr>
              <w:t xml:space="preserve">蓄電エネルギーの機会費用</w:t>
            </w:r>
          </w:p>
        </w:tc>
        <w:tc>
          <w:tcPr/>
          <w:p>
            <w:pPr>
              <w:pStyle w:val="Compact"/>
              <w:jc w:val="center"/>
            </w:pPr>
            <w:r>
              <w:rPr>
                <w:rFonts w:hint="eastAsia"/>
              </w:rPr>
              <w:t xml:space="preserve">数秒</w:t>
            </w:r>
          </w:p>
        </w:tc>
        <w:tc>
          <w:tcPr/>
          <w:p>
            <w:pPr>
              <w:pStyle w:val="Compact"/>
              <w:jc w:val="center"/>
            </w:pPr>
            <w:r>
              <w:rPr>
                <w:rFonts w:hint="eastAsia"/>
              </w:rPr>
              <w:t xml:space="preserve">持続放電後にエネルギーが枯渇する</w:t>
            </w:r>
          </w:p>
        </w:tc>
      </w:tr>
      <w:tr>
        <w:tc>
          <w:tcPr/>
          <w:p>
            <w:pPr>
              <w:pStyle w:val="Compact"/>
              <w:jc w:val="left"/>
            </w:pPr>
            <w:r>
              <w:rPr>
                <w:rFonts w:hint="eastAsia"/>
              </w:rPr>
              <w:t xml:space="preserve">産業デマンドレスポンス</w:t>
            </w:r>
          </w:p>
        </w:tc>
        <w:tc>
          <w:tcPr/>
          <w:p>
            <w:pPr>
              <w:pStyle w:val="Compact"/>
              <w:jc w:val="center"/>
            </w:pPr>
            <w:r>
              <w:rPr>
                <w:rFonts w:hint="eastAsia"/>
              </w:rPr>
              <w:t xml:space="preserve">抑制1MWhあたり250〜900ドル</w:t>
            </w:r>
          </w:p>
        </w:tc>
        <w:tc>
          <w:tcPr/>
          <w:p>
            <w:pPr>
              <w:pStyle w:val="Compact"/>
              <w:jc w:val="center"/>
            </w:pPr>
            <w:r>
              <w:rPr>
                <w:rFonts w:hint="eastAsia"/>
              </w:rPr>
              <w:t xml:space="preserve">10〜30分</w:t>
            </w:r>
          </w:p>
        </w:tc>
        <w:tc>
          <w:tcPr/>
          <w:p>
            <w:pPr>
              <w:pStyle w:val="Compact"/>
              <w:jc w:val="center"/>
            </w:pPr>
            <w:r>
              <w:rPr>
                <w:rFonts w:hint="eastAsia"/>
              </w:rPr>
              <w:t xml:space="preserve">顧客参加と生産への影響</w:t>
            </w:r>
          </w:p>
        </w:tc>
      </w:tr>
      <w:tr>
        <w:tc>
          <w:tcPr/>
          <w:p>
            <w:pPr>
              <w:pStyle w:val="Compact"/>
              <w:jc w:val="left"/>
            </w:pPr>
            <w:r>
              <w:rPr>
                <w:rFonts w:hint="eastAsia"/>
              </w:rPr>
              <w:t xml:space="preserve">制御停電</w:t>
            </w:r>
          </w:p>
        </w:tc>
        <w:tc>
          <w:tcPr/>
          <w:p>
            <w:pPr>
              <w:pStyle w:val="Compact"/>
              <w:jc w:val="center"/>
            </w:pPr>
            <w:r>
              <w:rPr>
                <w:rFonts w:hint="eastAsia"/>
              </w:rPr>
              <w:t xml:space="preserve">通常のエネルギーとしては評価されな</w:t>
            </w:r>
          </w:p>
        </w:tc>
        <w:tc>
          <w:tcPr/>
          <w:p>
            <w:pPr>
              <w:pStyle w:val="Compact"/>
              <w:jc w:val="center"/>
            </w:pPr>
            <w:r>
              <w:t xml:space="preserve">い </w:t>
            </w:r>
            <w:r>
              <w:rPr>
                <w:rFonts w:hint="eastAsia"/>
              </w:rPr>
              <w:t xml:space="preserve">数分</w:t>
            </w:r>
          </w:p>
        </w:tc>
        <w:tc>
          <w:tcPr/>
          <w:p>
            <w:pPr>
              <w:pStyle w:val="Compact"/>
              <w:jc w:val="center"/>
            </w:pPr>
            <w:r>
              <w:rPr>
                <w:rFonts w:hint="eastAsia"/>
              </w:rPr>
              <w:t xml:space="preserve">重大な社会的、安全上、評判上のコスト</w:t>
            </w:r>
          </w:p>
        </w:tc>
      </w:tr>
    </w:tbl>
    <w:p>
      <w:pPr>
        <w:pStyle w:val="BodyText"/>
      </w:pPr>
      <w:r>
        <w:rPr>
          <w:rFonts w:hint="eastAsia"/>
        </w:rPr>
        <w:t xml:space="preserve">数値はコスト、速度、持続性の違いを示すための架空の計画上の推定値である。</w:t>
      </w:r>
    </w:p>
    <w:bookmarkEnd w:id="13"/>
    <w:bookmarkStart w:id="14" w:name="将来の運用を形作る投資"/>
    <w:p>
      <w:pPr>
        <w:pStyle w:val="Heading1"/>
      </w:pPr>
      <w:r>
        <w:rPr>
          <w:rFonts w:hint="eastAsia"/>
        </w:rPr>
        <w:t xml:space="preserve">将来の運用を形作る投資</w:t>
      </w:r>
    </w:p>
    <w:p>
      <w:pPr>
        <w:pStyle w:val="FirstParagraph"/>
      </w:pPr>
      <w:r>
        <w:rPr>
          <w:rFonts w:hint="eastAsia"/>
        </w:rPr>
        <w:t xml:space="preserve">7月22日の運用問題は差し迫ったものであったが、取締役会はマルケスに対し、今後10年間の資源戦略を提言するよう求めていた。スタッフは5つの取り組みを策定していた。1,000MWのガス発電所、追加で3,000MWの4時間電池、北部風力資源を接続する500マイルの送電拡張、利用可能な送電容量を増加させる可能性のある高度なセンサーと動的線路定格、そしてデータセンター、製造業者、商業ビル、電気自動車、住宅用サーモスタットを対象とした大規模な需要柔軟性プログラムである。</w:t>
      </w:r>
    </w:p>
    <w:p>
      <w:pPr>
        <w:pStyle w:val="BodyText"/>
      </w:pPr>
      <w:r>
        <w:rPr>
          <w:rFonts w:hint="eastAsia"/>
        </w:rPr>
        <w:t xml:space="preserve">それぞれの取り組みは、BRSOの管理下にない前提に依存していた。ガス価格は緩やかなままかもしれないし、急騰するかもしれない。電池コストは下がり続けるかもしれないし、サプライチェーンや安全要件により上昇するかもしれない。データセンターは柔軟なサービスに同意するかもしれないが、それは中断規則が予測可能である場合に限られる。送電網は、土地所有者、環境審査、あるいは費用負担をめぐる州間の対立によって遅延する可能性がある。小型モジュール原子炉や長時間持続型蓄電は商業的に実現可能になるかもしれないが、その時期とコストは不確実なままであった。</w:t>
      </w:r>
    </w:p>
    <w:p>
      <w:pPr>
        <w:pStyle w:val="BodyText"/>
      </w:pPr>
      <w:r>
        <w:rPr>
          <w:rFonts w:hint="eastAsia"/>
        </w:rPr>
        <w:t xml:space="preserve">規制当局にもそれぞれ異なる優先事項があった。フランクリンは税収と建設雇用のため、データセンターの相互接続を迅速化することを望んでいた。モンローは、主にフランクリンの成長にサービスを提供するために建設される送電網への費用負担に反対していた。イーストンは、BRSOがより厳格な炭素目標を達成し、低所得顧客を料金上昇から保護することを望んでいた。消費者擁護団体は、大規模な新規負荷が必要とする容量の費用を負担すべきだと主張した。データセンター開発業者は、特別料金は投資を他の地域に向かわせることになると反論した。</w:t>
      </w:r>
    </w:p>
    <w:p>
      <w:pPr>
        <w:pStyle w:val="BodyText"/>
      </w:pPr>
      <w:r>
        <w:rPr>
          <w:rFonts w:hint="eastAsia"/>
        </w:rPr>
        <w:t xml:space="preserve">図4.</w:t>
      </w:r>
      <w:r>
        <w:t xml:space="preserve"> </w:t>
      </w:r>
      <w:r>
        <w:rPr>
          <w:rFonts w:hint="eastAsia"/>
        </w:rPr>
        <w:t xml:space="preserve">検討中の長期的取り組み</w:t>
      </w:r>
    </w:p>
    <w:tbl>
      <w:tblPr>
        <w:tblStyle w:val="Table"/>
        <w:tblW w:type="pct" w:w="4931"/>
        <w:tblLayout w:type="fixed"/>
        <w:tblLook w:firstRow="1" w:lastRow="0" w:firstColumn="0" w:lastColumn="0" w:noHBand="0" w:noVBand="0" w:val="0020"/>
      </w:tblPr>
      <w:tblGrid>
        <w:gridCol w:w="2090"/>
        <w:gridCol w:w="1595"/>
        <w:gridCol w:w="1045"/>
        <w:gridCol w:w="3080"/>
      </w:tblGrid>
      <w:tr>
        <w:trPr>
          <w:tblHeader w:val="on"/>
        </w:trPr>
        <w:tc>
          <w:tcPr/>
          <w:p>
            <w:pPr>
              <w:pStyle w:val="Compact"/>
              <w:jc w:val="left"/>
            </w:pPr>
            <w:r>
              <w:rPr>
                <w:rFonts w:hint="eastAsia"/>
              </w:rPr>
              <w:t xml:space="preserve">取り組み</w:t>
            </w:r>
          </w:p>
        </w:tc>
        <w:tc>
          <w:tcPr/>
          <w:p>
            <w:pPr>
              <w:pStyle w:val="Compact"/>
              <w:jc w:val="left"/>
            </w:pPr>
            <w:r>
              <w:rPr>
                <w:rFonts w:hint="eastAsia"/>
              </w:rPr>
              <w:t xml:space="preserve">例示的な資本コスト</w:t>
            </w:r>
          </w:p>
        </w:tc>
        <w:tc>
          <w:tcPr/>
          <w:p>
            <w:pPr>
              <w:pStyle w:val="Compact"/>
              <w:jc w:val="center"/>
            </w:pPr>
            <w:r>
              <w:rPr>
                <w:rFonts w:hint="eastAsia"/>
              </w:rPr>
              <w:t xml:space="preserve">最短稼働開始時期</w:t>
            </w:r>
          </w:p>
        </w:tc>
        <w:tc>
          <w:tcPr/>
          <w:p>
            <w:pPr>
              <w:pStyle w:val="Compact"/>
              <w:jc w:val="center"/>
            </w:pPr>
            <w:r>
              <w:rPr>
                <w:rFonts w:hint="eastAsia"/>
              </w:rPr>
              <w:t xml:space="preserve">主要な未解決の論点</w:t>
            </w:r>
          </w:p>
        </w:tc>
      </w:tr>
      <w:tr>
        <w:tc>
          <w:tcPr/>
          <w:p>
            <w:pPr>
              <w:pStyle w:val="Compact"/>
              <w:jc w:val="left"/>
            </w:pPr>
            <w:r>
              <w:rPr>
                <w:rFonts w:hint="eastAsia"/>
              </w:rPr>
              <w:t xml:space="preserve">1,000MWコンバインドサイクルガス発電所</w:t>
            </w:r>
          </w:p>
        </w:tc>
        <w:tc>
          <w:tcPr/>
          <w:p>
            <w:pPr>
              <w:pStyle w:val="Compact"/>
              <w:jc w:val="left"/>
            </w:pPr>
            <w:r>
              <w:rPr>
                <w:rFonts w:hint="eastAsia"/>
              </w:rPr>
              <w:t xml:space="preserve">14億ドル</w:t>
            </w:r>
          </w:p>
        </w:tc>
        <w:tc>
          <w:tcPr/>
          <w:p>
            <w:pPr>
              <w:pStyle w:val="Compact"/>
              <w:jc w:val="center"/>
            </w:pPr>
            <w:r>
              <w:rPr>
                <w:rFonts w:hint="eastAsia"/>
              </w:rPr>
              <w:t xml:space="preserve">2030年</w:t>
            </w:r>
          </w:p>
        </w:tc>
        <w:tc>
          <w:tcPr/>
          <w:p>
            <w:pPr>
              <w:pStyle w:val="Compact"/>
              <w:jc w:val="center"/>
            </w:pPr>
            <w:r>
              <w:rPr>
                <w:rFonts w:hint="eastAsia"/>
              </w:rPr>
              <w:t xml:space="preserve">燃料、排出政策、稼働率</w:t>
            </w:r>
          </w:p>
        </w:tc>
      </w:tr>
      <w:tr>
        <w:tc>
          <w:tcPr/>
          <w:p>
            <w:pPr>
              <w:pStyle w:val="Compact"/>
              <w:jc w:val="left"/>
            </w:pPr>
            <w:r>
              <w:rPr>
                <w:rFonts w:hint="eastAsia"/>
              </w:rPr>
              <w:t xml:space="preserve">3,000MW／12,000MWh電池</w:t>
            </w:r>
          </w:p>
        </w:tc>
        <w:tc>
          <w:tcPr/>
          <w:p>
            <w:pPr>
              <w:pStyle w:val="Compact"/>
              <w:jc w:val="left"/>
            </w:pPr>
            <w:r>
              <w:rPr>
                <w:rFonts w:hint="eastAsia"/>
              </w:rPr>
              <w:t xml:space="preserve">42億ドル</w:t>
            </w:r>
            <w:r>
              <w:t xml:space="preserve"> 2</w:t>
            </w:r>
          </w:p>
        </w:tc>
        <w:tc>
          <w:tcPr/>
          <w:p>
            <w:pPr>
              <w:pStyle w:val="Compact"/>
              <w:jc w:val="center"/>
            </w:pPr>
            <w:r>
              <w:rPr>
                <w:rFonts w:hint="eastAsia"/>
              </w:rPr>
              <w:t xml:space="preserve">028〜2031年</w:t>
            </w:r>
            <w:r>
              <w:t xml:space="preserve"> </w:t>
            </w:r>
            <w:r>
              <w:rPr>
                <w:rFonts w:hint="eastAsia"/>
              </w:rPr>
              <w:t xml:space="preserve">長</w:t>
            </w:r>
          </w:p>
        </w:tc>
        <w:tc>
          <w:tcPr/>
          <w:p>
            <w:pPr>
              <w:pStyle w:val="Compact"/>
              <w:jc w:val="center"/>
            </w:pPr>
            <w:r>
              <w:rPr>
                <w:rFonts w:hint="eastAsia"/>
              </w:rPr>
              <w:t xml:space="preserve">期不足時の価値と交換コスト</w:t>
            </w:r>
          </w:p>
        </w:tc>
      </w:tr>
      <w:tr>
        <w:tc>
          <w:tcPr/>
          <w:p>
            <w:pPr>
              <w:pStyle w:val="Compact"/>
              <w:jc w:val="left"/>
            </w:pPr>
            <w:r>
              <w:rPr>
                <w:rFonts w:hint="eastAsia"/>
              </w:rPr>
              <w:t xml:space="preserve">北部送電プログラム</w:t>
            </w:r>
          </w:p>
        </w:tc>
        <w:tc>
          <w:tcPr/>
          <w:p>
            <w:pPr>
              <w:pStyle w:val="Compact"/>
              <w:jc w:val="left"/>
            </w:pPr>
            <w:r>
              <w:rPr>
                <w:rFonts w:hint="eastAsia"/>
              </w:rPr>
              <w:t xml:space="preserve">78億ドル</w:t>
            </w:r>
          </w:p>
        </w:tc>
        <w:tc>
          <w:tcPr/>
          <w:p>
            <w:pPr>
              <w:pStyle w:val="Compact"/>
              <w:jc w:val="center"/>
            </w:pPr>
            <w:r>
              <w:rPr>
                <w:rFonts w:hint="eastAsia"/>
              </w:rPr>
              <w:t xml:space="preserve">2034年</w:t>
            </w:r>
          </w:p>
        </w:tc>
        <w:tc>
          <w:tcPr/>
          <w:p>
            <w:pPr>
              <w:pStyle w:val="Compact"/>
              <w:jc w:val="center"/>
            </w:pPr>
            <w:r>
              <w:rPr>
                <w:rFonts w:hint="eastAsia"/>
              </w:rPr>
              <w:t xml:space="preserve">許認可、費用配分、再生可能エネルギー建設</w:t>
            </w:r>
          </w:p>
        </w:tc>
      </w:tr>
      <w:tr>
        <w:tc>
          <w:tcPr/>
          <w:p>
            <w:pPr>
              <w:pStyle w:val="Compact"/>
              <w:jc w:val="left"/>
            </w:pPr>
            <w:r>
              <w:rPr>
                <w:rFonts w:hint="eastAsia"/>
              </w:rPr>
              <w:t xml:space="preserve">センサーと動的線路定格</w:t>
            </w:r>
          </w:p>
        </w:tc>
        <w:tc>
          <w:tcPr/>
          <w:p>
            <w:pPr>
              <w:pStyle w:val="Compact"/>
              <w:jc w:val="left"/>
            </w:pPr>
            <w:r>
              <w:rPr>
                <w:rFonts w:hint="eastAsia"/>
              </w:rPr>
              <w:t xml:space="preserve">6億2000万ドル</w:t>
            </w:r>
          </w:p>
        </w:tc>
        <w:tc>
          <w:tcPr/>
          <w:p>
            <w:pPr>
              <w:pStyle w:val="Compact"/>
              <w:jc w:val="center"/>
            </w:pPr>
            <w:r>
              <w:rPr>
                <w:rFonts w:hint="eastAsia"/>
              </w:rPr>
              <w:t xml:space="preserve">2028年</w:t>
            </w:r>
          </w:p>
        </w:tc>
        <w:tc>
          <w:tcPr/>
          <w:p>
            <w:pPr>
              <w:pStyle w:val="Compact"/>
              <w:jc w:val="center"/>
            </w:pPr>
            <w:r>
              <w:rPr>
                <w:rFonts w:hint="eastAsia"/>
              </w:rPr>
              <w:t xml:space="preserve">確実に生み出される容量の程度</w:t>
            </w:r>
          </w:p>
        </w:tc>
      </w:tr>
      <w:tr>
        <w:tc>
          <w:tcPr/>
          <w:p>
            <w:pPr>
              <w:pStyle w:val="Compact"/>
              <w:jc w:val="left"/>
            </w:pPr>
            <w:r>
              <w:rPr>
                <w:rFonts w:hint="eastAsia"/>
              </w:rPr>
              <w:t xml:space="preserve">柔軟負荷プラットフォーム</w:t>
            </w:r>
          </w:p>
        </w:tc>
        <w:tc>
          <w:tcPr/>
          <w:p>
            <w:pPr>
              <w:pStyle w:val="Compact"/>
              <w:jc w:val="left"/>
            </w:pPr>
            <w:r>
              <w:rPr>
                <w:rFonts w:hint="eastAsia"/>
              </w:rPr>
              <w:t xml:space="preserve">7年間で8億5000万ドル</w:t>
            </w:r>
          </w:p>
        </w:tc>
        <w:tc>
          <w:tcPr/>
          <w:p>
            <w:pPr>
              <w:pStyle w:val="Compact"/>
              <w:jc w:val="center"/>
            </w:pPr>
            <w:r>
              <w:rPr>
                <w:rFonts w:hint="eastAsia"/>
              </w:rPr>
              <w:t xml:space="preserve">2028年</w:t>
            </w:r>
          </w:p>
        </w:tc>
        <w:tc>
          <w:tcPr/>
          <w:p>
            <w:pPr>
              <w:pStyle w:val="Compact"/>
              <w:jc w:val="center"/>
            </w:pPr>
            <w:r>
              <w:rPr>
                <w:rFonts w:hint="eastAsia"/>
              </w:rPr>
              <w:t xml:space="preserve">登録、応答、サイバーセキュリティ、顧客疲労</w:t>
            </w:r>
          </w:p>
        </w:tc>
      </w:tr>
      <w:tr>
        <w:tc>
          <w:tcPr/>
          <w:p>
            <w:pPr>
              <w:pStyle w:val="Compact"/>
              <w:jc w:val="left"/>
            </w:pPr>
            <w:r>
              <w:rPr>
                <w:rFonts w:hint="eastAsia"/>
              </w:rPr>
              <w:t xml:space="preserve">長時間持続型蓄電実証</w:t>
            </w:r>
          </w:p>
        </w:tc>
        <w:tc>
          <w:tcPr/>
          <w:p>
            <w:pPr>
              <w:pStyle w:val="Compact"/>
              <w:jc w:val="left"/>
            </w:pPr>
            <w:r>
              <w:rPr>
                <w:rFonts w:hint="eastAsia"/>
              </w:rPr>
              <w:t xml:space="preserve">11億ドル</w:t>
            </w:r>
          </w:p>
        </w:tc>
        <w:tc>
          <w:tcPr/>
          <w:p>
            <w:pPr>
              <w:pStyle w:val="Compact"/>
              <w:jc w:val="center"/>
            </w:pPr>
            <w:r>
              <w:rPr>
                <w:rFonts w:hint="eastAsia"/>
              </w:rPr>
              <w:t xml:space="preserve">2031年</w:t>
            </w:r>
          </w:p>
        </w:tc>
        <w:tc>
          <w:tcPr/>
          <w:p>
            <w:pPr>
              <w:pStyle w:val="Compact"/>
              <w:jc w:val="center"/>
            </w:pPr>
            <w:r>
              <w:rPr>
                <w:rFonts w:hint="eastAsia"/>
              </w:rPr>
              <w:t xml:space="preserve">技術性能と商業的スケーラビリティ</w:t>
            </w:r>
          </w:p>
        </w:tc>
      </w:tr>
    </w:tbl>
    <w:p>
      <w:pPr>
        <w:pStyle w:val="BodyText"/>
      </w:pPr>
      <w:r>
        <w:rPr>
          <w:rFonts w:hint="eastAsia"/>
        </w:rPr>
        <w:t xml:space="preserve">すべてのコストと日付は架空のものであり、大きな不確実性を伴うものである。</w:t>
      </w:r>
    </w:p>
    <w:bookmarkEnd w:id="14"/>
    <w:bookmarkStart w:id="15" w:name="午後2時の電話"/>
    <w:p>
      <w:pPr>
        <w:pStyle w:val="Heading1"/>
      </w:pPr>
      <w:r>
        <w:rPr>
          <w:rFonts w:hint="eastAsia"/>
        </w:rPr>
        <w:t xml:space="preserve">午後2時の電話</w:t>
      </w:r>
    </w:p>
    <w:p>
      <w:pPr>
        <w:pStyle w:val="FirstParagraph"/>
      </w:pPr>
      <w:r>
        <w:rPr>
          <w:rFonts w:hint="eastAsia"/>
        </w:rPr>
        <w:t xml:space="preserve">午後1時55分、リバーベンドの所有者はBRSOに対し、4号機はおそらく500MWで稼働継続可能だが、午後7時までに完全停止に至る振動が発生する可能性が20%あると伝えた。ユニットを稼働継続させることは、機器損傷を悪化させる可能性があった。西部気象サービスは、予想される雷雨の到来を45分早めた。リアルタイムの輸入価格は15分間で倍増していた。</w:t>
      </w:r>
    </w:p>
    <w:p>
      <w:pPr>
        <w:pStyle w:val="BodyText"/>
      </w:pPr>
      <w:r>
        <w:rPr>
          <w:rFonts w:hint="eastAsia"/>
        </w:rPr>
        <w:t xml:space="preserve">運用担当副社長は、両方の石油ピーカーを直ちに起動し、電池は日没後まで温存することを推奨した。市場担当ディレクターは、輸入電力を購入してより良い情報を待つことを好んだ。石油ユニットが不必要に稼働することになるかもしれないと主張した。持続可能性担当ディレクターは、午後4時前に600MWのデマンドレスポンスを呼びかけることを提案したが、産業顧客協議会は、BRSOがすでにその夏に4回のイベントを呼びかけたことに不満を述べていた。信頼性担当責任者は、3つすべての行動の承認を求めていた。</w:t>
      </w:r>
    </w:p>
    <w:p>
      <w:pPr>
        <w:pStyle w:val="BodyText"/>
      </w:pPr>
      <w:r>
        <w:rPr>
          <w:rFonts w:hint="eastAsia"/>
        </w:rPr>
        <w:t xml:space="preserve">マルケスはまた、何が起ころうとも、それが投資に関する議論を形作ることになると知っていた。穏やかな夜は、電池と柔軟な需要で十分であるという議論に利用され得る。緊急事態は、ガス発電所や送電拡張の主張を強化するかもしれない。しかし、一日のストレスの多い日が、必ずしも今後20年間を代表するものではなかった。</w:t>
      </w:r>
    </w:p>
    <w:p>
      <w:pPr>
        <w:pStyle w:val="BodyText"/>
      </w:pPr>
      <w:r>
        <w:rPr>
          <w:rFonts w:hint="eastAsia"/>
        </w:rPr>
        <w:t xml:space="preserve">午後2時、制御室ディレクターは指示を求めた。マルケスは、今何をコミットし、何を予備として保持し、一部の選択肢が消滅した後にしか得られない情報を待つ間に、BRSOがどの程度のリスクを受け入れるべきかを決定しなければならなかった。</w:t>
      </w:r>
    </w:p>
    <w:bookmarkEnd w:id="15"/>
    <w:bookmarkStart w:id="16" w:name="討議課題"/>
    <w:p>
      <w:pPr>
        <w:pStyle w:val="Heading1"/>
      </w:pPr>
      <w:r>
        <w:rPr>
          <w:rFonts w:hint="eastAsia"/>
        </w:rPr>
        <w:t xml:space="preserve">討議課題</w:t>
      </w:r>
    </w:p>
    <w:p>
      <w:pPr>
        <w:numPr>
          <w:ilvl w:val="0"/>
          <w:numId w:val="1001"/>
        </w:numPr>
      </w:pPr>
      <w:r>
        <w:rPr>
          <w:rFonts w:hint="eastAsia"/>
        </w:rPr>
        <w:t xml:space="preserve">マルケスは午後2時に何を承認すべきか。どの資源を直ちにコミットし、どれを後のために温存すべきか。</w:t>
      </w:r>
    </w:p>
    <w:p>
      <w:pPr>
        <w:numPr>
          <w:ilvl w:val="0"/>
          <w:numId w:val="1001"/>
        </w:numPr>
      </w:pPr>
      <w:r>
        <w:rPr>
          <w:rFonts w:hint="eastAsia"/>
        </w:rPr>
        <w:t xml:space="preserve">BRSOは、高コストの予防的行動と、発生確率は低いが深刻な結果をもたらす不足とを、どのように比較すべきか。</w:t>
      </w:r>
    </w:p>
    <w:p>
      <w:pPr>
        <w:numPr>
          <w:ilvl w:val="0"/>
          <w:numId w:val="1001"/>
        </w:numPr>
      </w:pPr>
      <w:r>
        <w:rPr>
          <w:rFonts w:hint="eastAsia"/>
        </w:rPr>
        <w:t xml:space="preserve">今後2時間の間、どの情報が最も価値を持つか。BRSOはそれをどのように入手し得るか。</w:t>
      </w:r>
    </w:p>
    <w:p>
      <w:pPr>
        <w:numPr>
          <w:ilvl w:val="0"/>
          <w:numId w:val="1001"/>
        </w:numPr>
      </w:pPr>
      <w:r>
        <w:rPr>
          <w:rFonts w:hint="eastAsia"/>
        </w:rPr>
        <w:t xml:space="preserve">運用者は、1日の異なる時間帯において、蓄えられた電池エネルギーをどのように評価すべきか。</w:t>
      </w:r>
    </w:p>
    <w:p>
      <w:pPr>
        <w:numPr>
          <w:ilvl w:val="0"/>
          <w:numId w:val="1001"/>
        </w:numPr>
      </w:pPr>
      <w:r>
        <w:rPr>
          <w:rFonts w:hint="eastAsia"/>
        </w:rPr>
        <w:t xml:space="preserve">デマンドレスポンスをいつ通常の運用資源として扱うべきか、また、繰り返し使用することが将来の価値をいつ損なうか。</w:t>
      </w:r>
    </w:p>
    <w:p>
      <w:pPr>
        <w:numPr>
          <w:ilvl w:val="0"/>
          <w:numId w:val="1001"/>
        </w:numPr>
      </w:pPr>
      <w:r>
        <w:rPr>
          <w:rFonts w:hint="eastAsia"/>
        </w:rPr>
        <w:t xml:space="preserve">どの長期的投資が補完的であり、どれが代替的であるか、そしてそれらの費用はどのように配分されるべきか。</w:t>
      </w:r>
    </w:p>
    <w:p>
      <w:pPr>
        <w:pStyle w:val="FirstParagraph"/>
      </w:pPr>
      <w:r>
        <w:rPr>
          <w:rFonts w:hint="eastAsia"/>
        </w:rPr>
        <w:t xml:space="preserve">ケースノート:本架空のケースは、Warren</w:t>
      </w:r>
      <w:r>
        <w:t xml:space="preserve"> B. </w:t>
      </w:r>
      <w:r>
        <w:rPr>
          <w:rFonts w:hint="eastAsia"/>
        </w:rPr>
        <w:t xml:space="preserve">Powell著『Bridging</w:t>
      </w:r>
      <w:r>
        <w:t xml:space="preserve"> Decision Problems, Volume I: Framing the </w:t>
      </w:r>
      <w:r>
        <w:rPr>
          <w:rFonts w:hint="eastAsia"/>
        </w:rPr>
        <w:t xml:space="preserve">Problem』第2章「Electric</w:t>
      </w:r>
      <w:r>
        <w:t xml:space="preserve"> Power Grid </w:t>
      </w:r>
      <w:r>
        <w:rPr>
          <w:rFonts w:hint="eastAsia"/>
        </w:rPr>
        <w:t xml:space="preserve">Management」の概念を参考にしている。現在の文脈は、米国エネルギー情報局(2026年3月12日)およびNERCの2025年長期信頼性評価(2026年1月)を使用している。ブルーリバーに関するすべての事業体、出来事、数値は架空のものであり、本ケースは意図的に最適な戦略を特定していない。</w:t>
      </w:r>
    </w:p>
    <w:bookmarkEnd w:id="16"/>
    <w:bookmarkStart w:id="22" w:name="意思決定フレーミング演習問題"/>
    <w:p>
      <w:pPr>
        <w:pStyle w:val="Heading1"/>
      </w:pPr>
      <w:r>
        <w:rPr>
          <w:rFonts w:hint="eastAsia"/>
        </w:rPr>
        <w:t xml:space="preserve">意思決定フレーミング演習問題</w:t>
      </w:r>
    </w:p>
    <w:p>
      <w:pPr>
        <w:numPr>
          <w:ilvl w:val="0"/>
          <w:numId w:val="1002"/>
        </w:numPr>
      </w:pPr>
      <w:r>
        <w:rPr>
          <w:rFonts w:hint="eastAsia"/>
        </w:rPr>
        <w:t xml:space="preserve">意思決定者の責任を特定し、記述せよ。これにより問題の範囲を設定すること。</w:t>
      </w:r>
    </w:p>
    <w:p>
      <w:pPr>
        <w:numPr>
          <w:ilvl w:val="0"/>
          <w:numId w:val="1002"/>
        </w:numPr>
      </w:pPr>
      <w:hyperlink r:id="rId17">
        <w:r>
          <w:rPr>
            <w:rStyle w:val="Hyperlink"/>
          </w:rPr>
          <w:t xml:space="preserve">メトリクスピラミッドツール</w:t>
        </w:r>
      </w:hyperlink>
      <w:r>
        <w:rPr>
          <w:rFonts w:hint="eastAsia"/>
        </w:rPr>
        <w:t xml:space="preserve">を使用して、さまざまなパフォーマンス指標を特定し、優先順位付けせよ。指標を保持する楕円をクリックして、それが最大化すべき指標(緑)、最小化すべき指標(赤)、下限としての目標(薄緑)、上限としての目標(薄赤)、あるいは目標値(紫)のいずれであるかを識別すること。</w:t>
      </w:r>
    </w:p>
    <w:p>
      <w:pPr>
        <w:numPr>
          <w:ilvl w:val="0"/>
          <w:numId w:val="1002"/>
        </w:numPr>
      </w:pPr>
      <w:hyperlink r:id="rId18">
        <w:r>
          <w:rPr>
            <w:rStyle w:val="Hyperlink"/>
            <w:rFonts w:hint="eastAsia"/>
          </w:rPr>
          <w:t xml:space="preserve">決定優先順位付けツール</w:t>
        </w:r>
      </w:hyperlink>
      <w:r>
        <w:rPr>
          <w:rFonts w:hint="eastAsia"/>
        </w:rPr>
        <w:t xml:space="preserve">を使用して、まずさまざまな種類の決定を一覧化せよ(</w:t>
      </w:r>
      <w:hyperlink r:id="rId19">
        <w:r>
          <w:rPr>
            <w:rStyle w:val="Hyperlink"/>
            <w:rFonts w:hint="eastAsia"/>
          </w:rPr>
          <w:t xml:space="preserve">決定の種類</w:t>
        </w:r>
      </w:hyperlink>
      <w:r>
        <w:rPr>
          <w:rFonts w:hint="eastAsia"/>
        </w:rPr>
        <w:t xml:space="preserve">を指針とすること)。これらは、右側のマトリクスの行を構成し、列は上記のピラミッドで優先順位付けされたパフォーマンス指標を左から右に並べたものとなる。各セルをクリックして、それぞれの指標に対する決定の影響が高い(赤)、中程度(オレンジ)、低い(黄色)、なし(白)のいずれであるかを示すこと。</w:t>
      </w:r>
    </w:p>
    <w:p>
      <w:pPr>
        <w:numPr>
          <w:ilvl w:val="0"/>
          <w:numId w:val="1002"/>
        </w:numPr>
      </w:pPr>
      <w:r>
        <w:rPr>
          <w:rFonts w:hint="eastAsia"/>
        </w:rPr>
        <w:t xml:space="preserve">各行の左端にあるハンドル(3本のバー)をつかんで、上下に移動できる。最も重要な指標に最も大きな影響を与える決定が上位に来るように行を並べ替えよ。左上隅のセルには、赤とオレンジのセルが最も密集しているべきである。この時点で、あなたの研究において最も注目すべき決定を特定せよ。最も重要な指標に対して中程度または高い影響を持つ決定がない場合は、決定の一覧を見直すこと。</w:t>
      </w:r>
    </w:p>
    <w:p>
      <w:pPr>
        <w:numPr>
          <w:ilvl w:val="0"/>
          <w:numId w:val="1002"/>
        </w:numPr>
      </w:pPr>
      <w:hyperlink r:id="rId20">
        <w:r>
          <w:rPr>
            <w:rStyle w:val="Hyperlink"/>
            <w:rFonts w:hint="eastAsia"/>
          </w:rPr>
          <w:t xml:space="preserve">不確実性優先順位付けツール</w:t>
        </w:r>
      </w:hyperlink>
      <w:r>
        <w:rPr>
          <w:rFonts w:hint="eastAsia"/>
        </w:rPr>
        <w:t xml:space="preserve">を使用して、不確実性を一覧化し優先順位付けするプロセスを繰り返せ。これらを特定するために</w:t>
      </w:r>
      <w:hyperlink r:id="rId21">
        <w:r>
          <w:rPr>
            <w:rStyle w:val="Hyperlink"/>
            <w:rFonts w:hint="eastAsia"/>
          </w:rPr>
          <w:t xml:space="preserve">不確実性の分類</w:t>
        </w:r>
      </w:hyperlink>
      <w:r>
        <w:rPr>
          <w:rFonts w:hint="eastAsia"/>
        </w:rPr>
        <w:t xml:space="preserve">を活用すること。</w:t>
      </w:r>
    </w:p>
    <w:p>
      <w:pPr>
        <w:numPr>
          <w:ilvl w:val="0"/>
          <w:numId w:val="1002"/>
        </w:numPr>
      </w:pPr>
      <w:r>
        <w:rPr>
          <w:rFonts w:hint="eastAsia"/>
        </w:rPr>
        <w:t xml:space="preserve">平均値として評価できる不確実性と、リスクイベントとして評価すべき不確実性を区別することが重要である。</w:t>
      </w:r>
    </w:p>
    <w:p>
      <w:pPr>
        <w:numPr>
          <w:ilvl w:val="1"/>
          <w:numId w:val="1003"/>
        </w:numPr>
      </w:pPr>
      <w:r>
        <w:rPr>
          <w:rFonts w:hint="eastAsia"/>
        </w:rPr>
        <w:t xml:space="preserve">どの不確実性の源が、時間経過に伴う平均パフォーマンスを用いて捉えられるか。</w:t>
      </w:r>
    </w:p>
    <w:p>
      <w:pPr>
        <w:numPr>
          <w:ilvl w:val="1"/>
          <w:numId w:val="1003"/>
        </w:numPr>
      </w:pPr>
      <w:r>
        <w:rPr>
          <w:rFonts w:hint="eastAsia"/>
        </w:rPr>
        <w:t xml:space="preserve">どの不確実性の源が、平均値では適切に捉えられないリスクの形態を表しているか。</w:t>
      </w:r>
    </w:p>
    <w:p>
      <w:pPr>
        <w:numPr>
          <w:ilvl w:val="0"/>
          <w:numId w:val="1002"/>
        </w:numPr>
      </w:pPr>
      <w:r>
        <w:rPr>
          <w:rFonts w:hint="eastAsia"/>
        </w:rPr>
        <w:t xml:space="preserve">最も重要な指標に対して最大の影響を持つと思われる単一の決定を選べ。</w:t>
      </w:r>
    </w:p>
    <w:p>
      <w:pPr>
        <w:numPr>
          <w:ilvl w:val="1"/>
          <w:numId w:val="1004"/>
        </w:numPr>
      </w:pPr>
      <w:r>
        <w:rPr>
          <w:rFonts w:hint="eastAsia"/>
        </w:rPr>
        <w:t xml:space="preserve">この決定を下すために、どのようなアプローチを用いると考えられるか。</w:t>
      </w:r>
    </w:p>
    <w:p>
      <w:pPr>
        <w:numPr>
          <w:ilvl w:val="1"/>
          <w:numId w:val="1004"/>
        </w:numPr>
      </w:pPr>
      <w:r>
        <w:rPr>
          <w:rFonts w:hint="eastAsia"/>
        </w:rPr>
        <w:t xml:space="preserve">この決定を下すために必要と思われるデータは何か。決定が高いまたは中程度の影響を持つパフォーマンス指標の計算に必要なデータを含むこと。</w:t>
      </w:r>
    </w:p>
    <w:p>
      <w:pPr>
        <w:numPr>
          <w:ilvl w:val="0"/>
          <w:numId w:val="1002"/>
        </w:numPr>
      </w:pPr>
      <w:r>
        <w:rPr>
          <w:rFonts w:hint="eastAsia"/>
        </w:rPr>
        <w:t xml:space="preserve">(7)で特定した決定と同じものを用いて、その決定を実行するために協働する必要がある人々、部署、グループ、組織を特定せよ。</w:t>
      </w:r>
    </w:p>
    <w:bookmarkEnd w:id="22"/>
    <w:bookmarkStart w:id="25" w:name="chatgptノート"/>
    <w:p>
      <w:pPr>
        <w:pStyle w:val="Heading1"/>
      </w:pPr>
      <w:r>
        <w:t xml:space="preserve">ChatGPTノート</w:t>
      </w:r>
    </w:p>
    <w:bookmarkStart w:id="23" w:name="プロンプト"/>
    <w:p>
      <w:pPr>
        <w:pStyle w:val="Heading2"/>
      </w:pPr>
      <w:r>
        <w:t xml:space="preserve">プロンプト</w:t>
      </w:r>
    </w:p>
    <w:p>
      <w:pPr>
        <w:pStyle w:val="FirstParagraph"/>
      </w:pPr>
      <w:r>
        <w:t xml:space="preserve">https://warrenpowell.org/bridging-vol1/chapter-2/#electric-power-grid-management </w:t>
      </w:r>
      <w:r>
        <w:rPr>
          <w:rFonts w:hint="eastAsia"/>
        </w:rPr>
        <w:t xml:space="preserve">のセクションの内容に基づき、4〜6ページのケーススタディを作成せよ。セクション内のメトリクス、決定、不確実性に基づいた文脈を作成するが、それらを明示的に指摘しないこと。データに基づいてケース問題の動機付けを行うこと。</w:t>
      </w:r>
    </w:p>
    <w:bookmarkEnd w:id="23"/>
    <w:bookmarkStart w:id="24" w:name="要約"/>
    <w:p>
      <w:pPr>
        <w:pStyle w:val="Heading2"/>
      </w:pPr>
      <w:r>
        <w:rPr>
          <w:rFonts w:hint="eastAsia"/>
        </w:rPr>
        <w:t xml:space="preserve">要約</w:t>
      </w:r>
    </w:p>
    <w:p>
      <w:pPr>
        <w:pStyle w:val="FirstParagraph"/>
      </w:pPr>
      <w:r>
        <w:rPr>
          <w:rFonts w:hint="eastAsia"/>
        </w:rPr>
        <w:t xml:space="preserve">本ケースは、記録的な夏季需要の日の最中にある架空の地域系統運用者を描いている。不確実な太陽光・風力発電、故障の可能性があるガス発電機、上昇する市場価格、限られた電池持続時間、送電制約、不確実なデマンドレスポンス参加にどう対応するかを決定しなければならない。</w:t>
      </w:r>
    </w:p>
    <w:p>
      <w:pPr>
        <w:pStyle w:val="BodyText"/>
      </w:pPr>
      <w:r>
        <w:rPr>
          <w:rFonts w:hint="eastAsia"/>
        </w:rPr>
        <w:t xml:space="preserve">本ケースには以下が含まれる:</w:t>
      </w:r>
    </w:p>
    <w:p>
      <w:pPr>
        <w:numPr>
          <w:ilvl w:val="0"/>
          <w:numId w:val="1005"/>
        </w:numPr>
      </w:pPr>
      <w:r>
        <w:rPr>
          <w:rFonts w:hint="eastAsia"/>
        </w:rPr>
        <w:t xml:space="preserve">1時間前およびリアルタイムの運用上の決定</w:t>
      </w:r>
    </w:p>
    <w:p>
      <w:pPr>
        <w:numPr>
          <w:ilvl w:val="0"/>
          <w:numId w:val="1005"/>
        </w:numPr>
      </w:pPr>
      <w:r>
        <w:rPr>
          <w:rFonts w:hint="eastAsia"/>
        </w:rPr>
        <w:t xml:space="preserve">原子力、石炭、ガス、石油、風力、太陽光、水力、輸入、電池の各資源</w:t>
      </w:r>
    </w:p>
    <w:p>
      <w:pPr>
        <w:numPr>
          <w:ilvl w:val="0"/>
          <w:numId w:val="1005"/>
        </w:numPr>
      </w:pPr>
      <w:r>
        <w:rPr>
          <w:rFonts w:hint="eastAsia"/>
        </w:rPr>
        <w:t xml:space="preserve">発電機の起動時間と運転コストの違い</w:t>
      </w:r>
    </w:p>
    <w:p>
      <w:pPr>
        <w:numPr>
          <w:ilvl w:val="0"/>
          <w:numId w:val="1005"/>
        </w:numPr>
      </w:pPr>
      <w:r>
        <w:rPr>
          <w:rFonts w:hint="eastAsia"/>
        </w:rPr>
        <w:t xml:space="preserve">5分間電力市場と秒単位の周波数調整</w:t>
      </w:r>
    </w:p>
    <w:p>
      <w:pPr>
        <w:numPr>
          <w:ilvl w:val="0"/>
          <w:numId w:val="1005"/>
        </w:numPr>
      </w:pPr>
      <w:r>
        <w:rPr>
          <w:rFonts w:hint="eastAsia"/>
        </w:rPr>
        <w:t xml:space="preserve">気象、機器故障、燃料価格、規制、技術に関する不確実性</w:t>
      </w:r>
    </w:p>
    <w:p>
      <w:pPr>
        <w:numPr>
          <w:ilvl w:val="0"/>
          <w:numId w:val="1005"/>
        </w:numPr>
      </w:pPr>
      <w:r>
        <w:rPr>
          <w:rFonts w:hint="eastAsia"/>
        </w:rPr>
        <w:t xml:space="preserve">信頼性、顧客コスト、排出量、サービス継続性の間の対立</w:t>
      </w:r>
    </w:p>
    <w:p>
      <w:pPr>
        <w:numPr>
          <w:ilvl w:val="0"/>
          <w:numId w:val="1005"/>
        </w:numPr>
      </w:pPr>
      <w:r>
        <w:rPr>
          <w:rFonts w:hint="eastAsia"/>
        </w:rPr>
        <w:t xml:space="preserve">ガス発電、電池、送電、系統センサー、柔軟な需要、長時間持続型蓄電に関わる長期的な代替案</w:t>
      </w:r>
    </w:p>
    <w:p>
      <w:pPr>
        <w:numPr>
          <w:ilvl w:val="0"/>
          <w:numId w:val="1005"/>
        </w:numPr>
      </w:pPr>
      <w:r>
        <w:rPr>
          <w:rFonts w:hint="eastAsia"/>
        </w:rPr>
        <w:t xml:space="preserve">4つの定量的な図表と、未解決の決定ポイント</w:t>
      </w:r>
    </w:p>
    <w:p>
      <w:pPr>
        <w:pStyle w:val="FirstParagraph"/>
      </w:pPr>
      <w:r>
        <w:rPr>
          <w:rFonts w:hint="eastAsia"/>
        </w:rPr>
        <w:t xml:space="preserve">本ケースのビジネス設定は、EIAの調査結果、すなわち米国の電力需要が2020年から2025年にかけて年率約1.7%で成長し、それ以前の約10年間はほぼ横ばいの成長であったという点に動機づけられている。NERCの2025年評価では、今後10年間で夏季ピーク需要が224GW追加されると予測されており、その増加の大部分をデータセンターが占めている。</w:t>
      </w:r>
    </w:p>
    <w:p>
      <w:pPr>
        <w:pStyle w:val="BodyText"/>
      </w:pPr>
      <w:r>
        <w:rPr>
          <w:rFonts w:hint="eastAsia"/>
        </w:rPr>
        <w:t xml:space="preserve">本ケースは、根底にあるパフォーマンス指標、利用可能な行動、不確実性の源を明示的に分離することなく、指定された電力系統管理セクションの構成に従っている。</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warrenpowell.org/decision-framing-tool/#decision-prioritization-tool" TargetMode="External" /><Relationship Type="http://schemas.openxmlformats.org/officeDocument/2006/relationships/hyperlink" Id="rId17" Target="https://warrenpowell.org/decision-framing-tool/#metrics-pyramid-tool" TargetMode="External" /><Relationship Type="http://schemas.openxmlformats.org/officeDocument/2006/relationships/hyperlink" Id="rId20" Target="https://warrenpowell.org/decision-framing-tool/#uncertainty-prioritization-tool" TargetMode="External" /><Relationship Type="http://schemas.openxmlformats.org/officeDocument/2006/relationships/hyperlink" Id="rId19" Target="https://warrenpowell.org/decisionsdecisions/#types-of-decision-settings" TargetMode="External" /><Relationship Type="http://schemas.openxmlformats.org/officeDocument/2006/relationships/hyperlink" Id="rId21"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8" Target="https://warrenpowell.org/decision-framing-tool/#decision-prioritization-tool" TargetMode="External" /><Relationship Type="http://schemas.openxmlformats.org/officeDocument/2006/relationships/hyperlink" Id="rId17" Target="https://warrenpowell.org/decision-framing-tool/#metrics-pyramid-tool" TargetMode="External" /><Relationship Type="http://schemas.openxmlformats.org/officeDocument/2006/relationships/hyperlink" Id="rId20" Target="https://warrenpowell.org/decision-framing-tool/#uncertainty-prioritization-tool" TargetMode="External" /><Relationship Type="http://schemas.openxmlformats.org/officeDocument/2006/relationships/hyperlink" Id="rId19" Target="https://warrenpowell.org/decisionsdecisions/#types-of-decision-settings" TargetMode="External" /><Relationship Type="http://schemas.openxmlformats.org/officeDocument/2006/relationships/hyperlink" Id="rId21"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2026-09-11T17:34:21Z</dcterms:created>
  <dcterms:modified xsi:type="dcterms:W3CDTF">2026-09-11T17:34:21Z</dcterms:modified>
</cp:coreProperties>
</file>

<file path=docProps/custom.xml><?xml version="1.0" encoding="utf-8"?>
<Properties xmlns="http://schemas.openxmlformats.org/officeDocument/2006/custom-properties" xmlns:vt="http://schemas.openxmlformats.org/officeDocument/2006/docPropsVTypes"/>
</file>