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ビジネススクール教育ケース｜2026年7月</w:t>
      </w:r>
    </w:p>
    <w:p>
      <w:pPr>
        <w:pStyle w:val="BodyText"/>
      </w:pPr>
      <w:r>
        <w:t xml:space="preserve">BrightNest Home Services</w:t>
      </w:r>
    </w:p>
    <w:p>
      <w:pPr>
        <w:pStyle w:val="BodyText"/>
      </w:pPr>
      <w:r>
        <w:rPr>
          <w:rFonts w:hint="eastAsia"/>
        </w:rPr>
        <w:t xml:space="preserve">両面市場の立ち上げジレンマ</w:t>
      </w:r>
    </w:p>
    <w:p>
      <w:pPr>
        <w:pStyle w:val="BodyText"/>
      </w:pPr>
      <w:r>
        <w:rPr>
          <w:rFonts w:hint="eastAsia"/>
        </w:rPr>
        <w:t xml:space="preserve">本ケースに登場するすべての組織および個人は架空のものである。公開統計は市場および労働環境を設定する目的でのみ使用されている。本ケースは意図的に望ましい解決策を特定していない。</w:t>
      </w:r>
    </w:p>
    <w:p>
      <w:pPr>
        <w:pStyle w:val="BodyText"/>
      </w:pPr>
      <w:r>
        <w:rPr>
          <w:rFonts w:hint="eastAsia"/>
        </w:rPr>
        <w:t xml:space="preserve">2026年7月のある月曜日の午前7時15分、BrightNest</w:t>
      </w:r>
      <w:r>
        <w:t xml:space="preserve"> Home </w:t>
      </w:r>
      <w:r>
        <w:rPr>
          <w:rFonts w:hint="eastAsia"/>
        </w:rPr>
        <w:t xml:space="preserve">Servicesの創業者兼最高経営責任者であるマヤ・チェンは、自らが築いてきた会社の可能性と危うさの両方を裏付けるかのようなダッシュボードを開いた。3つのパイロット市場において、過去6週間で2,840世帯が初回清掃を依頼していた。しかしBrightNestが完了させた予約は1,910件にとどまっていた。顧客のほぼ5人に1人が7日以上待たされ、予約されたジョブの14%が、清掃員のキャンセルまたは確認不備により再割り当てされていた。</w:t>
      </w:r>
    </w:p>
    <w:p>
      <w:pPr>
        <w:pStyle w:val="BodyText"/>
      </w:pPr>
      <w:r>
        <w:rPr>
          <w:rFonts w:hint="eastAsia"/>
        </w:rPr>
        <w:t xml:space="preserve">同社は、テクノロジーを活用した住宅清掃サービスを構築するために1,800万ドルを調達していた。顧客はアプリを通じて一回限りまたは定期清掃を依頼し、即座に価格を受け取り、時間枠を選択し、作業を評価することができた。BrightNestは、あらゆる主要な米国労働市場で柔軟な清掃機会を宣伝できる全国求人プラットフォームを通じて清掃員を採用する計画だった。この構想は拡張性があるように見えた。広告が顧客を生み出し、求人プラットフォームが労働者を生み出せるはずだった。しかし経済性はそれほど単純ではなかった。</w:t>
      </w:r>
    </w:p>
    <w:p>
      <w:pPr>
        <w:pStyle w:val="BodyText"/>
      </w:pPr>
      <w:r>
        <w:rPr>
          <w:rFonts w:hint="eastAsia"/>
        </w:rPr>
        <w:t xml:space="preserve">BrightNestは標準的な初回清掃で平均168ドル、定期訪問で142ドルを請求していた。顧客を惹きつけるため、20ドルから40%の割引を試していた。清掃員を惹きつけるため、実働清掃1時間あたり24〜30ドルの収入、柔軟なスケジュール、即時支払い、そして特定地域でのマイレージ補助を宣伝していた。移動時間、給与税または契約者手数料、保険、顧客獲得費用、清掃用品、返金、サポート費用を含めると、いくつかの顧客・清掃員の組み合わせでは損失が発生していた。</w:t>
      </w:r>
    </w:p>
    <w:p>
      <w:pPr>
        <w:pStyle w:val="BodyText"/>
      </w:pPr>
      <w:r>
        <w:rPr>
          <w:rFonts w:hint="eastAsia"/>
        </w:rPr>
        <w:t xml:space="preserve">チェンは取締役会に対し、4週間以内に立ち上げに関する提言を行うと約束していた。取締役会は、BrightNestが慎重に選定した5つの大都市圏に参入すべきか、求人プラットフォームを利用して25都市で立ち上げるべきか、それとも全国展開して需要と供給が自然発生的に生まれるのを待つべきかを知りたがっていた。この決定は市場規模だけに左右されるものではなかった。BrightNestは各近隣地域において、適切な時間帯に、信頼できる交通手段と適切な装備を備えた十分な数の清掃員を必要としていた。また、魅力的な報酬を支えられるだけの支払い意欲を持つ顧客も必要としていた。</w:t>
      </w:r>
    </w:p>
    <w:bookmarkStart w:id="9" w:name="規模は大きいが測定が難しい市場"/>
    <w:p>
      <w:pPr>
        <w:pStyle w:val="Heading1"/>
      </w:pPr>
      <w:r>
        <w:rPr>
          <w:rFonts w:hint="eastAsia"/>
        </w:rPr>
        <w:t xml:space="preserve">規模は大きいが測定が難しい市場</w:t>
      </w:r>
    </w:p>
    <w:p>
      <w:pPr>
        <w:pStyle w:val="FirstParagraph"/>
      </w:pPr>
      <w:r>
        <w:rPr>
          <w:rFonts w:hint="eastAsia"/>
        </w:rPr>
        <w:t xml:space="preserve">住宅清掃は、地元企業、フランチャイズ、個人事業主、非公式な取り決め、アプリ仲介型サービスを含む断片化された市場に位置している。米国には2020年代半ば時点で約1億3,200万世帯が存在していた。BrightNestは、5〜12%が年に少なくとも1回は有料の住宅清掃を購入しており、週次または隔週サービスを購入する割合はそれよりはるかに小さいと推定していた。多くの取引が個人事業主や非公式な取り決めを含むため、全国規模の収益を直接把握することは困難である。</w:t>
      </w:r>
    </w:p>
    <w:p>
      <w:pPr>
        <w:pStyle w:val="BodyText"/>
      </w:pPr>
      <w:r>
        <w:rPr>
          <w:rFonts w:hint="eastAsia"/>
        </w:rPr>
        <w:t xml:space="preserve">センサスデータは、隣接する清掃業務における独立事業者の重要性を示していた。清掃業における個人事業主は2023年に約200億ドルの売上を計上していた。BrightNestの経営陣は、住宅清掃が数十億ドル規模の機会を表していると考えていたが、品質、保険、信頼できる労働力を支えるのに十分な価格で運営されるブランド化されたアプリに対する対応可能市場については、経営陣内で意見が大きく分かれていた。</w:t>
      </w:r>
    </w:p>
    <w:bookmarkEnd w:id="9"/>
    <w:bookmarkStart w:id="11" w:name="顧客獲得エンジン"/>
    <w:p>
      <w:pPr>
        <w:pStyle w:val="Heading1"/>
      </w:pPr>
      <w:r>
        <w:rPr>
          <w:rFonts w:hint="eastAsia"/>
        </w:rPr>
        <w:t xml:space="preserve">顧客獲得エンジン</w:t>
      </w:r>
    </w:p>
    <w:p>
      <w:pPr>
        <w:pStyle w:val="FirstParagraph"/>
      </w:pPr>
      <w:r>
        <w:rPr>
          <w:rFonts w:hint="eastAsia"/>
        </w:rPr>
        <w:t xml:space="preserve">グロースチームは、顧客獲得を4つのチャネルを中心に組織していた。すなわち、有料検索、ソーシャルメディア、地域デジタルマーケットプレイス、そして近隣紹介プログラムである。各チャネルは異なる顧客ミックスを生み出していた。検索広告は即座の意図を持つ人々を惹きつけたが、コストが高かった。ソーシャルメディアは安価にリードを生み出したが、予約率が低かった。紹介クレジットはリピート顧客を生み出したが、発展までに時間を要した。集合住宅管理者、不動産業者、雇用主とのパートナーシップは、より大きな需要のまとまりを提供したが、通常は割引やサービス保証が必要だった。</w:t>
      </w:r>
    </w:p>
    <w:p>
      <w:pPr>
        <w:pStyle w:val="BodyText"/>
      </w:pPr>
      <w:r>
        <w:rPr>
          <w:rFonts w:hint="eastAsia"/>
        </w:rPr>
        <w:t xml:space="preserve">初回清掃の割引は最大の意見対立を生んだ。最高成長責任者は、割引された初回訪問が顧客の知覚リスクを軽減し、定期サービスへの転換の機会を会社に与えると主張した。最高財務責任者は、大幅な割引を、二度と再注文しないかもしれない価格に敏感な顧客を惹きつける仕組みと見なしていた。オペレーション担当マネジャーは、プロモーションが、地域の清掃員プールが準備できる前に予約の急増を生み出す可能性を懸念していた。</w:t>
      </w:r>
    </w:p>
    <w:bookmarkStart w:id="10" w:name="図表1パイロット顧客獲得結果"/>
    <w:p>
      <w:pPr>
        <w:pStyle w:val="Heading2"/>
      </w:pPr>
      <w:r>
        <w:rPr>
          <w:rFonts w:hint="eastAsia"/>
        </w:rPr>
        <w:t xml:space="preserve">図表1．パイロット顧客獲得結果</w:t>
      </w:r>
    </w:p>
    <w:tbl>
      <w:tblPr>
        <w:tblStyle w:val="Table"/>
        <w:tblW w:type="pct" w:w="4922"/>
        <w:tblLayout w:type="fixed"/>
        <w:tblLook w:firstRow="1" w:lastRow="0" w:firstColumn="0" w:lastColumn="0" w:noHBand="0" w:noVBand="0" w:val="0020"/>
      </w:tblPr>
      <w:tblGrid>
        <w:gridCol w:w="1794"/>
        <w:gridCol w:w="1856"/>
        <w:gridCol w:w="1175"/>
        <w:gridCol w:w="1299"/>
        <w:gridCol w:w="1670"/>
      </w:tblGrid>
      <w:tr>
        <w:trPr>
          <w:tblHeader w:val="on"/>
        </w:trPr>
        <w:tc>
          <w:tcPr/>
          <w:p>
            <w:pPr>
              <w:pStyle w:val="Compact"/>
              <w:jc w:val="left"/>
            </w:pPr>
            <w:r>
              <w:t xml:space="preserve">チャネル</w:t>
            </w:r>
          </w:p>
        </w:tc>
        <w:tc>
          <w:tcPr/>
          <w:p>
            <w:pPr>
              <w:pStyle w:val="Compact"/>
              <w:jc w:val="right"/>
            </w:pPr>
            <w:r>
              <w:rPr>
                <w:rFonts w:hint="eastAsia"/>
              </w:rPr>
              <w:t xml:space="preserve">予約1件あたりの初回清掃獲得コ</w:t>
            </w:r>
          </w:p>
        </w:tc>
        <w:tc>
          <w:tcPr/>
          <w:p>
            <w:pPr>
              <w:pStyle w:val="Compact"/>
              <w:jc w:val="left"/>
            </w:pPr>
            <w:r>
              <w:t xml:space="preserve">スト </w:t>
            </w:r>
            <w:r>
              <w:rPr>
                <w:rFonts w:hint="eastAsia"/>
              </w:rPr>
              <w:t xml:space="preserve">平均割引率</w:t>
            </w:r>
          </w:p>
        </w:tc>
        <w:tc>
          <w:tcPr/>
          <w:p>
            <w:pPr>
              <w:pStyle w:val="Compact"/>
              <w:jc w:val="right"/>
            </w:pPr>
            <w:r>
              <w:rPr>
                <w:rFonts w:hint="eastAsia"/>
              </w:rPr>
              <w:t xml:space="preserve">30日間リピート率</w:t>
            </w:r>
            <w:r>
              <w:t xml:space="preserve"> キ</w:t>
            </w:r>
          </w:p>
        </w:tc>
        <w:tc>
          <w:tcPr/>
          <w:p>
            <w:pPr>
              <w:pStyle w:val="Compact"/>
              <w:jc w:val="left"/>
            </w:pPr>
            <w:r>
              <w:rPr>
                <w:rFonts w:hint="eastAsia"/>
              </w:rPr>
              <w:t xml:space="preserve">ャンセル/返金率</w:t>
            </w:r>
          </w:p>
        </w:tc>
      </w:tr>
      <w:tr>
        <w:tc>
          <w:tcPr/>
          <w:p>
            <w:pPr>
              <w:pStyle w:val="Compact"/>
              <w:jc w:val="left"/>
            </w:pPr>
            <w:r>
              <w:rPr>
                <w:rFonts w:hint="eastAsia"/>
              </w:rPr>
              <w:t xml:space="preserve">有料検索</w:t>
            </w:r>
            <w:r>
              <w:t xml:space="preserve"> 72ド</w:t>
            </w:r>
          </w:p>
        </w:tc>
        <w:tc>
          <w:tcPr/>
          <w:p>
            <w:pPr>
              <w:pStyle w:val="Compact"/>
              <w:jc w:val="right"/>
            </w:pPr>
            <w:r>
              <w:t xml:space="preserve">ル 25</w:t>
            </w:r>
          </w:p>
        </w:tc>
        <w:tc>
          <w:tcPr/>
          <w:p>
            <w:pPr>
              <w:pStyle w:val="Compact"/>
              <w:jc w:val="left"/>
            </w:pPr>
            <w:r>
              <w:t xml:space="preserve">% 31</w:t>
            </w:r>
          </w:p>
        </w:tc>
        <w:tc>
          <w:tcPr/>
          <w:p>
            <w:pPr>
              <w:pStyle w:val="Compact"/>
              <w:jc w:val="right"/>
            </w:pPr>
            <w:r>
              <w:t xml:space="preserve">% 9%</w:t>
            </w:r>
          </w:p>
        </w:tc>
        <w:tc>
          <w:tcPr/>
          <w:p>
            <w:pPr>
              <w:pStyle w:val="Compact"/>
            </w:pPr>
          </w:p>
        </w:tc>
      </w:tr>
      <w:tr>
        <w:tc>
          <w:tcPr/>
          <w:p>
            <w:pPr>
              <w:pStyle w:val="Compact"/>
              <w:jc w:val="left"/>
            </w:pPr>
            <w:r>
              <w:t xml:space="preserve">ソーシャルメディア</w:t>
            </w:r>
          </w:p>
        </w:tc>
        <w:tc>
          <w:tcPr/>
          <w:p>
            <w:pPr>
              <w:pStyle w:val="Compact"/>
              <w:jc w:val="right"/>
            </w:pPr>
            <w:r>
              <w:t xml:space="preserve">48ドル</w:t>
            </w:r>
          </w:p>
        </w:tc>
        <w:tc>
          <w:tcPr/>
          <w:p>
            <w:pPr>
              <w:pStyle w:val="Compact"/>
              <w:jc w:val="left"/>
            </w:pPr>
            <w:r>
              <w:t xml:space="preserve">35%</w:t>
            </w:r>
          </w:p>
        </w:tc>
        <w:tc>
          <w:tcPr/>
          <w:p>
            <w:pPr>
              <w:pStyle w:val="Compact"/>
              <w:jc w:val="right"/>
            </w:pPr>
            <w:r>
              <w:t xml:space="preserve">18%</w:t>
            </w:r>
          </w:p>
        </w:tc>
        <w:tc>
          <w:tcPr/>
          <w:p>
            <w:pPr>
              <w:pStyle w:val="Compact"/>
              <w:jc w:val="left"/>
            </w:pPr>
            <w:r>
              <w:t xml:space="preserve">14%</w:t>
            </w:r>
          </w:p>
        </w:tc>
      </w:tr>
      <w:tr>
        <w:tc>
          <w:tcPr/>
          <w:p>
            <w:pPr>
              <w:pStyle w:val="Compact"/>
              <w:jc w:val="left"/>
            </w:pPr>
            <w:r>
              <w:rPr>
                <w:rFonts w:hint="eastAsia"/>
              </w:rPr>
              <w:t xml:space="preserve">近隣紹介</w:t>
            </w:r>
            <w:r>
              <w:t xml:space="preserve"> 39ドル</w:t>
            </w:r>
          </w:p>
        </w:tc>
        <w:tc>
          <w:tcPr/>
          <w:p>
            <w:pPr>
              <w:pStyle w:val="Compact"/>
              <w:jc w:val="right"/>
            </w:pPr>
            <w:r>
              <w:t xml:space="preserve">15%</w:t>
            </w:r>
          </w:p>
        </w:tc>
        <w:tc>
          <w:tcPr/>
          <w:p>
            <w:pPr>
              <w:pStyle w:val="Compact"/>
              <w:jc w:val="left"/>
            </w:pPr>
            <w:r>
              <w:t xml:space="preserve">46%</w:t>
            </w:r>
          </w:p>
        </w:tc>
        <w:tc>
          <w:tcPr/>
          <w:p>
            <w:pPr>
              <w:pStyle w:val="Compact"/>
              <w:jc w:val="right"/>
            </w:pPr>
            <w:r>
              <w:t xml:space="preserve">6%</w:t>
            </w:r>
          </w:p>
        </w:tc>
        <w:tc>
          <w:tcPr/>
          <w:p>
            <w:pPr>
              <w:pStyle w:val="Compact"/>
            </w:pPr>
          </w:p>
        </w:tc>
      </w:tr>
      <w:tr>
        <w:tc>
          <w:tcPr/>
          <w:p>
            <w:pPr>
              <w:pStyle w:val="Compact"/>
              <w:jc w:val="left"/>
            </w:pPr>
            <w:r>
              <w:rPr>
                <w:rFonts w:hint="eastAsia"/>
              </w:rPr>
              <w:t xml:space="preserve">不動産管理者/雇用主パートナー</w:t>
            </w:r>
          </w:p>
        </w:tc>
        <w:tc>
          <w:tcPr/>
          <w:p>
            <w:pPr>
              <w:pStyle w:val="Compact"/>
              <w:jc w:val="right"/>
            </w:pPr>
            <w:r>
              <w:t xml:space="preserve">61ドル</w:t>
            </w:r>
          </w:p>
        </w:tc>
        <w:tc>
          <w:tcPr/>
          <w:p>
            <w:pPr>
              <w:pStyle w:val="Compact"/>
              <w:jc w:val="left"/>
            </w:pPr>
            <w:r>
              <w:t xml:space="preserve">22%</w:t>
            </w:r>
          </w:p>
        </w:tc>
        <w:tc>
          <w:tcPr/>
          <w:p>
            <w:pPr>
              <w:pStyle w:val="Compact"/>
              <w:jc w:val="right"/>
            </w:pPr>
            <w:r>
              <w:t xml:space="preserve">38%</w:t>
            </w:r>
          </w:p>
        </w:tc>
        <w:tc>
          <w:tcPr/>
          <w:p>
            <w:pPr>
              <w:pStyle w:val="Compact"/>
              <w:jc w:val="left"/>
            </w:pPr>
            <w:r>
              <w:t xml:space="preserve">7%</w:t>
            </w:r>
          </w:p>
        </w:tc>
      </w:tr>
      <w:tr>
        <w:tc>
          <w:tcPr/>
          <w:p>
            <w:pPr>
              <w:pStyle w:val="Compact"/>
              <w:jc w:val="left"/>
            </w:pPr>
            <w:r>
              <w:rPr>
                <w:rFonts w:hint="eastAsia"/>
              </w:rPr>
              <w:t xml:space="preserve">地域サービスマーケットプレイス</w:t>
            </w:r>
          </w:p>
        </w:tc>
        <w:tc>
          <w:tcPr/>
          <w:p>
            <w:pPr>
              <w:pStyle w:val="Compact"/>
              <w:jc w:val="right"/>
            </w:pPr>
            <w:r>
              <w:t xml:space="preserve">84ドル</w:t>
            </w:r>
          </w:p>
        </w:tc>
        <w:tc>
          <w:tcPr/>
          <w:p>
            <w:pPr>
              <w:pStyle w:val="Compact"/>
              <w:jc w:val="left"/>
            </w:pPr>
            <w:r>
              <w:t xml:space="preserve">18%</w:t>
            </w:r>
          </w:p>
        </w:tc>
        <w:tc>
          <w:tcPr/>
          <w:p>
            <w:pPr>
              <w:pStyle w:val="Compact"/>
              <w:jc w:val="right"/>
            </w:pPr>
            <w:r>
              <w:t xml:space="preserve">27%</w:t>
            </w:r>
          </w:p>
        </w:tc>
        <w:tc>
          <w:tcPr/>
          <w:p>
            <w:pPr>
              <w:pStyle w:val="Compact"/>
              <w:jc w:val="left"/>
            </w:pPr>
            <w:r>
              <w:t xml:space="preserve">12%</w:t>
            </w:r>
          </w:p>
        </w:tc>
      </w:tr>
    </w:tbl>
    <w:p>
      <w:pPr>
        <w:pStyle w:val="BodyText"/>
      </w:pPr>
      <w:r>
        <w:rPr>
          <w:rFonts w:hint="eastAsia"/>
        </w:rPr>
        <w:t xml:space="preserve">一度予約した顧客は即座に収益を生み出したが、長期的な価値は小さかった。定期利用の顧客は年間12〜24回の予約をする可能性があったが、それは初回清掃が期待に応え、会社が一貫した予約時間帯を提供できた場合に限られた。BrightNestは、顧客がブランドに忠実なのか、特定の清掃員に忠実なのか、あるいは単に最も安い価格に忠実なだけなのかを、まだ把握できていなかった。</w:t>
      </w:r>
    </w:p>
    <w:bookmarkEnd w:id="10"/>
    <w:bookmarkEnd w:id="11"/>
    <w:bookmarkStart w:id="13" w:name="需要の推定"/>
    <w:p>
      <w:pPr>
        <w:pStyle w:val="Heading1"/>
      </w:pPr>
      <w:r>
        <w:rPr>
          <w:rFonts w:hint="eastAsia"/>
        </w:rPr>
        <w:t xml:space="preserve">需要の推定</w:t>
      </w:r>
    </w:p>
    <w:p>
      <w:pPr>
        <w:pStyle w:val="FirstParagraph"/>
      </w:pPr>
      <w:r>
        <w:rPr>
          <w:rFonts w:hint="eastAsia"/>
        </w:rPr>
        <w:t xml:space="preserve">経営陣はトップダウン型の需要推定を構築した。米国の約1億3,200万世帯を出発点として、7.5%が年間に少なくとも1回はプロの清掃サービスを購入すると仮定した。平均年6回の訪問、1回あたり150ドルとすると、これは年間支出が約90億ドルに達することを意味した。より幅広い仮定として、参加率12%、年8回の訪問とすると、190億ドルを超えることになった。チームはこれら2つの数字を「市場仮説」であり予測ではないと位置づけていた。</w:t>
      </w:r>
    </w:p>
    <w:p>
      <w:pPr>
        <w:pStyle w:val="BodyText"/>
      </w:pPr>
      <w:r>
        <w:rPr>
          <w:rFonts w:hint="eastAsia"/>
        </w:rPr>
        <w:t xml:space="preserve">ボトムアップ型の推定はより控えめだった。最初にスクリーニングした30の大都市圏において、BrightNestは2,400万世帯を特定した。所得、世帯構成、住宅タイプ、デジタル購買行動、地域サービス価格に基づき、370万世帯を定期サービスの利用が見込める顧客として分類した。そのグループの1%を獲得すれば3万7,000人の顧客が生まれることになる。顧客1人あたり年間15回の清掃とすると、これは年間55万件以上の清掃完了を必要とし、平日1日あたり約2,200件に相当する。</w:t>
      </w:r>
    </w:p>
    <w:bookmarkStart w:id="12" w:name="図表2全国需要シナリオの例示"/>
    <w:p>
      <w:pPr>
        <w:pStyle w:val="Heading2"/>
      </w:pPr>
      <w:r>
        <w:rPr>
          <w:rFonts w:hint="eastAsia"/>
        </w:rPr>
        <w:t xml:space="preserve">図表2．全国需要シナリオの例示</w:t>
      </w:r>
    </w:p>
    <w:tbl>
      <w:tblPr>
        <w:tblStyle w:val="Table"/>
        <w:tblW w:type="pct" w:w="4914"/>
        <w:tblLayout w:type="fixed"/>
        <w:tblLook w:firstRow="1" w:lastRow="0" w:firstColumn="0" w:lastColumn="0" w:noHBand="0" w:noVBand="0" w:val="0020"/>
      </w:tblPr>
      <w:tblGrid>
        <w:gridCol w:w="1024"/>
        <w:gridCol w:w="2253"/>
        <w:gridCol w:w="1638"/>
        <w:gridCol w:w="1092"/>
        <w:gridCol w:w="1775"/>
      </w:tblGrid>
      <w:tr>
        <w:trPr>
          <w:tblHeader w:val="on"/>
        </w:trPr>
        <w:tc>
          <w:tcPr/>
          <w:p>
            <w:pPr>
              <w:pStyle w:val="Compact"/>
              <w:jc w:val="left"/>
            </w:pPr>
            <w:r>
              <w:t xml:space="preserve">シナリオ</w:t>
            </w:r>
          </w:p>
        </w:tc>
        <w:tc>
          <w:tcPr/>
          <w:p>
            <w:pPr>
              <w:pStyle w:val="Compact"/>
            </w:pPr>
            <w:r>
              <w:rPr>
                <w:rFonts w:hint="eastAsia"/>
              </w:rPr>
              <w:t xml:space="preserve">有料清掃を利用する世帯</w:t>
            </w:r>
            <w:r>
              <w:t xml:space="preserve"> </w:t>
            </w:r>
            <w:r>
              <w:rPr>
                <w:rFonts w:hint="eastAsia"/>
              </w:rPr>
              <w:t xml:space="preserve">年間平均</w:t>
            </w:r>
          </w:p>
        </w:tc>
        <w:tc>
          <w:tcPr/>
          <w:p>
            <w:pPr>
              <w:pStyle w:val="Compact"/>
            </w:pPr>
            <w:r>
              <w:rPr>
                <w:rFonts w:hint="eastAsia"/>
              </w:rPr>
              <w:t xml:space="preserve">訪問回数</w:t>
            </w:r>
            <w:r>
              <w:t xml:space="preserve"> </w:t>
            </w:r>
            <w:r>
              <w:rPr>
                <w:rFonts w:hint="eastAsia"/>
              </w:rPr>
              <w:t xml:space="preserve">平均価格</w:t>
            </w:r>
            <w:r>
              <w:t xml:space="preserve"> </w:t>
            </w:r>
            <w:r>
              <w:rPr>
                <w:rFonts w:hint="eastAsia"/>
              </w:rPr>
              <w:t xml:space="preserve">推</w:t>
            </w:r>
          </w:p>
        </w:tc>
        <w:tc>
          <w:tcPr/>
          <w:p>
            <w:pPr>
              <w:pStyle w:val="Compact"/>
              <w:jc w:val="left"/>
            </w:pPr>
            <w:r>
              <w:rPr>
                <w:rFonts w:hint="eastAsia"/>
              </w:rPr>
              <w:t xml:space="preserve">定年間需要</w:t>
            </w:r>
          </w:p>
        </w:tc>
        <w:tc>
          <w:tcPr/>
          <w:p>
            <w:pPr>
              <w:pStyle w:val="Compact"/>
            </w:pPr>
          </w:p>
        </w:tc>
      </w:tr>
      <w:tr>
        <w:tc>
          <w:tcPr/>
          <w:p>
            <w:pPr>
              <w:pStyle w:val="Compact"/>
              <w:jc w:val="left"/>
            </w:pPr>
            <w:r>
              <w:rPr>
                <w:rFonts w:hint="eastAsia"/>
              </w:rPr>
              <w:t xml:space="preserve">保守的シナリオ</w:t>
            </w:r>
          </w:p>
        </w:tc>
        <w:tc>
          <w:tcPr/>
          <w:p>
            <w:pPr>
              <w:pStyle w:val="Compact"/>
            </w:pPr>
            <w:r>
              <w:rPr>
                <w:rFonts w:hint="eastAsia"/>
              </w:rPr>
              <w:t xml:space="preserve">660万世帯（5%）</w:t>
            </w:r>
          </w:p>
        </w:tc>
        <w:tc>
          <w:tcPr/>
          <w:p>
            <w:pPr>
              <w:pStyle w:val="Compact"/>
            </w:pPr>
            <w:r>
              <w:t xml:space="preserve">4</w:t>
            </w:r>
          </w:p>
        </w:tc>
        <w:tc>
          <w:tcPr/>
          <w:p>
            <w:pPr>
              <w:pStyle w:val="Compact"/>
              <w:jc w:val="left"/>
            </w:pPr>
            <w:r>
              <w:t xml:space="preserve">145ドル</w:t>
            </w:r>
          </w:p>
        </w:tc>
        <w:tc>
          <w:tcPr/>
          <w:p>
            <w:pPr>
              <w:pStyle w:val="Compact"/>
            </w:pPr>
            <w:r>
              <w:rPr>
                <w:rFonts w:hint="eastAsia"/>
              </w:rPr>
              <w:t xml:space="preserve">38億ドル</w:t>
            </w:r>
          </w:p>
        </w:tc>
      </w:tr>
      <w:tr>
        <w:tc>
          <w:tcPr/>
          <w:p>
            <w:pPr>
              <w:pStyle w:val="Compact"/>
              <w:jc w:val="left"/>
            </w:pPr>
            <w:r>
              <w:rPr>
                <w:rFonts w:hint="eastAsia"/>
              </w:rPr>
              <w:t xml:space="preserve">基本シナリオ</w:t>
            </w:r>
          </w:p>
        </w:tc>
        <w:tc>
          <w:tcPr/>
          <w:p>
            <w:pPr>
              <w:pStyle w:val="Compact"/>
            </w:pPr>
            <w:r>
              <w:rPr>
                <w:rFonts w:hint="eastAsia"/>
              </w:rPr>
              <w:t xml:space="preserve">990万世帯（7.5%）</w:t>
            </w:r>
          </w:p>
        </w:tc>
        <w:tc>
          <w:tcPr/>
          <w:p>
            <w:pPr>
              <w:pStyle w:val="Compact"/>
            </w:pPr>
            <w:r>
              <w:t xml:space="preserve">6</w:t>
            </w:r>
          </w:p>
        </w:tc>
        <w:tc>
          <w:tcPr/>
          <w:p>
            <w:pPr>
              <w:pStyle w:val="Compact"/>
              <w:jc w:val="left"/>
            </w:pPr>
            <w:r>
              <w:t xml:space="preserve">150ドル</w:t>
            </w:r>
          </w:p>
        </w:tc>
        <w:tc>
          <w:tcPr/>
          <w:p>
            <w:pPr>
              <w:pStyle w:val="Compact"/>
            </w:pPr>
            <w:r>
              <w:rPr>
                <w:rFonts w:hint="eastAsia"/>
              </w:rPr>
              <w:t xml:space="preserve">89億ドル</w:t>
            </w:r>
          </w:p>
        </w:tc>
      </w:tr>
      <w:tr>
        <w:tc>
          <w:tcPr/>
          <w:p>
            <w:pPr>
              <w:pStyle w:val="Compact"/>
              <w:jc w:val="left"/>
            </w:pPr>
            <w:r>
              <w:rPr>
                <w:rFonts w:hint="eastAsia"/>
              </w:rPr>
              <w:t xml:space="preserve">高位シナリオ</w:t>
            </w:r>
          </w:p>
        </w:tc>
        <w:tc>
          <w:tcPr/>
          <w:p>
            <w:pPr>
              <w:pStyle w:val="Compact"/>
            </w:pPr>
            <w:r>
              <w:rPr>
                <w:rFonts w:hint="eastAsia"/>
              </w:rPr>
              <w:t xml:space="preserve">1,580万世帯（12%）</w:t>
            </w:r>
          </w:p>
        </w:tc>
        <w:tc>
          <w:tcPr/>
          <w:p>
            <w:pPr>
              <w:pStyle w:val="Compact"/>
            </w:pPr>
            <w:r>
              <w:t xml:space="preserve">8</w:t>
            </w:r>
          </w:p>
        </w:tc>
        <w:tc>
          <w:tcPr/>
          <w:p>
            <w:pPr>
              <w:pStyle w:val="Compact"/>
              <w:jc w:val="left"/>
            </w:pPr>
            <w:r>
              <w:t xml:space="preserve">155ドル</w:t>
            </w:r>
          </w:p>
        </w:tc>
        <w:tc>
          <w:tcPr/>
          <w:p>
            <w:pPr>
              <w:pStyle w:val="Compact"/>
            </w:pPr>
            <w:r>
              <w:rPr>
                <w:rFonts w:hint="eastAsia"/>
              </w:rPr>
              <w:t xml:space="preserve">196億ドル</w:t>
            </w:r>
          </w:p>
        </w:tc>
      </w:tr>
    </w:tbl>
    <w:bookmarkEnd w:id="12"/>
    <w:bookmarkEnd w:id="13"/>
    <w:bookmarkStart w:id="15" w:name="清掃員ネットワークの採用"/>
    <w:p>
      <w:pPr>
        <w:pStyle w:val="Heading1"/>
      </w:pPr>
      <w:r>
        <w:rPr>
          <w:rFonts w:hint="eastAsia"/>
        </w:rPr>
        <w:t xml:space="preserve">清掃員ネットワークの採用</w:t>
      </w:r>
    </w:p>
    <w:p>
      <w:pPr>
        <w:pStyle w:val="FirstParagraph"/>
      </w:pPr>
      <w:r>
        <w:rPr>
          <w:rFonts w:hint="eastAsia"/>
        </w:rPr>
        <w:t xml:space="preserve">BrightNestは清掃拠点を所有せず、大規模な地域採用チームも持たなかった。代わりに、架空の全国求人検索アプリであるWorkReachを通じて機会を宣伝する計画だった。応募者は推定収入を確認し、希望する作業地域と時間帯を選択し、身分証明書と雇用関連書類をアップロードし、身元調査を完了し、研修モジュールを視聴し、承認済みの用品キットを注文することができた。</w:t>
      </w:r>
    </w:p>
    <w:p>
      <w:pPr>
        <w:pStyle w:val="BodyText"/>
      </w:pPr>
      <w:r>
        <w:rPr>
          <w:rFonts w:hint="eastAsia"/>
        </w:rPr>
        <w:t xml:space="preserve">全国的な労働力プールは大きく見えた。労働統計局は2025年5月時点で、メイド・住宅清掃員が86万670人存在し、平均時給は17.83ドル、中央値は17.07ドルと推定していた。建物・構内清掃職は2024年に570万人以上が従事していたが、その大半は住宅清掃業務には従事していなかった。これらの数字は労働力の利用可能性を示唆していたが、変動的でアプリによって割り当てられる住宅清掃業務を望む労働者が何人いるかという問いには答えていなかった。</w:t>
      </w:r>
    </w:p>
    <w:p>
      <w:pPr>
        <w:pStyle w:val="BodyText"/>
      </w:pPr>
      <w:r>
        <w:rPr>
          <w:rFonts w:hint="eastAsia"/>
        </w:rPr>
        <w:t xml:space="preserve">作業は身体的に負担が大きく、一部のモデルでは住宅間の移動は無給であり、顧客は時に夕方や週末を希望した。応募者はまた、BrightNestをホテル、病院、商業清掃会社、在宅介護業務、配達プラットフォーム、直接の個人顧客と比較していた。清掃1時間あたり28ドルという見出しの料率は、移動、用品購入、顧客とのやり取り、ジョブ間の待機に75分を費やす労働者にとっては、はるかに少ない実質額に変わり得た。</w:t>
      </w:r>
    </w:p>
    <w:bookmarkStart w:id="14" w:name="図表3パイロット清掃員ファネル"/>
    <w:p>
      <w:pPr>
        <w:pStyle w:val="Heading2"/>
      </w:pPr>
      <w:r>
        <w:rPr>
          <w:rFonts w:hint="eastAsia"/>
        </w:rPr>
        <w:t xml:space="preserve">図表3．パイロット清掃員ファネル</w:t>
      </w:r>
    </w:p>
    <w:tbl>
      <w:tblPr>
        <w:tblStyle w:val="Table"/>
        <w:tblW w:type="pct" w:w="4912"/>
        <w:tblLayout w:type="fixed"/>
        <w:tblLook w:firstRow="1" w:lastRow="0" w:firstColumn="0" w:lastColumn="0" w:noHBand="0" w:noVBand="0" w:val="0020"/>
      </w:tblPr>
      <w:tblGrid>
        <w:gridCol w:w="1962"/>
        <w:gridCol w:w="911"/>
        <w:gridCol w:w="1612"/>
        <w:gridCol w:w="3294"/>
      </w:tblGrid>
      <w:tr>
        <w:trPr>
          <w:tblHeader w:val="on"/>
        </w:trPr>
        <w:tc>
          <w:tcPr/>
          <w:p>
            <w:pPr>
              <w:pStyle w:val="Compact"/>
            </w:pPr>
            <w:r>
              <w:rPr>
                <w:rFonts w:hint="eastAsia"/>
              </w:rPr>
              <w:t xml:space="preserve">段階</w:t>
            </w:r>
            <w:r>
              <w:t xml:space="preserve"> </w:t>
            </w:r>
            <w:r>
              <w:rPr>
                <w:rFonts w:hint="eastAsia"/>
              </w:rPr>
              <w:t xml:space="preserve">応</w:t>
            </w:r>
          </w:p>
        </w:tc>
        <w:tc>
          <w:tcPr/>
          <w:p>
            <w:pPr>
              <w:pStyle w:val="Compact"/>
            </w:pPr>
            <w:r>
              <w:rPr>
                <w:rFonts w:hint="eastAsia"/>
              </w:rPr>
              <w:t xml:space="preserve">募者数</w:t>
            </w:r>
            <w:r>
              <w:t xml:space="preserve"> </w:t>
            </w:r>
            <w:r>
              <w:rPr>
                <w:rFonts w:hint="eastAsia"/>
              </w:rPr>
              <w:t xml:space="preserve">前段</w:t>
            </w:r>
          </w:p>
        </w:tc>
        <w:tc>
          <w:tcPr/>
          <w:p>
            <w:pPr>
              <w:pStyle w:val="Compact"/>
            </w:pPr>
            <w:r>
              <w:rPr>
                <w:rFonts w:hint="eastAsia"/>
              </w:rPr>
              <w:t xml:space="preserve">階に対する割合</w:t>
            </w:r>
            <w:r>
              <w:t xml:space="preserve"> </w:t>
            </w:r>
            <w:r>
              <w:rPr>
                <w:rFonts w:hint="eastAsia"/>
              </w:rPr>
              <w:t xml:space="preserve">主な離</w:t>
            </w:r>
          </w:p>
        </w:tc>
        <w:tc>
          <w:tcPr/>
          <w:p>
            <w:pPr>
              <w:pStyle w:val="Compact"/>
              <w:jc w:val="left"/>
            </w:pPr>
            <w:r>
              <w:rPr>
                <w:rFonts w:hint="eastAsia"/>
              </w:rPr>
              <w:t xml:space="preserve">脱理由</w:t>
            </w:r>
          </w:p>
        </w:tc>
      </w:tr>
      <w:tr>
        <w:tc>
          <w:tcPr/>
          <w:p>
            <w:pPr>
              <w:pStyle w:val="Compact"/>
            </w:pPr>
            <w:r>
              <w:rPr>
                <w:rFonts w:hint="eastAsia"/>
              </w:rPr>
              <w:t xml:space="preserve">求人広告をクリック</w:t>
            </w:r>
            <w:r>
              <w:t xml:space="preserve"> 18,400</w:t>
            </w:r>
          </w:p>
        </w:tc>
        <w:tc>
          <w:tcPr/>
          <w:p>
            <w:pPr>
              <w:pStyle w:val="Compact"/>
            </w:pPr>
            <w:r>
              <w:t xml:space="preserve">-</w:t>
            </w:r>
          </w:p>
        </w:tc>
        <w:tc>
          <w:tcPr/>
          <w:p>
            <w:pPr>
              <w:pStyle w:val="Compact"/>
            </w:pPr>
            <w:r>
              <w:t xml:space="preserve">-</w:t>
            </w:r>
          </w:p>
        </w:tc>
        <w:tc>
          <w:tcPr/>
          <w:p>
            <w:pPr>
              <w:pStyle w:val="Compact"/>
            </w:pPr>
          </w:p>
        </w:tc>
      </w:tr>
      <w:tr>
        <w:tc>
          <w:tcPr/>
          <w:p>
            <w:pPr>
              <w:pStyle w:val="Compact"/>
            </w:pPr>
            <w:r>
              <w:rPr>
                <w:rFonts w:hint="eastAsia"/>
              </w:rPr>
              <w:t xml:space="preserve">応募開始</w:t>
            </w:r>
            <w:r>
              <w:t xml:space="preserve"> 7,920 43%</w:t>
            </w:r>
          </w:p>
        </w:tc>
        <w:tc>
          <w:tcPr/>
          <w:p>
            <w:pPr>
              <w:pStyle w:val="Compact"/>
            </w:pPr>
          </w:p>
        </w:tc>
        <w:tc>
          <w:tcPr/>
          <w:p>
            <w:pPr>
              <w:pStyle w:val="Compact"/>
            </w:pPr>
            <w:r>
              <w:rPr>
                <w:rFonts w:hint="eastAsia"/>
              </w:rPr>
              <w:t xml:space="preserve">給与または勤務地が不</w:t>
            </w:r>
          </w:p>
        </w:tc>
        <w:tc>
          <w:tcPr/>
          <w:p>
            <w:pPr>
              <w:pStyle w:val="Compact"/>
              <w:jc w:val="left"/>
            </w:pPr>
            <w:r>
              <w:rPr>
                <w:rFonts w:hint="eastAsia"/>
              </w:rPr>
              <w:t xml:space="preserve">明確</w:t>
            </w:r>
          </w:p>
        </w:tc>
      </w:tr>
      <w:tr>
        <w:tc>
          <w:tcPr/>
          <w:p>
            <w:pPr>
              <w:pStyle w:val="Compact"/>
            </w:pPr>
            <w:r>
              <w:rPr>
                <w:rFonts w:hint="eastAsia"/>
              </w:rPr>
              <w:t xml:space="preserve">スクリーニング通過</w:t>
            </w:r>
          </w:p>
        </w:tc>
        <w:tc>
          <w:tcPr/>
          <w:p>
            <w:pPr>
              <w:pStyle w:val="Compact"/>
            </w:pPr>
            <w:r>
              <w:t xml:space="preserve">4,110</w:t>
            </w:r>
          </w:p>
        </w:tc>
        <w:tc>
          <w:tcPr/>
          <w:p>
            <w:pPr>
              <w:pStyle w:val="Compact"/>
            </w:pPr>
            <w:r>
              <w:t xml:space="preserve">52%</w:t>
            </w:r>
          </w:p>
        </w:tc>
        <w:tc>
          <w:tcPr/>
          <w:p>
            <w:pPr>
              <w:pStyle w:val="Compact"/>
              <w:jc w:val="left"/>
            </w:pPr>
            <w:r>
              <w:rPr>
                <w:rFonts w:hint="eastAsia"/>
              </w:rPr>
              <w:t xml:space="preserve">書類/身元調査</w:t>
            </w:r>
          </w:p>
        </w:tc>
      </w:tr>
      <w:tr>
        <w:tc>
          <w:tcPr/>
          <w:p>
            <w:pPr>
              <w:pStyle w:val="Compact"/>
            </w:pPr>
            <w:r>
              <w:rPr>
                <w:rFonts w:hint="eastAsia"/>
              </w:rPr>
              <w:t xml:space="preserve">研修完了</w:t>
            </w:r>
            <w:r>
              <w:t xml:space="preserve"> 2,380</w:t>
            </w:r>
          </w:p>
        </w:tc>
        <w:tc>
          <w:tcPr/>
          <w:p>
            <w:pPr>
              <w:pStyle w:val="Compact"/>
            </w:pPr>
            <w:r>
              <w:t xml:space="preserve">58%</w:t>
            </w:r>
          </w:p>
        </w:tc>
        <w:tc>
          <w:tcPr/>
          <w:p>
            <w:pPr>
              <w:pStyle w:val="Compact"/>
            </w:pPr>
            <w:r>
              <w:rPr>
                <w:rFonts w:hint="eastAsia"/>
              </w:rPr>
              <w:t xml:space="preserve">時間と装</w:t>
            </w:r>
          </w:p>
        </w:tc>
        <w:tc>
          <w:tcPr/>
          <w:p>
            <w:pPr>
              <w:pStyle w:val="Compact"/>
              <w:jc w:val="left"/>
            </w:pPr>
            <w:r>
              <w:rPr>
                <w:rFonts w:hint="eastAsia"/>
              </w:rPr>
              <w:t xml:space="preserve">備の要件</w:t>
            </w:r>
          </w:p>
        </w:tc>
      </w:tr>
      <w:tr>
        <w:tc>
          <w:tcPr/>
          <w:p>
            <w:pPr>
              <w:pStyle w:val="Compact"/>
            </w:pPr>
            <w:r>
              <w:rPr>
                <w:rFonts w:hint="eastAsia"/>
              </w:rPr>
              <w:t xml:space="preserve">初回ジョブ受諾</w:t>
            </w:r>
            <w:r>
              <w:t xml:space="preserve"> 1,</w:t>
            </w:r>
          </w:p>
        </w:tc>
        <w:tc>
          <w:tcPr/>
          <w:p>
            <w:pPr>
              <w:pStyle w:val="Compact"/>
            </w:pPr>
            <w:r>
              <w:t xml:space="preserve">420 60</w:t>
            </w:r>
          </w:p>
        </w:tc>
        <w:tc>
          <w:tcPr/>
          <w:p>
            <w:pPr>
              <w:pStyle w:val="Compact"/>
            </w:pPr>
            <w:r>
              <w:t xml:space="preserve">% </w:t>
            </w:r>
            <w:r>
              <w:rPr>
                <w:rFonts w:hint="eastAsia"/>
              </w:rPr>
              <w:t xml:space="preserve">移</w:t>
            </w:r>
          </w:p>
        </w:tc>
        <w:tc>
          <w:tcPr/>
          <w:p>
            <w:pPr>
              <w:pStyle w:val="Compact"/>
              <w:jc w:val="left"/>
            </w:pPr>
            <w:r>
              <w:rPr>
                <w:rFonts w:hint="eastAsia"/>
              </w:rPr>
              <w:t xml:space="preserve">動またはスケジュールの不一致</w:t>
            </w:r>
          </w:p>
        </w:tc>
      </w:tr>
      <w:tr>
        <w:tc>
          <w:tcPr/>
          <w:p>
            <w:pPr>
              <w:pStyle w:val="Compact"/>
            </w:pPr>
            <w:r>
              <w:rPr>
                <w:rFonts w:hint="eastAsia"/>
              </w:rPr>
              <w:t xml:space="preserve">60日後も稼働中</w:t>
            </w:r>
            <w:r>
              <w:t xml:space="preserve"> 690</w:t>
            </w:r>
          </w:p>
        </w:tc>
        <w:tc>
          <w:tcPr/>
          <w:p>
            <w:pPr>
              <w:pStyle w:val="Compact"/>
            </w:pPr>
            <w:r>
              <w:t xml:space="preserve">49%</w:t>
            </w:r>
          </w:p>
        </w:tc>
        <w:tc>
          <w:tcPr/>
          <w:p>
            <w:pPr>
              <w:pStyle w:val="Compact"/>
            </w:pPr>
            <w:r>
              <w:rPr>
                <w:rFonts w:hint="eastAsia"/>
              </w:rPr>
              <w:t xml:space="preserve">不安定な時</w:t>
            </w:r>
          </w:p>
        </w:tc>
        <w:tc>
          <w:tcPr/>
          <w:p>
            <w:pPr>
              <w:pStyle w:val="Compact"/>
              <w:jc w:val="left"/>
            </w:pPr>
            <w:r>
              <w:rPr>
                <w:rFonts w:hint="eastAsia"/>
              </w:rPr>
              <w:t xml:space="preserve">間帯、移動、顧客評価</w:t>
            </w:r>
          </w:p>
        </w:tc>
      </w:tr>
    </w:tbl>
    <w:p>
      <w:pPr>
        <w:pStyle w:val="BodyText"/>
      </w:pPr>
      <w:r>
        <w:rPr>
          <w:rFonts w:hint="eastAsia"/>
        </w:rPr>
        <w:t xml:space="preserve">オペレーション部門は、6時間のブロックを予約した清掃員に対し、需要が不十分であっても最低120ドルを保証する案を提案した。財務部門は、保証が受諾率と定着率を高める可能性があるものの、市場立ち上げ時に多大な待機時間コストを生み出す可能性があると見積もった。別の提案では、清掃員が自ら価格を設定できるようにするというものがあった。グロース担当マネジャーは、顧客がシンプルで一貫した見積もりを期待していると反対した。</w:t>
      </w:r>
    </w:p>
    <w:bookmarkEnd w:id="14"/>
    <w:bookmarkEnd w:id="15"/>
    <w:bookmarkStart w:id="16" w:name="雇用モデルと移民をめぐる不確実性"/>
    <w:p>
      <w:pPr>
        <w:pStyle w:val="Heading1"/>
      </w:pPr>
      <w:r>
        <w:rPr>
          <w:rFonts w:hint="eastAsia"/>
        </w:rPr>
        <w:t xml:space="preserve">雇用モデルと移民をめぐる不確実性</w:t>
      </w:r>
    </w:p>
    <w:p>
      <w:pPr>
        <w:pStyle w:val="FirstParagraph"/>
      </w:pPr>
      <w:r>
        <w:rPr>
          <w:rFonts w:hint="eastAsia"/>
        </w:rPr>
        <w:t xml:space="preserve">法務チームは、清掃員を従業員、独立契約者、あるいは州ごとに異なる混合形態のいずれとするかをBrightNestが決定する必要があると警告した。この答えは、スケジュール、研修、用品、保険、給与税、福利厚生、雇用資格確認に対する管理権に影響を与えた。清掃員が従業員である場合、連邦法は、市民権や出身国にかかわらず、すべての雇用についてフォームI-9の作成を会社に義務付けていた。州の規則は追加要件を課したり、契約者としての分類を難しくしたりする可能性があった。</w:t>
      </w:r>
    </w:p>
    <w:p>
      <w:pPr>
        <w:pStyle w:val="BodyText"/>
      </w:pPr>
      <w:r>
        <w:rPr>
          <w:rFonts w:hint="eastAsia"/>
        </w:rPr>
        <w:t xml:space="preserve">労働力の利用可能性はまた、移民政策にも左右されていた。2025年には、外国出身の労働者はサービス職に従事する割合が米国生まれの労働者よりも高く、21.2%対15.6%であった。BrightNestは、潜在的な清掃員の出身や在留資格に関する信頼できるデータを持っておらず、経営陣は、言語、外見、職業から就労資格を推測することはできないという点で一致していた。それでも、移民法執行の強化、認可プログラムの変化、そして取り締まりへの恐れは、一部の地域サービス労働市場において応募や移動を減少させる可能性があり、それは家族やコミュニティへの影響を懸念する、完全に就労資格を有する人々の間でも起こり得た。</w:t>
      </w:r>
    </w:p>
    <w:p>
      <w:pPr>
        <w:pStyle w:val="BodyText"/>
      </w:pPr>
      <w:r>
        <w:rPr>
          <w:rFonts w:hint="eastAsia"/>
        </w:rPr>
        <w:t xml:space="preserve">同社は関連する評判リスクにも直面していた。法的要件を超える過度な確認は、資格のある労働者を遠ざけ、差別訴訟を招く可能性があった。管理が甘ければ、罰則、顧客の懸念、業務の混乱にさらされる可能性があった。全国展開はこれらの問題を、異なる州の労働法や地域労働市場の状況にわたって増幅させることになる。</w:t>
      </w:r>
    </w:p>
    <w:bookmarkEnd w:id="16"/>
    <w:bookmarkStart w:id="18" w:name="用具製品サービス品質"/>
    <w:p>
      <w:pPr>
        <w:pStyle w:val="Heading1"/>
      </w:pPr>
      <w:r>
        <w:rPr>
          <w:rFonts w:hint="eastAsia"/>
        </w:rPr>
        <w:t xml:space="preserve">用具、製品、サービス品質</w:t>
      </w:r>
    </w:p>
    <w:p>
      <w:pPr>
        <w:pStyle w:val="FirstParagraph"/>
      </w:pPr>
      <w:r>
        <w:rPr>
          <w:rFonts w:hint="eastAsia"/>
        </w:rPr>
        <w:t xml:space="preserve">BrightNestは当初、清掃員に対して掃除機、モップ、基本的な道具、承認済みの清掃用品を自ら用意するよう求めていた。応募者は給与天引きで310ドルのスターターキットを購入するか、20件のジョブを完了した後に150ドルの機材クレジットを受け取ることができた。清掃員へのインタビューでは、この方針が3つの問題を生み出していることが示唆された。一部の応募者は、機材を購入するための現金や保管スペースを持っていなかった。他の者はすでに好みの製品を所有しており、標準化されたキットを購入することに不満を持っていた。顧客は時に、標準キットに含まれていない無香料、ペットに安全、または環境認証済みの製品を要求した。</w:t>
      </w:r>
    </w:p>
    <w:p>
      <w:pPr>
        <w:pStyle w:val="BodyText"/>
      </w:pPr>
      <w:r>
        <w:rPr>
          <w:rFonts w:hint="eastAsia"/>
        </w:rPr>
        <w:t xml:space="preserve">オペレーションチームは4つの用品供給モデルを検討した。すなわち、清掃員自身による機材提供、会社が資金提供するスターターキット、地域の用品ロッカー、そして各予約に配送される会社所有のキットである。それぞれが経済性、品質管理、従業員分類をめぐる議論を変化させた。会社所有の機材は一貫性を向上させたが、在庫、保守、清掃、盗難、ラストマイル物流というコストを追加した。</w:t>
      </w:r>
    </w:p>
    <w:bookmarkStart w:id="17" w:name="図表4清掃員報酬とユニットエコノミクス"/>
    <w:p>
      <w:pPr>
        <w:pStyle w:val="Heading2"/>
      </w:pPr>
      <w:r>
        <w:rPr>
          <w:rFonts w:hint="eastAsia"/>
        </w:rPr>
        <w:t xml:space="preserve">図表4．清掃員報酬とユニットエコノミクス</w:t>
      </w:r>
    </w:p>
    <w:tbl>
      <w:tblPr>
        <w:tblStyle w:val="Table"/>
        <w:tblW w:type="pct" w:w="4896"/>
        <w:tblLayout w:type="fixed"/>
        <w:tblLook w:firstRow="1" w:lastRow="0" w:firstColumn="0" w:lastColumn="0" w:noHBand="0" w:noVBand="0" w:val="0020"/>
      </w:tblPr>
      <w:tblGrid>
        <w:gridCol w:w="3300"/>
        <w:gridCol w:w="2227"/>
        <w:gridCol w:w="2227"/>
      </w:tblGrid>
      <w:tr>
        <w:trPr>
          <w:tblHeader w:val="on"/>
        </w:trPr>
        <w:tc>
          <w:tcPr/>
          <w:p>
            <w:pPr>
              <w:pStyle w:val="Compact"/>
              <w:jc w:val="left"/>
            </w:pPr>
            <w:r>
              <w:rPr>
                <w:rFonts w:hint="eastAsia"/>
              </w:rPr>
              <w:t xml:space="preserve">項目</w:t>
            </w:r>
          </w:p>
        </w:tc>
        <w:tc>
          <w:tcPr/>
          <w:p>
            <w:pPr>
              <w:pStyle w:val="Compact"/>
            </w:pPr>
            <w:r>
              <w:rPr>
                <w:rFonts w:hint="eastAsia"/>
              </w:rPr>
              <w:t xml:space="preserve">標準定期清掃</w:t>
            </w:r>
            <w:r>
              <w:t xml:space="preserve"> </w:t>
            </w:r>
            <w:r>
              <w:rPr>
                <w:rFonts w:hint="eastAsia"/>
              </w:rPr>
              <w:t xml:space="preserve">割引初回清掃</w:t>
            </w:r>
          </w:p>
        </w:tc>
        <w:tc>
          <w:tcPr/>
          <w:p>
            <w:pPr>
              <w:pStyle w:val="Compact"/>
            </w:pPr>
          </w:p>
        </w:tc>
      </w:tr>
      <w:tr>
        <w:tc>
          <w:tcPr/>
          <w:p>
            <w:pPr>
              <w:pStyle w:val="Compact"/>
              <w:jc w:val="left"/>
            </w:pPr>
            <w:r>
              <w:rPr>
                <w:rFonts w:hint="eastAsia"/>
              </w:rPr>
              <w:t xml:space="preserve">顧客価格</w:t>
            </w:r>
            <w:r>
              <w:t xml:space="preserve"> 142ドル</w:t>
            </w:r>
          </w:p>
        </w:tc>
        <w:tc>
          <w:tcPr/>
          <w:p>
            <w:pPr>
              <w:pStyle w:val="Compact"/>
            </w:pPr>
            <w:r>
              <w:t xml:space="preserve">107ド</w:t>
            </w:r>
          </w:p>
        </w:tc>
        <w:tc>
          <w:tcPr/>
          <w:p>
            <w:pPr>
              <w:pStyle w:val="Compact"/>
            </w:pPr>
            <w:r>
              <w:rPr>
                <w:rFonts w:hint="eastAsia"/>
              </w:rPr>
              <w:t xml:space="preserve">ル（25%割引）</w:t>
            </w:r>
          </w:p>
        </w:tc>
      </w:tr>
      <w:tr>
        <w:tc>
          <w:tcPr/>
          <w:p>
            <w:pPr>
              <w:pStyle w:val="Compact"/>
              <w:jc w:val="left"/>
            </w:pPr>
            <w:r>
              <w:rPr>
                <w:rFonts w:hint="eastAsia"/>
              </w:rPr>
              <w:t xml:space="preserve">清掃員実働時間</w:t>
            </w:r>
            <w:r>
              <w:t xml:space="preserve"> </w:t>
            </w:r>
            <w:r>
              <w:rPr>
                <w:rFonts w:hint="eastAsia"/>
              </w:rPr>
              <w:t xml:space="preserve">3.0時</w:t>
            </w:r>
          </w:p>
        </w:tc>
        <w:tc>
          <w:tcPr/>
          <w:p>
            <w:pPr>
              <w:pStyle w:val="Compact"/>
            </w:pPr>
            <w:r>
              <w:rPr>
                <w:rFonts w:hint="eastAsia"/>
              </w:rPr>
              <w:t xml:space="preserve">間</w:t>
            </w:r>
            <w:r>
              <w:t xml:space="preserve"> </w:t>
            </w:r>
            <w:r>
              <w:rPr>
                <w:rFonts w:hint="eastAsia"/>
              </w:rPr>
              <w:t xml:space="preserve">3.5時間</w:t>
            </w:r>
          </w:p>
        </w:tc>
        <w:tc>
          <w:tcPr/>
          <w:p>
            <w:pPr>
              <w:pStyle w:val="Compact"/>
            </w:pPr>
          </w:p>
        </w:tc>
      </w:tr>
      <w:tr>
        <w:tc>
          <w:tcPr/>
          <w:p>
            <w:pPr>
              <w:pStyle w:val="Compact"/>
              <w:jc w:val="left"/>
            </w:pPr>
            <w:r>
              <w:rPr>
                <w:rFonts w:hint="eastAsia"/>
              </w:rPr>
              <w:t xml:space="preserve">清掃員報酬</w:t>
            </w:r>
            <w:r>
              <w:t xml:space="preserve"> 7</w:t>
            </w:r>
          </w:p>
        </w:tc>
        <w:tc>
          <w:tcPr/>
          <w:p>
            <w:pPr>
              <w:pStyle w:val="Compact"/>
            </w:pPr>
            <w:r>
              <w:t xml:space="preserve">8ドル</w:t>
            </w:r>
          </w:p>
        </w:tc>
        <w:tc>
          <w:tcPr/>
          <w:p>
            <w:pPr>
              <w:pStyle w:val="Compact"/>
            </w:pPr>
            <w:r>
              <w:t xml:space="preserve">91ドル</w:t>
            </w:r>
          </w:p>
        </w:tc>
      </w:tr>
      <w:tr>
        <w:tc>
          <w:tcPr/>
          <w:p>
            <w:pPr>
              <w:pStyle w:val="Compact"/>
              <w:jc w:val="left"/>
            </w:pPr>
            <w:r>
              <w:rPr>
                <w:rFonts w:hint="eastAsia"/>
              </w:rPr>
              <w:t xml:space="preserve">給与/契約者手数料および保険</w:t>
            </w:r>
            <w:r>
              <w:t xml:space="preserve"> 14ドル</w:t>
            </w:r>
          </w:p>
        </w:tc>
        <w:tc>
          <w:tcPr/>
          <w:p>
            <w:pPr>
              <w:pStyle w:val="Compact"/>
            </w:pPr>
            <w:r>
              <w:t xml:space="preserve">17ドル</w:t>
            </w:r>
          </w:p>
        </w:tc>
        <w:tc>
          <w:tcPr/>
          <w:p>
            <w:pPr>
              <w:pStyle w:val="Compact"/>
            </w:pPr>
          </w:p>
        </w:tc>
      </w:tr>
      <w:tr>
        <w:tc>
          <w:tcPr/>
          <w:p>
            <w:pPr>
              <w:pStyle w:val="Compact"/>
              <w:jc w:val="left"/>
            </w:pPr>
            <w:r>
              <w:rPr>
                <w:rFonts w:hint="eastAsia"/>
              </w:rPr>
              <w:t xml:space="preserve">用品・機材手当</w:t>
            </w:r>
            <w:r>
              <w:t xml:space="preserve"> 9ドル</w:t>
            </w:r>
          </w:p>
        </w:tc>
        <w:tc>
          <w:tcPr/>
          <w:p>
            <w:pPr>
              <w:pStyle w:val="Compact"/>
            </w:pPr>
            <w:r>
              <w:t xml:space="preserve">12ドル</w:t>
            </w:r>
          </w:p>
        </w:tc>
        <w:tc>
          <w:tcPr/>
          <w:p>
            <w:pPr>
              <w:pStyle w:val="Compact"/>
            </w:pPr>
          </w:p>
        </w:tc>
      </w:tr>
      <w:tr>
        <w:tc>
          <w:tcPr/>
          <w:p>
            <w:pPr>
              <w:pStyle w:val="Compact"/>
              <w:jc w:val="left"/>
            </w:pPr>
            <w:r>
              <w:rPr>
                <w:rFonts w:hint="eastAsia"/>
              </w:rPr>
              <w:t xml:space="preserve">移動/マイレージ補助</w:t>
            </w:r>
            <w:r>
              <w:t xml:space="preserve"> 8ドル</w:t>
            </w:r>
          </w:p>
        </w:tc>
        <w:tc>
          <w:tcPr/>
          <w:p>
            <w:pPr>
              <w:pStyle w:val="Compact"/>
            </w:pPr>
            <w:r>
              <w:t xml:space="preserve">10ドル</w:t>
            </w:r>
          </w:p>
        </w:tc>
        <w:tc>
          <w:tcPr/>
          <w:p>
            <w:pPr>
              <w:pStyle w:val="Compact"/>
            </w:pPr>
          </w:p>
        </w:tc>
      </w:tr>
      <w:tr>
        <w:tc>
          <w:tcPr/>
          <w:p>
            <w:pPr>
              <w:pStyle w:val="Compact"/>
              <w:jc w:val="left"/>
            </w:pPr>
            <w:r>
              <w:rPr>
                <w:rFonts w:hint="eastAsia"/>
              </w:rPr>
              <w:t xml:space="preserve">割り当てられた顧客獲得コスト</w:t>
            </w:r>
            <w:r>
              <w:t xml:space="preserve"> 12ドル</w:t>
            </w:r>
          </w:p>
        </w:tc>
        <w:tc>
          <w:tcPr/>
          <w:p>
            <w:pPr>
              <w:pStyle w:val="Compact"/>
            </w:pPr>
            <w:r>
              <w:t xml:space="preserve">61ドル</w:t>
            </w:r>
          </w:p>
        </w:tc>
        <w:tc>
          <w:tcPr/>
          <w:p>
            <w:pPr>
              <w:pStyle w:val="Compact"/>
            </w:pPr>
          </w:p>
        </w:tc>
      </w:tr>
      <w:tr>
        <w:tc>
          <w:tcPr/>
          <w:p>
            <w:pPr>
              <w:pStyle w:val="Compact"/>
              <w:jc w:val="left"/>
            </w:pPr>
            <w:r>
              <w:rPr>
                <w:rFonts w:hint="eastAsia"/>
              </w:rPr>
              <w:t xml:space="preserve">サポート、返金、決済処理</w:t>
            </w:r>
            <w:r>
              <w:t xml:space="preserve"> 10ドル</w:t>
            </w:r>
          </w:p>
        </w:tc>
        <w:tc>
          <w:tcPr/>
          <w:p>
            <w:pPr>
              <w:pStyle w:val="Compact"/>
            </w:pPr>
            <w:r>
              <w:t xml:space="preserve">13ドル</w:t>
            </w:r>
          </w:p>
        </w:tc>
        <w:tc>
          <w:tcPr/>
          <w:p>
            <w:pPr>
              <w:pStyle w:val="Compact"/>
            </w:pPr>
          </w:p>
        </w:tc>
      </w:tr>
      <w:tr>
        <w:tc>
          <w:tcPr/>
          <w:p>
            <w:pPr>
              <w:pStyle w:val="Compact"/>
              <w:jc w:val="left"/>
            </w:pPr>
            <w:r>
              <w:rPr>
                <w:rFonts w:hint="eastAsia"/>
              </w:rPr>
              <w:t xml:space="preserve">オーバーヘッド前の貢献利益</w:t>
            </w:r>
            <w:r>
              <w:t xml:space="preserve"> 11</w:t>
            </w:r>
          </w:p>
        </w:tc>
        <w:tc>
          <w:tcPr/>
          <w:p>
            <w:pPr>
              <w:pStyle w:val="Compact"/>
            </w:pPr>
            <w:r>
              <w:t xml:space="preserve">ドル -</w:t>
            </w:r>
          </w:p>
        </w:tc>
        <w:tc>
          <w:tcPr/>
          <w:p>
            <w:pPr>
              <w:pStyle w:val="Compact"/>
            </w:pPr>
            <w:r>
              <w:t xml:space="preserve">97ドル</w:t>
            </w:r>
          </w:p>
        </w:tc>
      </w:tr>
    </w:tbl>
    <w:p>
      <w:pPr>
        <w:pStyle w:val="BodyText"/>
      </w:pPr>
      <w:r>
        <w:rPr>
          <w:rFonts w:hint="eastAsia"/>
        </w:rPr>
        <w:t xml:space="preserve">この図表は平均値を反映している。別の予約に近いコンパクトなアパートは健全な利益率を生み出す可能性がある一方、車で35分かかる郊外の大きな住宅は、たとえ正規料金であっても損失を生む可能性がある。BrightNestの即時価格設定モデルは、寝室数、浴室数、床面積、ペットの有無、依頼されたタスクを使用していたが、散らかり具合、駐車、アクセスの遅延、住宅の状態についてはまだ十分に考慮していなかった。</w:t>
      </w:r>
    </w:p>
    <w:bookmarkEnd w:id="17"/>
    <w:bookmarkEnd w:id="18"/>
    <w:bookmarkStart w:id="20" w:name="地理的立ち上げの決定"/>
    <w:p>
      <w:pPr>
        <w:pStyle w:val="Heading1"/>
      </w:pPr>
      <w:r>
        <w:rPr>
          <w:rFonts w:hint="eastAsia"/>
        </w:rPr>
        <w:t xml:space="preserve">地理的立ち上げの決定</w:t>
      </w:r>
    </w:p>
    <w:p>
      <w:pPr>
        <w:pStyle w:val="FirstParagraph"/>
      </w:pPr>
      <w:r>
        <w:rPr>
          <w:rFonts w:hint="eastAsia"/>
        </w:rPr>
        <w:t xml:space="preserve">全国展開はスピード、ブランド認知、そして大規模な採用ファネルを提供した。それはまた、「薄い市場」のリスクも生み出した。顧客と清掃員が同じ都市に存在していても、同じ近隣地域や互換性のある時間帯には存在しない可能性があった。火曜日の朝に北部郊外で働くことを望む清掃員は、ダウンタウンでの土曜日の需要急増を解決しない。</w:t>
      </w:r>
    </w:p>
    <w:p>
      <w:pPr>
        <w:pStyle w:val="BodyText"/>
      </w:pPr>
      <w:r>
        <w:rPr>
          <w:rFonts w:hint="eastAsia"/>
        </w:rPr>
        <w:t xml:space="preserve">地域限定の立ち上げは、広告、地域監督、紹介、清掃員密度を集中させることができた。しかし、富裕な大都市圏のみを選ぶことは、高い賃金、混雑、顧客獲得コストとともに高い顧客価格を生み出す可能性があった。低コストの地域は採用が容易になる可能性がある一方、支払い意欲は低くなる可能性があった。移民法執行の強度や地域の態度もまた、応募者の信頼感や顧客の認識に、定量化が困難な形で影響を与える可能性があった。</w:t>
      </w:r>
    </w:p>
    <w:bookmarkStart w:id="19" w:name="図表5候補となる立ち上げ市場のプロファイル"/>
    <w:p>
      <w:pPr>
        <w:pStyle w:val="Heading2"/>
      </w:pPr>
      <w:r>
        <w:rPr>
          <w:rFonts w:hint="eastAsia"/>
        </w:rPr>
        <w:t xml:space="preserve">図表5．候補となる立ち上げ市場のプロファイル</w:t>
      </w:r>
    </w:p>
    <w:tbl>
      <w:tblPr>
        <w:tblStyle w:val="Table"/>
        <w:tblW w:type="pct" w:w="4939"/>
        <w:tblLayout w:type="fixed"/>
        <w:tblLook w:firstRow="1" w:lastRow="0" w:firstColumn="0" w:lastColumn="0" w:noHBand="0" w:noVBand="0" w:val="0020"/>
      </w:tblPr>
      <w:tblGrid>
        <w:gridCol w:w="1207"/>
        <w:gridCol w:w="1448"/>
        <w:gridCol w:w="1014"/>
        <w:gridCol w:w="1207"/>
        <w:gridCol w:w="1110"/>
        <w:gridCol w:w="1835"/>
      </w:tblGrid>
      <w:tr>
        <w:trPr>
          <w:tblHeader w:val="on"/>
        </w:trPr>
        <w:tc>
          <w:tcPr/>
          <w:p>
            <w:pPr>
              <w:pStyle w:val="Compact"/>
            </w:pPr>
            <w:r>
              <w:rPr>
                <w:rFonts w:hint="eastAsia"/>
              </w:rPr>
              <w:t xml:space="preserve">市場タイプ</w:t>
            </w:r>
            <w:r>
              <w:t xml:space="preserve"> </w:t>
            </w:r>
            <w:r>
              <w:rPr>
                <w:rFonts w:hint="eastAsia"/>
              </w:rPr>
              <w:t xml:space="preserve">例</w:t>
            </w:r>
          </w:p>
        </w:tc>
        <w:tc>
          <w:tcPr/>
          <w:p>
            <w:pPr>
              <w:pStyle w:val="Compact"/>
            </w:pPr>
            <w:r>
              <w:rPr>
                <w:rFonts w:hint="eastAsia"/>
              </w:rPr>
              <w:t xml:space="preserve">示的な顧客価格</w:t>
            </w:r>
            <w:r>
              <w:t xml:space="preserve"> </w:t>
            </w:r>
            <w:r>
              <w:rPr>
                <w:rFonts w:hint="eastAsia"/>
              </w:rPr>
              <w:t xml:space="preserve">目標清掃員報酬</w:t>
            </w:r>
          </w:p>
        </w:tc>
        <w:tc>
          <w:tcPr/>
          <w:p>
            <w:pPr>
              <w:pStyle w:val="Compact"/>
              <w:jc w:val="right"/>
            </w:pPr>
            <w:r>
              <w:rPr>
                <w:rFonts w:hint="eastAsia"/>
              </w:rPr>
              <w:t xml:space="preserve">初回予約獲得コスト</w:t>
            </w:r>
          </w:p>
        </w:tc>
        <w:tc>
          <w:tcPr/>
          <w:p>
            <w:pPr>
              <w:pStyle w:val="Compact"/>
            </w:pPr>
            <w:r>
              <w:rPr>
                <w:rFonts w:hint="eastAsia"/>
              </w:rPr>
              <w:t xml:space="preserve">（推定）</w:t>
            </w:r>
            <w:r>
              <w:t xml:space="preserve"> </w:t>
            </w:r>
            <w:r>
              <w:rPr>
                <w:rFonts w:hint="eastAsia"/>
              </w:rPr>
              <w:t xml:space="preserve">清掃員密度リス</w:t>
            </w:r>
          </w:p>
        </w:tc>
        <w:tc>
          <w:tcPr/>
          <w:p>
            <w:pPr>
              <w:pStyle w:val="Compact"/>
              <w:jc w:val="left"/>
            </w:pPr>
            <w:r>
              <w:t xml:space="preserve">ク </w:t>
            </w:r>
            <w:r>
              <w:rPr>
                <w:rFonts w:hint="eastAsia"/>
              </w:rPr>
              <w:t xml:space="preserve">その他の懸念</w:t>
            </w:r>
          </w:p>
        </w:tc>
        <w:tc>
          <w:tcPr/>
          <w:p>
            <w:pPr>
              <w:pStyle w:val="Compact"/>
            </w:pPr>
          </w:p>
        </w:tc>
      </w:tr>
      <w:tr>
        <w:tc>
          <w:tcPr/>
          <w:p>
            <w:pPr>
              <w:pStyle w:val="Compact"/>
            </w:pPr>
            <w:r>
              <w:rPr>
                <w:rFonts w:hint="eastAsia"/>
              </w:rPr>
              <w:t xml:space="preserve">高所得沿岸部</w:t>
            </w:r>
          </w:p>
        </w:tc>
        <w:tc>
          <w:tcPr/>
          <w:p>
            <w:pPr>
              <w:pStyle w:val="Compact"/>
            </w:pPr>
            <w:r>
              <w:t xml:space="preserve">175ドル</w:t>
            </w:r>
          </w:p>
        </w:tc>
        <w:tc>
          <w:tcPr/>
          <w:p>
            <w:pPr>
              <w:pStyle w:val="Compact"/>
              <w:jc w:val="right"/>
            </w:pPr>
            <w:r>
              <w:rPr>
                <w:rFonts w:hint="eastAsia"/>
              </w:rPr>
              <w:t xml:space="preserve">31ドル/時間</w:t>
            </w:r>
          </w:p>
        </w:tc>
        <w:tc>
          <w:tcPr/>
          <w:p>
            <w:pPr>
              <w:pStyle w:val="Compact"/>
            </w:pPr>
            <w:r>
              <w:t xml:space="preserve">78ドル</w:t>
            </w:r>
          </w:p>
        </w:tc>
        <w:tc>
          <w:tcPr/>
          <w:p>
            <w:pPr>
              <w:pStyle w:val="Compact"/>
              <w:jc w:val="left"/>
            </w:pPr>
            <w:r>
              <w:rPr>
                <w:rFonts w:hint="eastAsia"/>
              </w:rPr>
              <w:t xml:space="preserve">中</w:t>
            </w:r>
          </w:p>
        </w:tc>
        <w:tc>
          <w:tcPr/>
          <w:p>
            <w:pPr>
              <w:pStyle w:val="Compact"/>
            </w:pPr>
            <w:r>
              <w:rPr>
                <w:rFonts w:hint="eastAsia"/>
              </w:rPr>
              <w:t xml:space="preserve">高い移動費と賃金コスト</w:t>
            </w:r>
          </w:p>
        </w:tc>
      </w:tr>
      <w:tr>
        <w:tc>
          <w:tcPr/>
          <w:p>
            <w:pPr>
              <w:pStyle w:val="Compact"/>
            </w:pPr>
            <w:r>
              <w:rPr>
                <w:rFonts w:hint="eastAsia"/>
              </w:rPr>
              <w:t xml:space="preserve">急成長中のサンベルト地域</w:t>
            </w:r>
          </w:p>
        </w:tc>
        <w:tc>
          <w:tcPr/>
          <w:p>
            <w:pPr>
              <w:pStyle w:val="Compact"/>
            </w:pPr>
            <w:r>
              <w:t xml:space="preserve">145ドル</w:t>
            </w:r>
          </w:p>
        </w:tc>
        <w:tc>
          <w:tcPr/>
          <w:p>
            <w:pPr>
              <w:pStyle w:val="Compact"/>
              <w:jc w:val="right"/>
            </w:pPr>
            <w:r>
              <w:rPr>
                <w:rFonts w:hint="eastAsia"/>
              </w:rPr>
              <w:t xml:space="preserve">25ドル/時間</w:t>
            </w:r>
          </w:p>
        </w:tc>
        <w:tc>
          <w:tcPr/>
          <w:p>
            <w:pPr>
              <w:pStyle w:val="Compact"/>
            </w:pPr>
            <w:r>
              <w:t xml:space="preserve">54ドル</w:t>
            </w:r>
          </w:p>
        </w:tc>
        <w:tc>
          <w:tcPr/>
          <w:p>
            <w:pPr>
              <w:pStyle w:val="Compact"/>
              <w:jc w:val="left"/>
            </w:pPr>
            <w:r>
              <w:rPr>
                <w:rFonts w:hint="eastAsia"/>
              </w:rPr>
              <w:t xml:space="preserve">低〜中</w:t>
            </w:r>
          </w:p>
        </w:tc>
        <w:tc>
          <w:tcPr/>
          <w:p>
            <w:pPr>
              <w:pStyle w:val="Compact"/>
            </w:pPr>
            <w:r>
              <w:rPr>
                <w:rFonts w:hint="eastAsia"/>
              </w:rPr>
              <w:t xml:space="preserve">スプロールと自動車依存</w:t>
            </w:r>
          </w:p>
        </w:tc>
      </w:tr>
      <w:tr>
        <w:tc>
          <w:tcPr/>
          <w:p>
            <w:pPr>
              <w:pStyle w:val="Compact"/>
            </w:pPr>
            <w:r>
              <w:rPr>
                <w:rFonts w:hint="eastAsia"/>
              </w:rPr>
              <w:t xml:space="preserve">中西部の大都市圏</w:t>
            </w:r>
          </w:p>
        </w:tc>
        <w:tc>
          <w:tcPr/>
          <w:p>
            <w:pPr>
              <w:pStyle w:val="Compact"/>
            </w:pPr>
            <w:r>
              <w:t xml:space="preserve">132ドル</w:t>
            </w:r>
          </w:p>
        </w:tc>
        <w:tc>
          <w:tcPr/>
          <w:p>
            <w:pPr>
              <w:pStyle w:val="Compact"/>
              <w:jc w:val="right"/>
            </w:pPr>
            <w:r>
              <w:rPr>
                <w:rFonts w:hint="eastAsia"/>
              </w:rPr>
              <w:t xml:space="preserve">23ドル/時間</w:t>
            </w:r>
          </w:p>
        </w:tc>
        <w:tc>
          <w:tcPr/>
          <w:p>
            <w:pPr>
              <w:pStyle w:val="Compact"/>
            </w:pPr>
            <w:r>
              <w:t xml:space="preserve">49ドル</w:t>
            </w:r>
          </w:p>
        </w:tc>
        <w:tc>
          <w:tcPr/>
          <w:p>
            <w:pPr>
              <w:pStyle w:val="Compact"/>
              <w:jc w:val="left"/>
            </w:pPr>
            <w:r>
              <w:rPr>
                <w:rFonts w:hint="eastAsia"/>
              </w:rPr>
              <w:t xml:space="preserve">低</w:t>
            </w:r>
          </w:p>
        </w:tc>
        <w:tc>
          <w:tcPr/>
          <w:p>
            <w:pPr>
              <w:pStyle w:val="Compact"/>
            </w:pPr>
            <w:r>
              <w:rPr>
                <w:rFonts w:hint="eastAsia"/>
              </w:rPr>
              <w:t xml:space="preserve">定期サービスの浸透率が低い</w:t>
            </w:r>
          </w:p>
        </w:tc>
      </w:tr>
      <w:tr>
        <w:tc>
          <w:tcPr/>
          <w:p>
            <w:pPr>
              <w:pStyle w:val="Compact"/>
            </w:pPr>
            <w:r>
              <w:rPr>
                <w:rFonts w:hint="eastAsia"/>
              </w:rPr>
              <w:t xml:space="preserve">大学町/二次都市</w:t>
            </w:r>
            <w:r>
              <w:t xml:space="preserve"> 118ドル</w:t>
            </w:r>
          </w:p>
        </w:tc>
        <w:tc>
          <w:tcPr/>
          <w:p>
            <w:pPr>
              <w:pStyle w:val="Compact"/>
            </w:pPr>
            <w:r>
              <w:t xml:space="preserve">21ドル</w:t>
            </w:r>
          </w:p>
        </w:tc>
        <w:tc>
          <w:tcPr/>
          <w:p>
            <w:pPr>
              <w:pStyle w:val="Compact"/>
              <w:jc w:val="right"/>
            </w:pPr>
            <w:r>
              <w:rPr>
                <w:rFonts w:hint="eastAsia"/>
              </w:rPr>
              <w:t xml:space="preserve">/時間</w:t>
            </w:r>
            <w:r>
              <w:t xml:space="preserve"> 42</w:t>
            </w:r>
          </w:p>
        </w:tc>
        <w:tc>
          <w:tcPr/>
          <w:p>
            <w:pPr>
              <w:pStyle w:val="Compact"/>
            </w:pPr>
            <w:r>
              <w:t xml:space="preserve">ドル </w:t>
            </w:r>
            <w:r>
              <w:rPr>
                <w:rFonts w:hint="eastAsia"/>
              </w:rPr>
              <w:t xml:space="preserve">高</w:t>
            </w:r>
          </w:p>
        </w:tc>
        <w:tc>
          <w:tcPr/>
          <w:p>
            <w:pPr>
              <w:pStyle w:val="Compact"/>
              <w:jc w:val="left"/>
            </w:pPr>
            <w:r>
              <w:rPr>
                <w:rFonts w:hint="eastAsia"/>
              </w:rPr>
              <w:t xml:space="preserve">季</w:t>
            </w:r>
          </w:p>
        </w:tc>
        <w:tc>
          <w:tcPr/>
          <w:p>
            <w:pPr>
              <w:pStyle w:val="Compact"/>
            </w:pPr>
            <w:r>
              <w:rPr>
                <w:rFonts w:hint="eastAsia"/>
              </w:rPr>
              <w:t xml:space="preserve">節労働者と顧客の入れ替わり</w:t>
            </w:r>
          </w:p>
        </w:tc>
      </w:tr>
      <w:tr>
        <w:tc>
          <w:tcPr/>
          <w:p>
            <w:pPr>
              <w:pStyle w:val="Compact"/>
            </w:pPr>
            <w:r>
              <w:rPr>
                <w:rFonts w:hint="eastAsia"/>
              </w:rPr>
              <w:t xml:space="preserve">全国セルフサービス型</w:t>
            </w:r>
          </w:p>
        </w:tc>
        <w:tc>
          <w:tcPr/>
          <w:p>
            <w:pPr>
              <w:pStyle w:val="Compact"/>
            </w:pPr>
            <w:r>
              <w:rPr>
                <w:rFonts w:hint="eastAsia"/>
              </w:rPr>
              <w:t xml:space="preserve">平均135ドル</w:t>
            </w:r>
          </w:p>
        </w:tc>
        <w:tc>
          <w:tcPr/>
          <w:p>
            <w:pPr>
              <w:pStyle w:val="Compact"/>
              <w:jc w:val="right"/>
            </w:pPr>
            <w:r>
              <w:rPr>
                <w:rFonts w:hint="eastAsia"/>
              </w:rPr>
              <w:t xml:space="preserve">24〜31ドル/時間</w:t>
            </w:r>
          </w:p>
        </w:tc>
        <w:tc>
          <w:tcPr/>
          <w:p>
            <w:pPr>
              <w:pStyle w:val="Compact"/>
            </w:pPr>
            <w:r>
              <w:rPr>
                <w:rFonts w:hint="eastAsia"/>
              </w:rPr>
              <w:t xml:space="preserve">平均60ドル</w:t>
            </w:r>
          </w:p>
        </w:tc>
        <w:tc>
          <w:tcPr/>
          <w:p>
            <w:pPr>
              <w:pStyle w:val="Compact"/>
              <w:jc w:val="left"/>
            </w:pPr>
            <w:r>
              <w:rPr>
                <w:rFonts w:hint="eastAsia"/>
              </w:rPr>
              <w:t xml:space="preserve">非常に高い</w:t>
            </w:r>
          </w:p>
        </w:tc>
        <w:tc>
          <w:tcPr/>
          <w:p>
            <w:pPr>
              <w:pStyle w:val="Compact"/>
            </w:pPr>
            <w:r>
              <w:rPr>
                <w:rFonts w:hint="eastAsia"/>
              </w:rPr>
              <w:t xml:space="preserve">品質とコンプライアンスのばらつき</w:t>
            </w:r>
          </w:p>
        </w:tc>
      </w:tr>
    </w:tbl>
    <w:bookmarkEnd w:id="19"/>
    <w:bookmarkEnd w:id="20"/>
    <w:bookmarkStart w:id="24" w:name="つの立ち上げ提案"/>
    <w:p>
      <w:pPr>
        <w:pStyle w:val="Heading1"/>
      </w:pPr>
      <w:r>
        <w:rPr>
          <w:rFonts w:hint="eastAsia"/>
        </w:rPr>
        <w:t xml:space="preserve">3つの立ち上げ提案</w:t>
      </w:r>
    </w:p>
    <w:p>
      <w:pPr>
        <w:pStyle w:val="FirstParagraph"/>
      </w:pPr>
      <w:r>
        <w:rPr>
          <w:rFonts w:hint="eastAsia"/>
        </w:rPr>
        <w:t xml:space="preserve">パイロット期間の終わりまでに、経営陣は3つの提案を策定した。</w:t>
      </w:r>
    </w:p>
    <w:bookmarkStart w:id="21" w:name="提案a---5都市密度戦略"/>
    <w:p>
      <w:pPr>
        <w:pStyle w:val="Heading2"/>
      </w:pPr>
      <w:r>
        <w:rPr>
          <w:rFonts w:hint="eastAsia"/>
        </w:rPr>
        <w:t xml:space="preserve">提案A</w:t>
      </w:r>
      <w:r>
        <w:t xml:space="preserve"> - </w:t>
      </w:r>
      <w:r>
        <w:rPr>
          <w:rFonts w:hint="eastAsia"/>
        </w:rPr>
        <w:t xml:space="preserve">5都市密度戦略</w:t>
      </w:r>
    </w:p>
    <w:p>
      <w:pPr>
        <w:pStyle w:val="FirstParagraph"/>
      </w:pPr>
      <w:r>
        <w:rPr>
          <w:rFonts w:hint="eastAsia"/>
        </w:rPr>
        <w:t xml:space="preserve">BrightNestは、主要な顧客広告を開始する前に少なくとも150人のスクリーニング済み清掃員を採用できる場所にのみ立ち上げる。地域パートナーシップを構築し、スターターキットを提供し、限定的な作業ブロックを保証し、紹介を重視する。この計画は18か月で約1,100万ドルを要し、2万2,000人の定期顧客を目標とする。支持者は、密度とサービス品質が成長の前提条件であると主張した。批判者は、競合他社が先に他の市場を占有する可能性を懸念した。</w:t>
      </w:r>
    </w:p>
    <w:bookmarkEnd w:id="21"/>
    <w:bookmarkStart w:id="22" w:name="提案b---25都市マーケットプレイス戦略"/>
    <w:p>
      <w:pPr>
        <w:pStyle w:val="Heading2"/>
      </w:pPr>
      <w:r>
        <w:rPr>
          <w:rFonts w:hint="eastAsia"/>
        </w:rPr>
        <w:t xml:space="preserve">提案B</w:t>
      </w:r>
      <w:r>
        <w:t xml:space="preserve"> - </w:t>
      </w:r>
      <w:r>
        <w:rPr>
          <w:rFonts w:hint="eastAsia"/>
        </w:rPr>
        <w:t xml:space="preserve">25都市マーケットプレイス戦略</w:t>
      </w:r>
    </w:p>
    <w:p>
      <w:pPr>
        <w:pStyle w:val="FirstParagraph"/>
      </w:pPr>
      <w:r>
        <w:rPr>
          <w:rFonts w:hint="eastAsia"/>
        </w:rPr>
        <w:t xml:space="preserve">同社はWorkReachを全国で利用しつつ、25都市で顧客向けマーケティングを開始する。清掃員報酬、顧客価格、割引、サービス地域は市場ごとに調整される。BrightNestは1,600万ドルを投じ、4万8,000人の定期顧客を目標とする。このアプローチはより多くの学びを生み出すが、まだ実証されていない高度な地域価格設定、コンプライアンス、需給管理を必要とした。</w:t>
      </w:r>
    </w:p>
    <w:bookmarkEnd w:id="22"/>
    <w:bookmarkStart w:id="23" w:name="提案c---全国展開戦略"/>
    <w:p>
      <w:pPr>
        <w:pStyle w:val="Heading2"/>
      </w:pPr>
      <w:r>
        <w:rPr>
          <w:rFonts w:hint="eastAsia"/>
        </w:rPr>
        <w:t xml:space="preserve">提案C</w:t>
      </w:r>
      <w:r>
        <w:t xml:space="preserve"> - </w:t>
      </w:r>
      <w:r>
        <w:rPr>
          <w:rFonts w:hint="eastAsia"/>
        </w:rPr>
        <w:t xml:space="preserve">全国展開戦略</w:t>
      </w:r>
    </w:p>
    <w:p>
      <w:pPr>
        <w:pStyle w:val="FirstParagraph"/>
      </w:pPr>
      <w:r>
        <w:rPr>
          <w:rFonts w:hint="eastAsia"/>
        </w:rPr>
        <w:t xml:space="preserve">米国本土のどこにいる顧客もサービスを依頼できる。BrightNestは、利用可能な清掃員とマッチングできた後にのみ予約を確定する。清掃員の採用は全国規模で行われ、稼働時間の保証や機材支援は限定的である。この計画は比較的低い固定コストで急速にデータを生み出す可能性があるが、長い確定待ち時間、供給の希薄さ、サービスの不安定さが、会社がどの市場で成功するかを学ぶ前にブランドを損なう可能性があった。</w:t>
      </w:r>
    </w:p>
    <w:bookmarkEnd w:id="23"/>
    <w:bookmarkEnd w:id="24"/>
    <w:bookmarkStart w:id="26" w:name="パイロットが答えなかったこと"/>
    <w:p>
      <w:pPr>
        <w:pStyle w:val="Heading1"/>
      </w:pPr>
      <w:r>
        <w:rPr>
          <w:rFonts w:hint="eastAsia"/>
        </w:rPr>
        <w:t xml:space="preserve">パイロットが答えなかったこと</w:t>
      </w:r>
    </w:p>
    <w:p>
      <w:pPr>
        <w:pStyle w:val="FirstParagraph"/>
      </w:pPr>
      <w:r>
        <w:rPr>
          <w:rFonts w:hint="eastAsia"/>
        </w:rPr>
        <w:t xml:space="preserve">パイロットはデータを生み出したが、合意は生み出さなかった。清掃員への高い報酬は求人受諾率を高めたが、それは予約が地理的に密集している場合に限られた。割引は予約を増やしたが、最も安価な顧客は再注文する可能性も最も低かった。顧客は同じ清掃員を希望する一方、スケジューリングシステムは近くにいる清掃員を割り当てることで稼働率を高めていた。清掃員の柔軟性は採用を改善したが、無制限のスケジュール選択は顧客に特定の時間を約束することを難しくした。</w:t>
      </w:r>
    </w:p>
    <w:p>
      <w:pPr>
        <w:pStyle w:val="BodyText"/>
      </w:pPr>
      <w:r>
        <w:rPr>
          <w:rFonts w:hint="eastAsia"/>
        </w:rPr>
        <w:t xml:space="preserve">経営陣もまた、成功の定義を共有していなかった。グロース部門は予約数と市場参入を重視した。オペレーション部門は完了率と顧客評価を重視した。清掃員ネットワークチームは時給収入、定着率、スケジュール選択の自由を重視した。財務部門は獲得コスト差し引き後の貢献利益率を重視した。ある都市は、ある指標では成功しているように見えても、別の指標では失敗しているように見える可能性があった。</w:t>
      </w:r>
    </w:p>
    <w:bookmarkStart w:id="25" w:name="図表618か月後の立ち上げ結果予測"/>
    <w:p>
      <w:pPr>
        <w:pStyle w:val="Heading2"/>
      </w:pPr>
      <w:r>
        <w:rPr>
          <w:rFonts w:hint="eastAsia"/>
        </w:rPr>
        <w:t xml:space="preserve">図表6．18か月後の立ち上げ結果予測</w:t>
      </w:r>
    </w:p>
    <w:tbl>
      <w:tblPr>
        <w:tblStyle w:val="Table"/>
        <w:tblW w:type="pct" w:w="4914"/>
        <w:tblLayout w:type="fixed"/>
        <w:tblLook w:firstRow="1" w:lastRow="0" w:firstColumn="0" w:lastColumn="0" w:noHBand="0" w:noVBand="0" w:val="0020"/>
      </w:tblPr>
      <w:tblGrid>
        <w:gridCol w:w="3277"/>
        <w:gridCol w:w="1365"/>
        <w:gridCol w:w="1502"/>
        <w:gridCol w:w="1638"/>
      </w:tblGrid>
      <w:tr>
        <w:trPr>
          <w:tblHeader w:val="on"/>
        </w:trPr>
        <w:tc>
          <w:tcPr/>
          <w:p>
            <w:pPr>
              <w:pStyle w:val="Compact"/>
            </w:pPr>
            <w:r>
              <w:rPr>
                <w:rFonts w:hint="eastAsia"/>
              </w:rPr>
              <w:t xml:space="preserve">指標</w:t>
            </w:r>
            <w:r>
              <w:t xml:space="preserve"> </w:t>
            </w:r>
            <w:r>
              <w:rPr>
                <w:rFonts w:hint="eastAsia"/>
              </w:rPr>
              <w:t xml:space="preserve">5都</w:t>
            </w:r>
          </w:p>
        </w:tc>
        <w:tc>
          <w:tcPr/>
          <w:p>
            <w:pPr>
              <w:pStyle w:val="Compact"/>
            </w:pPr>
            <w:r>
              <w:rPr>
                <w:rFonts w:hint="eastAsia"/>
              </w:rPr>
              <w:t xml:space="preserve">市密度戦略</w:t>
            </w:r>
            <w:r>
              <w:t xml:space="preserve"> </w:t>
            </w:r>
            <w:r>
              <w:rPr>
                <w:rFonts w:hint="eastAsia"/>
              </w:rPr>
              <w:t xml:space="preserve">25都市マ</w:t>
            </w:r>
          </w:p>
        </w:tc>
        <w:tc>
          <w:tcPr/>
          <w:p>
            <w:pPr>
              <w:pStyle w:val="Compact"/>
              <w:jc w:val="left"/>
            </w:pPr>
            <w:r>
              <w:rPr>
                <w:rFonts w:hint="eastAsia"/>
              </w:rPr>
              <w:t xml:space="preserve">ーケットプレイス戦略</w:t>
            </w:r>
          </w:p>
        </w:tc>
        <w:tc>
          <w:tcPr/>
          <w:p>
            <w:pPr>
              <w:pStyle w:val="Compact"/>
              <w:jc w:val="center"/>
            </w:pPr>
            <w:r>
              <w:rPr>
                <w:rFonts w:hint="eastAsia"/>
              </w:rPr>
              <w:t xml:space="preserve">全国展開戦略</w:t>
            </w:r>
          </w:p>
        </w:tc>
      </w:tr>
      <w:tr>
        <w:tc>
          <w:tcPr/>
          <w:p>
            <w:pPr>
              <w:pStyle w:val="Compact"/>
            </w:pPr>
            <w:r>
              <w:rPr>
                <w:rFonts w:hint="eastAsia"/>
              </w:rPr>
              <w:t xml:space="preserve">必要投資額</w:t>
            </w:r>
            <w:r>
              <w:t xml:space="preserve"> </w:t>
            </w:r>
            <w:r>
              <w:rPr>
                <w:rFonts w:hint="eastAsia"/>
              </w:rPr>
              <w:t xml:space="preserve">1,100万ド</w:t>
            </w:r>
          </w:p>
        </w:tc>
        <w:tc>
          <w:tcPr/>
          <w:p>
            <w:pPr>
              <w:pStyle w:val="Compact"/>
            </w:pPr>
            <w:r>
              <w:t xml:space="preserve">ル </w:t>
            </w:r>
            <w:r>
              <w:rPr>
                <w:rFonts w:hint="eastAsia"/>
              </w:rPr>
              <w:t xml:space="preserve">1,600万ドル</w:t>
            </w:r>
          </w:p>
        </w:tc>
        <w:tc>
          <w:tcPr/>
          <w:p>
            <w:pPr>
              <w:pStyle w:val="Compact"/>
              <w:jc w:val="left"/>
            </w:pPr>
            <w:r>
              <w:rPr>
                <w:rFonts w:hint="eastAsia"/>
              </w:rPr>
              <w:t xml:space="preserve">1,300万ドル</w:t>
            </w:r>
          </w:p>
        </w:tc>
        <w:tc>
          <w:tcPr/>
          <w:p>
            <w:pPr>
              <w:pStyle w:val="Compact"/>
            </w:pPr>
          </w:p>
        </w:tc>
      </w:tr>
      <w:tr>
        <w:tc>
          <w:tcPr/>
          <w:p>
            <w:pPr>
              <w:pStyle w:val="Compact"/>
            </w:pPr>
            <w:r>
              <w:rPr>
                <w:rFonts w:hint="eastAsia"/>
              </w:rPr>
              <w:t xml:space="preserve">18か月目の定期顧客数</w:t>
            </w:r>
            <w:r>
              <w:t xml:space="preserve"> 22,000</w:t>
            </w:r>
          </w:p>
        </w:tc>
        <w:tc>
          <w:tcPr/>
          <w:p>
            <w:pPr>
              <w:pStyle w:val="Compact"/>
            </w:pPr>
            <w:r>
              <w:t xml:space="preserve">48,000</w:t>
            </w:r>
          </w:p>
        </w:tc>
        <w:tc>
          <w:tcPr/>
          <w:p>
            <w:pPr>
              <w:pStyle w:val="Compact"/>
              <w:jc w:val="left"/>
            </w:pPr>
            <w:r>
              <w:t xml:space="preserve">55,000</w:t>
            </w:r>
          </w:p>
        </w:tc>
        <w:tc>
          <w:tcPr/>
          <w:p>
            <w:pPr>
              <w:pStyle w:val="Compact"/>
            </w:pPr>
          </w:p>
        </w:tc>
      </w:tr>
      <w:tr>
        <w:tc>
          <w:tcPr/>
          <w:p>
            <w:pPr>
              <w:pStyle w:val="Compact"/>
            </w:pPr>
            <w:r>
              <w:rPr>
                <w:rFonts w:hint="eastAsia"/>
              </w:rPr>
              <w:t xml:space="preserve">稼働中清掃員数</w:t>
            </w:r>
            <w:r>
              <w:t xml:space="preserve"> 1</w:t>
            </w:r>
          </w:p>
        </w:tc>
        <w:tc>
          <w:tcPr/>
          <w:p>
            <w:pPr>
              <w:pStyle w:val="Compact"/>
            </w:pPr>
            <w:r>
              <w:t xml:space="preserve">,050 2</w:t>
            </w:r>
          </w:p>
        </w:tc>
        <w:tc>
          <w:tcPr/>
          <w:p>
            <w:pPr>
              <w:pStyle w:val="Compact"/>
              <w:jc w:val="left"/>
            </w:pPr>
            <w:r>
              <w:t xml:space="preserve">,750 4</w:t>
            </w:r>
          </w:p>
        </w:tc>
        <w:tc>
          <w:tcPr/>
          <w:p>
            <w:pPr>
              <w:pStyle w:val="Compact"/>
              <w:jc w:val="center"/>
            </w:pPr>
            <w:r>
              <w:t xml:space="preserve">,200</w:t>
            </w:r>
          </w:p>
        </w:tc>
      </w:tr>
      <w:tr>
        <w:tc>
          <w:tcPr/>
          <w:p>
            <w:pPr>
              <w:pStyle w:val="Compact"/>
            </w:pPr>
            <w:r>
              <w:rPr>
                <w:rFonts w:hint="eastAsia"/>
              </w:rPr>
              <w:t xml:space="preserve">予測完了率</w:t>
            </w:r>
            <w:r>
              <w:t xml:space="preserve"> 94%</w:t>
            </w:r>
          </w:p>
        </w:tc>
        <w:tc>
          <w:tcPr/>
          <w:p>
            <w:pPr>
              <w:pStyle w:val="Compact"/>
            </w:pPr>
            <w:r>
              <w:t xml:space="preserve">88%</w:t>
            </w:r>
          </w:p>
        </w:tc>
        <w:tc>
          <w:tcPr/>
          <w:p>
            <w:pPr>
              <w:pStyle w:val="Compact"/>
              <w:jc w:val="left"/>
            </w:pPr>
            <w:r>
              <w:t xml:space="preserve">77%</w:t>
            </w:r>
          </w:p>
        </w:tc>
        <w:tc>
          <w:tcPr/>
          <w:p>
            <w:pPr>
              <w:pStyle w:val="Compact"/>
            </w:pPr>
          </w:p>
        </w:tc>
      </w:tr>
      <w:tr>
        <w:tc>
          <w:tcPr/>
          <w:p>
            <w:pPr>
              <w:pStyle w:val="Compact"/>
            </w:pPr>
            <w:r>
              <w:rPr>
                <w:rFonts w:hint="eastAsia"/>
              </w:rPr>
              <w:t xml:space="preserve">定期訪問1件あたりの貢献利益額</w:t>
            </w:r>
            <w:r>
              <w:t xml:space="preserve"> 18ドル</w:t>
            </w:r>
          </w:p>
        </w:tc>
        <w:tc>
          <w:tcPr/>
          <w:p>
            <w:pPr>
              <w:pStyle w:val="Compact"/>
            </w:pPr>
            <w:r>
              <w:t xml:space="preserve">12ドル</w:t>
            </w:r>
          </w:p>
        </w:tc>
        <w:tc>
          <w:tcPr/>
          <w:p>
            <w:pPr>
              <w:pStyle w:val="Compact"/>
              <w:jc w:val="left"/>
            </w:pPr>
            <w:r>
              <w:t xml:space="preserve">7ドル</w:t>
            </w:r>
          </w:p>
        </w:tc>
        <w:tc>
          <w:tcPr/>
          <w:p>
            <w:pPr>
              <w:pStyle w:val="Compact"/>
            </w:pPr>
          </w:p>
        </w:tc>
      </w:tr>
      <w:tr>
        <w:tc>
          <w:tcPr/>
          <w:p>
            <w:pPr>
              <w:pStyle w:val="Compact"/>
            </w:pPr>
            <w:r>
              <w:rPr>
                <w:rFonts w:hint="eastAsia"/>
              </w:rPr>
              <w:t xml:space="preserve">計画達成確率（チーム推定）</w:t>
            </w:r>
            <w:r>
              <w:t xml:space="preserve"> 65%</w:t>
            </w:r>
          </w:p>
        </w:tc>
        <w:tc>
          <w:tcPr/>
          <w:p>
            <w:pPr>
              <w:pStyle w:val="Compact"/>
            </w:pPr>
            <w:r>
              <w:t xml:space="preserve">45%</w:t>
            </w:r>
          </w:p>
        </w:tc>
        <w:tc>
          <w:tcPr/>
          <w:p>
            <w:pPr>
              <w:pStyle w:val="Compact"/>
              <w:jc w:val="left"/>
            </w:pPr>
            <w:r>
              <w:t xml:space="preserve">30%</w:t>
            </w:r>
          </w:p>
        </w:tc>
        <w:tc>
          <w:tcPr/>
          <w:p>
            <w:pPr>
              <w:pStyle w:val="Compact"/>
            </w:pPr>
          </w:p>
        </w:tc>
      </w:tr>
    </w:tbl>
    <w:bookmarkEnd w:id="25"/>
    <w:bookmarkEnd w:id="26"/>
    <w:bookmarkStart w:id="27" w:name="決定"/>
    <w:p>
      <w:pPr>
        <w:pStyle w:val="Heading1"/>
      </w:pPr>
      <w:r>
        <w:rPr>
          <w:rFonts w:hint="eastAsia"/>
        </w:rPr>
        <w:t xml:space="preserve">決定</w:t>
      </w:r>
    </w:p>
    <w:p>
      <w:pPr>
        <w:pStyle w:val="FirstParagraph"/>
      </w:pPr>
      <w:r>
        <w:rPr>
          <w:rFonts w:hint="eastAsia"/>
        </w:rPr>
        <w:t xml:space="preserve">チェンは再びダッシュボードに目を向けた。BrightNestには、顧客が便利な住宅清掃を求めており、何千人もの人々が柔軟な清掃機会をクリックするだろうという証拠があった。しかし、適切な清掃員を、適切な住宅に、適切な時間に、そして双方を繰り返し満足させる価格で配置できるかどうかは、まだ分かっていなかった。</w:t>
      </w:r>
    </w:p>
    <w:p>
      <w:pPr>
        <w:pStyle w:val="BodyText"/>
      </w:pPr>
      <w:r>
        <w:rPr>
          <w:rFonts w:hint="eastAsia"/>
        </w:rPr>
        <w:t xml:space="preserve">取締役会は4週間後に迫っていた。それまでに、チェンはどの立ち上げ提案を推奨するか、導入割引にいくら費やすか、清掃員にどのような報酬・機材パッケージを提供するか、そしてどの不確実性がさらなる実験を正当化するかを決めなければならなかった。待つことは資本を温存するが、採用の勢いを弱める可能性があった。拡大は情報をより速く生み出すが、地域のマッチング失敗を全国的な評判問題に変える可能性があった。</w:t>
      </w:r>
    </w:p>
    <w:bookmarkEnd w:id="27"/>
    <w:bookmarkStart w:id="28" w:name="議論の設問"/>
    <w:p>
      <w:pPr>
        <w:pStyle w:val="Heading1"/>
      </w:pPr>
      <w:r>
        <w:rPr>
          <w:rFonts w:hint="eastAsia"/>
        </w:rPr>
        <w:t xml:space="preserve">議論の設問</w:t>
      </w:r>
    </w:p>
    <w:p>
      <w:pPr>
        <w:numPr>
          <w:ilvl w:val="0"/>
          <w:numId w:val="1001"/>
        </w:numPr>
      </w:pPr>
      <w:r>
        <w:rPr>
          <w:rFonts w:hint="eastAsia"/>
        </w:rPr>
        <w:t xml:space="preserve">BrightNestは、対応可能市場、サービス提供可能市場、現実的に獲得可能な市場をどのように定義すべきか。</w:t>
      </w:r>
    </w:p>
    <w:p>
      <w:pPr>
        <w:numPr>
          <w:ilvl w:val="0"/>
          <w:numId w:val="1001"/>
        </w:numPr>
      </w:pPr>
      <w:r>
        <w:rPr>
          <w:rFonts w:hint="eastAsia"/>
        </w:rPr>
        <w:t xml:space="preserve">主要な制約は顧客需要、清掃員供給、地理的マッチング、サービス品質、ユニットエコノミクスのいずれか。どのような証拠がその答えを支持するか。</w:t>
      </w:r>
    </w:p>
    <w:p>
      <w:pPr>
        <w:numPr>
          <w:ilvl w:val="0"/>
          <w:numId w:val="1001"/>
        </w:numPr>
      </w:pPr>
      <w:r>
        <w:rPr>
          <w:rFonts w:hint="eastAsia"/>
        </w:rPr>
        <w:t xml:space="preserve">定着率が同じ清掃員を維持できるかどうかに依存する可能性がある場合、会社は顧客の生涯価値をどのように測定すべきか。</w:t>
      </w:r>
    </w:p>
    <w:p>
      <w:pPr>
        <w:numPr>
          <w:ilvl w:val="0"/>
          <w:numId w:val="1001"/>
        </w:numPr>
      </w:pPr>
      <w:r>
        <w:rPr>
          <w:rFonts w:hint="eastAsia"/>
        </w:rPr>
        <w:t xml:space="preserve">BrightNestはどのような導入割引を提供すべきか、あるいは提供すべきでないか。割引は市場や顧客によってどのように変えるべきか。</w:t>
      </w:r>
    </w:p>
    <w:p>
      <w:pPr>
        <w:numPr>
          <w:ilvl w:val="0"/>
          <w:numId w:val="1001"/>
        </w:numPr>
      </w:pPr>
      <w:r>
        <w:rPr>
          <w:rFonts w:hint="eastAsia"/>
        </w:rPr>
        <w:t xml:space="preserve">魅力的な収入、スケジュールの柔軟性、移動時間、サービス品質、会社の利益率のバランスを取るには、どのような報酬制度が適切か。</w:t>
      </w:r>
    </w:p>
    <w:p>
      <w:pPr>
        <w:numPr>
          <w:ilvl w:val="0"/>
          <w:numId w:val="1001"/>
        </w:numPr>
      </w:pPr>
      <w:r>
        <w:rPr>
          <w:rFonts w:hint="eastAsia"/>
        </w:rPr>
        <w:t xml:space="preserve">BrightNestは清掃用具や製品を供給すべきか。それぞれの供給モデルからどのような業務上・法律上の結果が生じるか。</w:t>
      </w:r>
    </w:p>
    <w:p>
      <w:pPr>
        <w:numPr>
          <w:ilvl w:val="0"/>
          <w:numId w:val="1001"/>
        </w:numPr>
      </w:pPr>
      <w:r>
        <w:rPr>
          <w:rFonts w:hint="eastAsia"/>
        </w:rPr>
        <w:t xml:space="preserve">経営陣はどの清掃員指標を監視すべきか。実働時間あたりの報酬、総時間あたりの報酬、受諾率、キャンセル率、定着率、評価、あるいは他の何かか。</w:t>
      </w:r>
    </w:p>
    <w:p>
      <w:pPr>
        <w:numPr>
          <w:ilvl w:val="0"/>
          <w:numId w:val="1001"/>
        </w:numPr>
      </w:pPr>
      <w:r>
        <w:rPr>
          <w:rFonts w:hint="eastAsia"/>
        </w:rPr>
        <w:t xml:space="preserve">移民政策をめぐる不確実性は、差別的な仮定を助長することなく、市場選定、採用、コンプライアンス、シナリオプランニングにどのような影響を与えるべきか。</w:t>
      </w:r>
    </w:p>
    <w:p>
      <w:pPr>
        <w:numPr>
          <w:ilvl w:val="0"/>
          <w:numId w:val="1001"/>
        </w:numPr>
      </w:pPr>
      <w:r>
        <w:rPr>
          <w:rFonts w:hint="eastAsia"/>
        </w:rPr>
        <w:t xml:space="preserve">BrightNestは5都市密度戦略、25都市マーケットプレイス戦略、全国展開戦略、あるいは別の拡大順序を追求すべきか。</w:t>
      </w:r>
    </w:p>
    <w:p>
      <w:pPr>
        <w:numPr>
          <w:ilvl w:val="0"/>
          <w:numId w:val="1001"/>
        </w:numPr>
      </w:pPr>
      <w:r>
        <w:rPr>
          <w:rFonts w:hint="eastAsia"/>
        </w:rPr>
        <w:t xml:space="preserve">会社が資本の大部分を投じる前に、最大の情報価値をもたらす実験は何か。</w:t>
      </w:r>
    </w:p>
    <w:bookmarkEnd w:id="28"/>
    <w:bookmarkStart w:id="34" w:name="決定フレーミングの設問"/>
    <w:p>
      <w:pPr>
        <w:pStyle w:val="Heading1"/>
      </w:pPr>
      <w:r>
        <w:rPr>
          <w:rFonts w:hint="eastAsia"/>
        </w:rPr>
        <w:t xml:space="preserve">決定フレーミングの設問</w:t>
      </w:r>
    </w:p>
    <w:p>
      <w:pPr>
        <w:numPr>
          <w:ilvl w:val="0"/>
          <w:numId w:val="1002"/>
        </w:numPr>
      </w:pPr>
      <w:r>
        <w:rPr>
          <w:rFonts w:hint="eastAsia"/>
        </w:rPr>
        <w:t xml:space="preserve">意思決定者の責任を特定し、記述せよ。これにより問題の範囲が設定されるはずである。</w:t>
      </w:r>
    </w:p>
    <w:p>
      <w:pPr>
        <w:numPr>
          <w:ilvl w:val="0"/>
          <w:numId w:val="1002"/>
        </w:numPr>
      </w:pPr>
      <w:hyperlink r:id="rId29">
        <w:r>
          <w:rPr>
            <w:rStyle w:val="Hyperlink"/>
          </w:rPr>
          <w:t xml:space="preserve">メトリクスピラミッドツール</w:t>
        </w:r>
      </w:hyperlink>
      <w:r>
        <w:rPr>
          <w:rFonts w:hint="eastAsia"/>
        </w:rPr>
        <w:t xml:space="preserve">を使用して、さまざまなパフォーマンス指標を特定し、優先順位を付けよ。指標を保持する楕円をクリックして、それが最大化すべき指標（緑）、最小化すべき指標（赤）、下限としてのターゲット（薄緑）、上限としてのターゲット（薄赤）、あるいは単なるターゲット（紫）のいずれであるかを示せ。</w:t>
      </w:r>
    </w:p>
    <w:p>
      <w:pPr>
        <w:numPr>
          <w:ilvl w:val="0"/>
          <w:numId w:val="1002"/>
        </w:numPr>
      </w:pPr>
      <w:hyperlink r:id="rId30">
        <w:r>
          <w:rPr>
            <w:rStyle w:val="Hyperlink"/>
            <w:rFonts w:hint="eastAsia"/>
          </w:rPr>
          <w:t xml:space="preserve">決定優先順位付けツール</w:t>
        </w:r>
      </w:hyperlink>
      <w:r>
        <w:rPr>
          <w:rFonts w:hint="eastAsia"/>
        </w:rPr>
        <w:t xml:space="preserve">を使用して、まずさまざまな種類の決定を列挙せよ（</w:t>
      </w:r>
      <w:hyperlink r:id="rId31">
        <w:r>
          <w:rPr>
            <w:rStyle w:val="Hyperlink"/>
            <w:rFonts w:hint="eastAsia"/>
          </w:rPr>
          <w:t xml:space="preserve">決定の種類</w:t>
        </w:r>
      </w:hyperlink>
      <w:r>
        <w:rPr>
          <w:rFonts w:hint="eastAsia"/>
        </w:rPr>
        <w:t xml:space="preserve">をガイドとして利用すること）。これらは右側の行列の行を構成し、列は上記のピラミッドにおける優先順位に従って左から右にソートされたパフォーマンス指標となる。各セルをクリックして、その決定が各指標に与える影響が高い（赤）、中程度（オレンジ）、低い（黄）、なし（白）のいずれであるかを示せ。</w:t>
      </w:r>
    </w:p>
    <w:p>
      <w:pPr>
        <w:numPr>
          <w:ilvl w:val="0"/>
          <w:numId w:val="1002"/>
        </w:numPr>
      </w:pPr>
      <w:r>
        <w:rPr>
          <w:rFonts w:hint="eastAsia"/>
        </w:rPr>
        <w:t xml:space="preserve">各行の一番左にあるハンドル（三本線）をつかんで、上下に移動させることができる。最も重要な指標に最も大きな影響を与える決定が上に来るように行をソートせよ。左上隅のセルには、赤とオレンジのセルが最も密集しているべきである。この時点で、あなたの研究において最も注意を払うべき決定を特定せよ。最も重要な指標に対して中程度または高い影響を持つ決定が一つもない場合は、決定のリストを見直せ。</w:t>
      </w:r>
    </w:p>
    <w:p>
      <w:pPr>
        <w:numPr>
          <w:ilvl w:val="0"/>
          <w:numId w:val="1002"/>
        </w:numPr>
      </w:pPr>
      <w:hyperlink r:id="rId32">
        <w:r>
          <w:rPr>
            <w:rStyle w:val="Hyperlink"/>
            <w:rFonts w:hint="eastAsia"/>
          </w:rPr>
          <w:t xml:space="preserve">不確実性優先順位付けツール</w:t>
        </w:r>
      </w:hyperlink>
      <w:r>
        <w:rPr>
          <w:rFonts w:hint="eastAsia"/>
        </w:rPr>
        <w:t xml:space="preserve">を使用して、不確実性を列挙し優先順位を付けるプロセスを繰り返せ。</w:t>
      </w:r>
      <w:hyperlink r:id="rId33">
        <w:r>
          <w:rPr>
            <w:rStyle w:val="Hyperlink"/>
            <w:rFonts w:hint="eastAsia"/>
          </w:rPr>
          <w:t xml:space="preserve">不確実性のカテゴリー</w:t>
        </w:r>
      </w:hyperlink>
      <w:r>
        <w:rPr>
          <w:rFonts w:hint="eastAsia"/>
        </w:rPr>
        <w:t xml:space="preserve">を参考にしてこれらを特定すること。</w:t>
      </w:r>
    </w:p>
    <w:p>
      <w:pPr>
        <w:numPr>
          <w:ilvl w:val="0"/>
          <w:numId w:val="1002"/>
        </w:numPr>
      </w:pPr>
      <w:r>
        <w:rPr>
          <w:rFonts w:hint="eastAsia"/>
        </w:rPr>
        <w:t xml:space="preserve">平均的に評価できる不確実性と、リスクイベントとして評価すべき不確実性を区別することが重要である。</w:t>
      </w:r>
    </w:p>
    <w:p>
      <w:pPr>
        <w:numPr>
          <w:ilvl w:val="1"/>
          <w:numId w:val="1003"/>
        </w:numPr>
      </w:pPr>
      <w:r>
        <w:rPr>
          <w:rFonts w:hint="eastAsia"/>
        </w:rPr>
        <w:t xml:space="preserve">どの不確実性の源が、時間をかけた平均パフォーマンスを用いて捉えられるか。</w:t>
      </w:r>
    </w:p>
    <w:p>
      <w:pPr>
        <w:numPr>
          <w:ilvl w:val="1"/>
          <w:numId w:val="1003"/>
        </w:numPr>
      </w:pPr>
      <w:r>
        <w:rPr>
          <w:rFonts w:hint="eastAsia"/>
        </w:rPr>
        <w:t xml:space="preserve">どの不確実性の源が、平均では適切に捉えられないリスクの形態を表しているか。</w:t>
      </w:r>
    </w:p>
    <w:p>
      <w:pPr>
        <w:numPr>
          <w:ilvl w:val="0"/>
          <w:numId w:val="1002"/>
        </w:numPr>
      </w:pPr>
      <w:r>
        <w:rPr>
          <w:rFonts w:hint="eastAsia"/>
        </w:rPr>
        <w:t xml:space="preserve">最も重要な指標に最も大きな影響を与えると思われる単一の決定を選べ。</w:t>
      </w:r>
    </w:p>
    <w:p>
      <w:pPr>
        <w:numPr>
          <w:ilvl w:val="1"/>
          <w:numId w:val="1004"/>
        </w:numPr>
      </w:pPr>
      <w:r>
        <w:rPr>
          <w:rFonts w:hint="eastAsia"/>
        </w:rPr>
        <w:t xml:space="preserve">この決定を行うために、どのようなアプローチを使用すると考えられるか。</w:t>
      </w:r>
    </w:p>
    <w:p>
      <w:pPr>
        <w:numPr>
          <w:ilvl w:val="1"/>
          <w:numId w:val="1004"/>
        </w:numPr>
      </w:pPr>
      <w:r>
        <w:rPr>
          <w:rFonts w:hint="eastAsia"/>
        </w:rPr>
        <w:t xml:space="preserve">この決定を行うために必要と思われるデータは何か。決定が高いまたは中程度の影響を持つ、いかなるパフォーマンス指標の計算も含めること。</w:t>
      </w:r>
    </w:p>
    <w:p>
      <w:pPr>
        <w:numPr>
          <w:ilvl w:val="0"/>
          <w:numId w:val="1002"/>
        </w:numPr>
      </w:pPr>
      <w:r>
        <w:rPr>
          <w:rFonts w:hint="eastAsia"/>
        </w:rPr>
        <w:t xml:space="preserve">(7)で特定したのと同じ決定を用いて、その決定を実行するために協力する必要がある人々、部署、グループ、または組織を特定せよ。</w:t>
      </w:r>
    </w:p>
    <w:bookmarkEnd w:id="34"/>
    <w:bookmarkStart w:id="35" w:name="公開データとケースの前提"/>
    <w:p>
      <w:pPr>
        <w:pStyle w:val="Heading1"/>
      </w:pPr>
      <w:r>
        <w:rPr>
          <w:rFonts w:hint="eastAsia"/>
        </w:rPr>
        <w:t xml:space="preserve">公開データとケースの前提</w:t>
      </w:r>
    </w:p>
    <w:p>
      <w:pPr>
        <w:pStyle w:val="FirstParagraph"/>
      </w:pPr>
      <w:r>
        <w:rPr>
          <w:rFonts w:hint="eastAsia"/>
        </w:rPr>
        <w:t xml:space="preserve">本ケースは公開統計と架空の企業データを組み合わせている。市場規模の推定はシナリオ計算であり、住宅清掃支出の公式測定値ではない。主な公開情報の背景は以下の通りである。</w:t>
      </w:r>
    </w:p>
    <w:p>
      <w:pPr>
        <w:numPr>
          <w:ilvl w:val="0"/>
          <w:numId w:val="1005"/>
        </w:numPr>
      </w:pPr>
      <w:r>
        <w:rPr>
          <w:rFonts w:hint="eastAsia"/>
        </w:rPr>
        <w:t xml:space="preserve">米国国勢調査局QuickFacts：2020〜2024年の世帯あたり平均人数は約2.53人であり、全国人口推定と組み合わせると、約1億3,200万世帯という概算の桁数を裏付ける。</w:t>
      </w:r>
    </w:p>
    <w:p>
      <w:pPr>
        <w:numPr>
          <w:ilvl w:val="0"/>
          <w:numId w:val="1005"/>
        </w:numPr>
      </w:pPr>
      <w:r>
        <w:rPr>
          <w:rFonts w:hint="eastAsia"/>
        </w:rPr>
        <w:t xml:space="preserve">米国労働統計局、2025年5月職業雇用賃金統計：メイド・住宅清掃員86万670人、平均時給17.83ドル、中央値時給17.07ドル。</w:t>
      </w:r>
    </w:p>
    <w:p>
      <w:pPr>
        <w:numPr>
          <w:ilvl w:val="0"/>
          <w:numId w:val="1005"/>
        </w:numPr>
      </w:pPr>
      <w:r>
        <w:rPr>
          <w:rFonts w:hint="eastAsia"/>
        </w:rPr>
        <w:t xml:space="preserve">BLS外国出身労働者、2025年：外国出身の労働者は米国生まれの労働者よりもサービス職に従事する割合が高く、21.2%対15.6%であった。</w:t>
      </w:r>
    </w:p>
    <w:p>
      <w:pPr>
        <w:numPr>
          <w:ilvl w:val="0"/>
          <w:numId w:val="1005"/>
        </w:numPr>
      </w:pPr>
      <w:r>
        <w:rPr>
          <w:rFonts w:hint="eastAsia"/>
        </w:rPr>
        <w:t xml:space="preserve">国勢調査局非雇用者統計：清掃業は、個人事業主による2023年の受取額が約200億ドルと、ギグエコノミー産業の中でも最大級とみられる。</w:t>
      </w:r>
    </w:p>
    <w:p>
      <w:pPr>
        <w:numPr>
          <w:ilvl w:val="0"/>
          <w:numId w:val="1005"/>
        </w:numPr>
      </w:pPr>
      <w:r>
        <w:rPr>
          <w:rFonts w:hint="eastAsia"/>
        </w:rPr>
        <w:t xml:space="preserve">USCISフォームI-9ガイダンス：米国の雇用主は、米国市民を含むすべての被雇用者について雇用資格を確認しなければならず、その際差別禁止要件を遵守しなければならない。</w:t>
      </w:r>
    </w:p>
    <w:p>
      <w:pPr>
        <w:pStyle w:val="FirstParagraph"/>
      </w:pPr>
      <w:r>
        <w:rPr>
          <w:rFonts w:hint="eastAsia"/>
        </w:rPr>
        <w:t xml:space="preserve">参照した情報源（2026年7月アクセス）：米国労働統計局、職業雇用賃金統計、2025年5月；BLS、外国出身労働者の労働力特性、2025年；米国国勢調査局、QuickFactsおよび2023年非雇用者統計；米国市民権・移民局、フォームI-9センター。BrightNestのすべての価格、換算率、コスト、予測、企業の出来事は架空のものである。</w:t>
      </w:r>
    </w:p>
    <w:bookmarkEnd w:id="35"/>
    <w:bookmarkStart w:id="36" w:name="chatgptによるコメント"/>
    <w:p>
      <w:pPr>
        <w:pStyle w:val="Heading1"/>
      </w:pPr>
      <w:r>
        <w:t xml:space="preserve">ChatGPTによるコメント</w:t>
      </w:r>
    </w:p>
    <w:p>
      <w:pPr>
        <w:pStyle w:val="FirstParagraph"/>
      </w:pPr>
      <w:r>
        <w:rPr>
          <w:rFonts w:hint="eastAsia"/>
        </w:rPr>
        <w:t xml:space="preserve">本ケースは、顧客需要の構築と、地理的に密度の高い信頼できる清掃員ネットワークの採用を同時に行わなければならない架空のスタートアップを検討している。以下の内容を含む。</w:t>
      </w:r>
    </w:p>
    <w:p>
      <w:pPr>
        <w:numPr>
          <w:ilvl w:val="0"/>
          <w:numId w:val="1006"/>
        </w:numPr>
      </w:pPr>
      <w:r>
        <w:rPr>
          <w:rFonts w:hint="eastAsia"/>
        </w:rPr>
        <w:t xml:space="preserve">検索、ソーシャルメディア、紹介、マーケットプレイス、機関パートナーシップにわたる顧客獲得の選択肢</w:t>
      </w:r>
    </w:p>
    <w:p>
      <w:pPr>
        <w:numPr>
          <w:ilvl w:val="0"/>
          <w:numId w:val="1006"/>
        </w:numPr>
      </w:pPr>
      <w:r>
        <w:rPr>
          <w:rFonts w:hint="eastAsia"/>
        </w:rPr>
        <w:t xml:space="preserve">導入割引と顧客生涯価値をめぐる不確実性</w:t>
      </w:r>
    </w:p>
    <w:p>
      <w:pPr>
        <w:numPr>
          <w:ilvl w:val="0"/>
          <w:numId w:val="1006"/>
        </w:numPr>
      </w:pPr>
      <w:r>
        <w:rPr>
          <w:rFonts w:hint="eastAsia"/>
        </w:rPr>
        <w:t xml:space="preserve">清掃員の報酬、柔軟性、移動時間、定着、機材方針</w:t>
      </w:r>
    </w:p>
    <w:p>
      <w:pPr>
        <w:numPr>
          <w:ilvl w:val="0"/>
          <w:numId w:val="1006"/>
        </w:numPr>
      </w:pPr>
      <w:r>
        <w:rPr>
          <w:rFonts w:hint="eastAsia"/>
        </w:rPr>
        <w:t xml:space="preserve">従業員か契約者かをめぐる検討事項</w:t>
      </w:r>
    </w:p>
    <w:p>
      <w:pPr>
        <w:numPr>
          <w:ilvl w:val="0"/>
          <w:numId w:val="1006"/>
        </w:numPr>
      </w:pPr>
      <w:r>
        <w:rPr>
          <w:rFonts w:hint="eastAsia"/>
        </w:rPr>
        <w:t xml:space="preserve">移民政策と雇用資格確認をめぐる不確実性</w:t>
      </w:r>
    </w:p>
    <w:p>
      <w:pPr>
        <w:numPr>
          <w:ilvl w:val="0"/>
          <w:numId w:val="1006"/>
        </w:numPr>
      </w:pPr>
      <w:r>
        <w:rPr>
          <w:rFonts w:hint="eastAsia"/>
        </w:rPr>
        <w:t xml:space="preserve">地域限定、複数都市、全国展開の戦略</w:t>
      </w:r>
    </w:p>
    <w:p>
      <w:pPr>
        <w:numPr>
          <w:ilvl w:val="0"/>
          <w:numId w:val="1006"/>
        </w:numPr>
      </w:pPr>
      <w:r>
        <w:rPr>
          <w:rFonts w:hint="eastAsia"/>
        </w:rPr>
        <w:t xml:space="preserve">市場需要の推定、ユニットエコノミクス、採用ファネル、立ち上げシナリオ</w:t>
      </w:r>
    </w:p>
    <w:p>
      <w:pPr>
        <w:numPr>
          <w:ilvl w:val="0"/>
          <w:numId w:val="1006"/>
        </w:numPr>
      </w:pPr>
      <w:r>
        <w:rPr>
          <w:rFonts w:hint="eastAsia"/>
        </w:rPr>
        <w:t xml:space="preserve">望ましい解決策を示さない10の議論用設問</w:t>
      </w:r>
    </w:p>
    <w:p>
      <w:pPr>
        <w:pStyle w:val="FirstParagraph"/>
      </w:pPr>
      <w:r>
        <w:rPr>
          <w:rFonts w:hint="eastAsia"/>
        </w:rPr>
        <w:t xml:space="preserve">労働環境の背景には、労働統計局による最新の推定値、すなわち2025年5月時点でメイド・住宅清掃員が約86万670人存在し、平均時給が17.83ドルであるという数値が使用されている。また、2025年に外国出身労働者が米国生まれの労働者よりもサービス職に集中していたというBLSの調査結果も組み込まれている。</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warrenpowell.org/decision-framing-tool/#decision-prioritization-tool" TargetMode="External" /><Relationship Type="http://schemas.openxmlformats.org/officeDocument/2006/relationships/hyperlink" Id="rId29" Target="https://warrenpowell.org/decision-framing-tool/#metrics-pyramid-tool" TargetMode="External" /><Relationship Type="http://schemas.openxmlformats.org/officeDocument/2006/relationships/hyperlink" Id="rId32" Target="https://warrenpowell.org/decision-framing-tool/#uncertainty-prioritization-tool" TargetMode="External" /><Relationship Type="http://schemas.openxmlformats.org/officeDocument/2006/relationships/hyperlink" Id="rId31" Target="https://warrenpowell.org/decisionsdecisions/#types-of-decision-settings" TargetMode="External" /><Relationship Type="http://schemas.openxmlformats.org/officeDocument/2006/relationships/hyperlink" Id="rId33"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30" Target="https://warrenpowell.org/decision-framing-tool/#decision-prioritization-tool" TargetMode="External" /><Relationship Type="http://schemas.openxmlformats.org/officeDocument/2006/relationships/hyperlink" Id="rId29" Target="https://warrenpowell.org/decision-framing-tool/#metrics-pyramid-tool" TargetMode="External" /><Relationship Type="http://schemas.openxmlformats.org/officeDocument/2006/relationships/hyperlink" Id="rId32" Target="https://warrenpowell.org/decision-framing-tool/#uncertainty-prioritization-tool" TargetMode="External" /><Relationship Type="http://schemas.openxmlformats.org/officeDocument/2006/relationships/hyperlink" Id="rId31" Target="https://warrenpowell.org/decisionsdecisions/#types-of-decision-settings" TargetMode="External" /><Relationship Type="http://schemas.openxmlformats.org/officeDocument/2006/relationships/hyperlink" Id="rId33"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2026-09-11T17:36:28Z</dcterms:created>
  <dcterms:modified xsi:type="dcterms:W3CDTF">2026-09-11T17:36:28Z</dcterms:modified>
</cp:coreProperties>
</file>

<file path=docProps/custom.xml><?xml version="1.0" encoding="utf-8"?>
<Properties xmlns="http://schemas.openxmlformats.org/officeDocument/2006/custom-properties" xmlns:vt="http://schemas.openxmlformats.org/officeDocument/2006/docPropsVTypes"/>
</file>