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Crestline Biotherapeutics</w:t>
      </w:r>
    </w:p>
    <w:p>
      <w:pPr>
        <w:pStyle w:val="BodyText"/>
      </w:pPr>
      <w:r>
        <w:rPr>
          <w:rFonts w:hint="eastAsia"/>
        </w:rPr>
        <w:t xml:space="preserve">第28週の決定</w:t>
      </w:r>
    </w:p>
    <w:p>
      <w:pPr>
        <w:pStyle w:val="BodyText"/>
      </w:pPr>
      <w:r>
        <w:rPr>
          <w:rFonts w:hint="eastAsia"/>
          <w:i/>
          <w:iCs/>
        </w:rPr>
        <w:t xml:space="preserve">時間、患者、資本、特許存続期間のすべてが限られている中で、次に何を学ぶべきかを決定する臨床開発ケース</w:t>
      </w:r>
    </w:p>
    <w:p>
      <w:pPr>
        <w:pStyle w:val="BodyText"/>
      </w:pPr>
      <w:r>
        <w:rPr>
          <w:rFonts w:hint="eastAsia"/>
        </w:rPr>
        <w:t xml:space="preserve">このケースはフィクションであり、指導上の議論を目的としています。名前、出来事、製品、および企業データは架空のものであり、公開統計は出典注に記載されています。</w:t>
      </w:r>
    </w:p>
    <w:tbl>
      <w:tblPr>
        <w:tblStyle w:val="Table"/>
        <w:tblW w:type="auto" w:w="0"/>
        <w:tblLook w:firstRow="0" w:lastRow="0" w:firstColumn="0" w:lastColumn="0" w:noHBand="0" w:noVBand="0" w:val="0000"/>
      </w:tblPr>
      <w:tblGrid>
        <w:gridCol w:w="7920"/>
      </w:tblGrid>
      <w:tr>
        <w:tc>
          <w:tcPr/>
          <w:p>
            <w:pPr>
              <w:pStyle w:val="Compact"/>
              <w:jc w:val="left"/>
            </w:pPr>
            <w:r>
              <w:rPr>
                <w:rFonts w:hint="eastAsia"/>
              </w:rPr>
              <w:t xml:space="preserve">2026年10月、Crestlineは炎症性肺疾患に対する実験的治療のフェーズII試験を拡大するか、再設計するか、一時停止するか、中止するかを決定しなければならない。初期結果は一部の患者に有意な改善を示唆する一方、他の患者にはほとんど効果がなく、治療との関連が不明な安全性シグナルも見られる。登録は予定より6か月遅れており、競合他社はピボタル試験を発表しており、Crestlineは主要な開発プログラムを1つしか進める資金的余裕がない。</w:t>
            </w:r>
          </w:p>
        </w:tc>
      </w:tr>
    </w:tbl>
    <w:p>
      <w:r>
        <w:pict>
          <v:rect style="width:0;height:1.5pt" o:hralign="center" o:hrstd="t" o:hr="t"/>
        </w:pict>
      </w:r>
    </w:p>
    <w:p>
      <w:pPr>
        <w:pStyle w:val="FirstParagraph"/>
      </w:pPr>
      <w:r>
        <w:rPr>
          <w:rFonts w:hint="eastAsia"/>
        </w:rPr>
        <w:t xml:space="preserve">このケースはフィクションであり、指導上の議論を目的としています。名前、出来事、臨床結果、および社内財務数値はこのケースのために作成されました。公開統計は出典注にまとめられています。</w:t>
      </w:r>
    </w:p>
    <w:bookmarkStart w:id="9" w:name="中間レビュー"/>
    <w:p>
      <w:pPr>
        <w:pStyle w:val="Heading1"/>
      </w:pPr>
      <w:r>
        <w:rPr>
          <w:rFonts w:hint="eastAsia"/>
        </w:rPr>
        <w:t xml:space="preserve">中間レビュー</w:t>
      </w:r>
    </w:p>
    <w:p>
      <w:pPr>
        <w:pStyle w:val="FirstParagraph"/>
      </w:pPr>
      <w:r>
        <w:rPr>
          <w:rFonts w:hint="eastAsia"/>
        </w:rPr>
        <w:t xml:space="preserve">月曜日の朝7時30分、Crestline</w:t>
      </w:r>
      <w:r>
        <w:t xml:space="preserve"> </w:t>
      </w:r>
      <w:r>
        <w:rPr>
          <w:rFonts w:hint="eastAsia"/>
        </w:rPr>
        <w:t xml:space="preserve">Biotherapeuticsの最高医療責任者であるDr.</w:t>
      </w:r>
      <w:r>
        <w:t xml:space="preserve"> Elena </w:t>
      </w:r>
      <w:r>
        <w:rPr>
          <w:rFonts w:hint="eastAsia"/>
        </w:rPr>
        <w:t xml:space="preserve">Marquezは、独立データ監視委員会からの機密報告書を開いた。同社の主力化合物CLN-47は、標準治療下でも症状が十分にコントロールされていない進行性炎症性肺疾患の成人患者を対象に試験が行われていた。試験は164人の無作為化患者に達しており、計画されていた240人には大きく届いていなかったが、登録が減速し、複数の有害事象が報告されたため、取締役会は中間レビューを承認していた。</w:t>
      </w:r>
    </w:p>
    <w:p>
      <w:pPr>
        <w:pStyle w:val="BodyText"/>
      </w:pPr>
      <w:r>
        <w:rPr>
          <w:rFonts w:hint="eastAsia"/>
        </w:rPr>
        <w:t xml:space="preserve">その報告書は、Marquezが望んでいた単純な答えを提供しなかった。高用量を投与された患者は、プラセボを投与された患者よりも肺機能の平均改善が大きかったが、その差はプロトコルに書かれた統計的閾値をわずかに下回っていた。血液バイオマーカーによって特定されたサブグループは、強い反応を示すように見えた。このサブグループは試験開始時には主要対象集団として指定されておらず、それを特定するために使用された検査アッセイは、2つの試験施設で一貫性のない結果を生み出していた。</w:t>
      </w:r>
    </w:p>
    <w:p>
      <w:pPr>
        <w:pStyle w:val="BodyText"/>
      </w:pPr>
      <w:r>
        <w:rPr>
          <w:rFonts w:hint="eastAsia"/>
        </w:rPr>
        <w:t xml:space="preserve">CLN-47を投与された5人の患者が重篤な肝酵素上昇を経験したのに対し、プラセボを投与された患者は1人だった。治療が中断された後、全員が回復した。治験責任医師の間では、これらの事象が薬剤によるものか、他の薬剤によるものか、あるいは基礎疾患によるものかについて意見が分かれた。委員会は試験の中止を勧告しなかったが、Crestlineに対してモニタリングを強化し、投与を中断する条件を明確化するよう求めた。</w:t>
      </w:r>
    </w:p>
    <w:bookmarkEnd w:id="9"/>
    <w:bookmarkStart w:id="11" w:name="到達確率が低い高コストの道のり"/>
    <w:p>
      <w:pPr>
        <w:pStyle w:val="Heading1"/>
      </w:pPr>
      <w:r>
        <w:rPr>
          <w:rFonts w:hint="eastAsia"/>
        </w:rPr>
        <w:t xml:space="preserve">到達確率が低い高コストの道のり</w:t>
      </w:r>
    </w:p>
    <w:p>
      <w:pPr>
        <w:pStyle w:val="FirstParagraph"/>
      </w:pPr>
      <w:r>
        <w:rPr>
          <w:rFonts w:hint="eastAsia"/>
        </w:rPr>
        <w:t xml:space="preserve">臨床開発では、企業は治療が安全か、有効か、承認可能か、製造可能か、商業的に受け入れられるかがわからないうちに、多額の資本を投じることが求められた。フェーズIII試験は一般に数百人から数千人の参加者を登録し、規制当局の審査で使用される証拠の大部分を提供する。業界の推定では、承認された医薬品を開発するための総費用（失敗したプログラムを含む）は数十億ドルに達し、経過時間は10年から15年に及ぶことが多いとされる。</w:t>
      </w:r>
    </w:p>
    <w:p>
      <w:pPr>
        <w:pStyle w:val="BodyText"/>
      </w:pPr>
      <w:r>
        <w:rPr>
          <w:rFonts w:hint="eastAsia"/>
        </w:rPr>
        <w:t xml:space="preserve">失敗はよくあることだった。公表された推定値は疾患領域や方法論によって異なるが、ヒト試験に入った化合物のうち最終的に承認を受けるのは一部にすぎない。登録そのものが大きな遅延要因となり得た。研究レビューによれば、多くの試験が当初の登録目標やスケジュールを達成できておらず、登録済み試験の分析では、完了した研究の遅延期間の中央値は約12か月であり、サンプルの5分の1以上が中止されていたことが判明している。</w:t>
      </w:r>
    </w:p>
    <w:p>
      <w:pPr>
        <w:pStyle w:val="BodyText"/>
      </w:pPr>
      <w:r>
        <w:rPr>
          <w:rFonts w:hint="eastAsia"/>
        </w:rPr>
        <w:t xml:space="preserve">Crestlineにとって、遅延にはもう一つのコストがあった。CLN-47の中核特許は7年前に出願されていた。開発に追加で1年を費やすごとに、同社がジェネリック医薬品の直接競争なしに治療を販売できる期間が短くなった。しかし、あまりに急ぎすぎれば、検出力不足の試験になったり、患者を安全でない用量にさらしたり、規制当局が証拠を却下する可能性があった。</w:t>
      </w:r>
    </w:p>
    <w:bookmarkStart w:id="10" w:name="図表1.-cln-47フェーズii試験の状況"/>
    <w:p>
      <w:pPr>
        <w:pStyle w:val="Heading2"/>
      </w:pPr>
      <w:r>
        <w:rPr>
          <w:rFonts w:hint="eastAsia"/>
        </w:rPr>
        <w:t xml:space="preserve">図表1.</w:t>
      </w:r>
      <w:r>
        <w:t xml:space="preserve"> </w:t>
      </w:r>
      <w:r>
        <w:rPr>
          <w:rFonts w:hint="eastAsia"/>
        </w:rPr>
        <w:t xml:space="preserve">CLN-47フェーズII試験の状況</w:t>
      </w:r>
    </w:p>
    <w:tbl>
      <w:tblPr>
        <w:tblStyle w:val="Table"/>
        <w:tblW w:type="pct" w:w="4936"/>
        <w:tblLayout w:type="fixed"/>
        <w:tblLook w:firstRow="1" w:lastRow="0" w:firstColumn="0" w:lastColumn="0" w:noHBand="0" w:noVBand="0" w:val="0020"/>
      </w:tblPr>
      <w:tblGrid>
        <w:gridCol w:w="1523"/>
        <w:gridCol w:w="1929"/>
        <w:gridCol w:w="2183"/>
        <w:gridCol w:w="2183"/>
      </w:tblGrid>
      <w:tr>
        <w:trPr>
          <w:tblHeader w:val="on"/>
        </w:trPr>
        <w:tc>
          <w:tcPr/>
          <w:p>
            <w:pPr>
              <w:pStyle w:val="Compact"/>
              <w:jc w:val="left"/>
            </w:pPr>
            <w:r>
              <w:rPr>
                <w:rFonts w:hint="eastAsia"/>
              </w:rPr>
              <w:t xml:space="preserve">指標</w:t>
            </w:r>
          </w:p>
        </w:tc>
        <w:tc>
          <w:tcPr/>
          <w:p>
            <w:pPr>
              <w:pStyle w:val="Compact"/>
              <w:jc w:val="center"/>
            </w:pPr>
            <w:r>
              <w:rPr>
                <w:rFonts w:hint="eastAsia"/>
              </w:rPr>
              <w:t xml:space="preserve">プロトコル計画</w:t>
            </w:r>
          </w:p>
        </w:tc>
        <w:tc>
          <w:tcPr/>
          <w:p>
            <w:pPr>
              <w:pStyle w:val="Compact"/>
              <w:jc w:val="center"/>
            </w:pPr>
            <w:r>
              <w:rPr>
                <w:rFonts w:hint="eastAsia"/>
              </w:rPr>
              <w:t xml:space="preserve">第28週時点の状況</w:t>
            </w:r>
          </w:p>
        </w:tc>
        <w:tc>
          <w:tcPr/>
          <w:p>
            <w:pPr>
              <w:pStyle w:val="Compact"/>
              <w:jc w:val="left"/>
            </w:pPr>
            <w:r>
              <w:rPr>
                <w:rFonts w:hint="eastAsia"/>
              </w:rPr>
              <w:t xml:space="preserve">経営上の懸念</w:t>
            </w:r>
          </w:p>
        </w:tc>
      </w:tr>
      <w:tr>
        <w:tc>
          <w:tcPr/>
          <w:p>
            <w:pPr>
              <w:pStyle w:val="Compact"/>
              <w:jc w:val="left"/>
            </w:pPr>
            <w:r>
              <w:rPr>
                <w:rFonts w:hint="eastAsia"/>
              </w:rPr>
              <w:t xml:space="preserve">無作為化患者数</w:t>
            </w:r>
          </w:p>
        </w:tc>
        <w:tc>
          <w:tcPr/>
          <w:p>
            <w:pPr>
              <w:pStyle w:val="Compact"/>
              <w:jc w:val="center"/>
            </w:pPr>
            <w:r>
              <w:t xml:space="preserve">240</w:t>
            </w:r>
          </w:p>
        </w:tc>
        <w:tc>
          <w:tcPr/>
          <w:p>
            <w:pPr>
              <w:pStyle w:val="Compact"/>
              <w:jc w:val="center"/>
            </w:pPr>
            <w:r>
              <w:t xml:space="preserve">164</w:t>
            </w:r>
          </w:p>
        </w:tc>
        <w:tc>
          <w:tcPr/>
          <w:p>
            <w:pPr>
              <w:pStyle w:val="Compact"/>
              <w:jc w:val="left"/>
            </w:pPr>
            <w:r>
              <w:rPr>
                <w:rFonts w:hint="eastAsia"/>
              </w:rPr>
              <w:t xml:space="preserve">登録が6か月遅れ</w:t>
            </w:r>
          </w:p>
        </w:tc>
      </w:tr>
      <w:tr>
        <w:tc>
          <w:tcPr/>
          <w:p>
            <w:pPr>
              <w:pStyle w:val="Compact"/>
              <w:jc w:val="left"/>
            </w:pPr>
            <w:r>
              <w:rPr>
                <w:rFonts w:hint="eastAsia"/>
              </w:rPr>
              <w:t xml:space="preserve">試験実施施設</w:t>
            </w:r>
          </w:p>
        </w:tc>
        <w:tc>
          <w:tcPr/>
          <w:p>
            <w:pPr>
              <w:pStyle w:val="Compact"/>
              <w:jc w:val="center"/>
            </w:pPr>
            <w:r>
              <w:t xml:space="preserve">32</w:t>
            </w:r>
          </w:p>
        </w:tc>
        <w:tc>
          <w:tcPr/>
          <w:p>
            <w:pPr>
              <w:pStyle w:val="Compact"/>
              <w:jc w:val="center"/>
            </w:pPr>
            <w:r>
              <w:rPr>
                <w:rFonts w:hint="eastAsia"/>
              </w:rPr>
              <w:t xml:space="preserve">29か所開設、18か所が積極的に登録中</w:t>
            </w:r>
          </w:p>
        </w:tc>
        <w:tc>
          <w:tcPr/>
          <w:p>
            <w:pPr>
              <w:pStyle w:val="Compact"/>
              <w:jc w:val="left"/>
            </w:pPr>
            <w:r>
              <w:rPr>
                <w:rFonts w:hint="eastAsia"/>
              </w:rPr>
              <w:t xml:space="preserve">施設間で大きなばらつき</w:t>
            </w:r>
          </w:p>
        </w:tc>
      </w:tr>
      <w:tr>
        <w:tc>
          <w:tcPr/>
          <w:p>
            <w:pPr>
              <w:pStyle w:val="Compact"/>
              <w:jc w:val="left"/>
            </w:pPr>
            <w:r>
              <w:rPr>
                <w:rFonts w:hint="eastAsia"/>
              </w:rPr>
              <w:t xml:space="preserve">主要評価項目</w:t>
            </w:r>
          </w:p>
        </w:tc>
        <w:tc>
          <w:tcPr/>
          <w:p>
            <w:pPr>
              <w:pStyle w:val="Compact"/>
              <w:jc w:val="center"/>
            </w:pPr>
            <w:r>
              <w:rPr>
                <w:rFonts w:hint="eastAsia"/>
              </w:rPr>
              <w:t xml:space="preserve">24週時点の肺機能変化</w:t>
            </w:r>
          </w:p>
        </w:tc>
        <w:tc>
          <w:tcPr/>
          <w:p>
            <w:pPr>
              <w:pStyle w:val="Compact"/>
              <w:jc w:val="center"/>
            </w:pPr>
            <w:r>
              <w:rPr>
                <w:rFonts w:hint="eastAsia"/>
              </w:rPr>
              <w:t xml:space="preserve">高用量群+3.8%、プラセボ群+1.9%</w:t>
            </w:r>
          </w:p>
        </w:tc>
        <w:tc>
          <w:tcPr/>
          <w:p>
            <w:pPr>
              <w:pStyle w:val="Compact"/>
              <w:jc w:val="left"/>
            </w:pPr>
            <w:r>
              <w:rPr>
                <w:rFonts w:hint="eastAsia"/>
              </w:rPr>
              <w:t xml:space="preserve">事前規定の閾値を下回る差</w:t>
            </w:r>
          </w:p>
        </w:tc>
      </w:tr>
      <w:tr>
        <w:tc>
          <w:tcPr/>
          <w:p>
            <w:pPr>
              <w:pStyle w:val="Compact"/>
              <w:jc w:val="left"/>
            </w:pPr>
            <w:r>
              <w:rPr>
                <w:rFonts w:hint="eastAsia"/>
              </w:rPr>
              <w:t xml:space="preserve">バイオマーカー陽性サブグループ</w:t>
            </w:r>
          </w:p>
        </w:tc>
        <w:tc>
          <w:tcPr/>
          <w:p>
            <w:pPr>
              <w:pStyle w:val="Compact"/>
              <w:jc w:val="center"/>
            </w:pPr>
            <w:r>
              <w:rPr>
                <w:rFonts w:hint="eastAsia"/>
              </w:rPr>
              <w:t xml:space="preserve">探索的のみ</w:t>
            </w:r>
          </w:p>
        </w:tc>
        <w:tc>
          <w:tcPr/>
          <w:p>
            <w:pPr>
              <w:pStyle w:val="Compact"/>
              <w:jc w:val="center"/>
            </w:pPr>
            <w:r>
              <w:rPr>
                <w:rFonts w:hint="eastAsia"/>
              </w:rPr>
              <w:t xml:space="preserve">高用量群+6.4%、プラセボ群+1.6%</w:t>
            </w:r>
          </w:p>
        </w:tc>
        <w:tc>
          <w:tcPr/>
          <w:p>
            <w:pPr>
              <w:pStyle w:val="Compact"/>
              <w:jc w:val="left"/>
            </w:pPr>
            <w:r>
              <w:rPr>
                <w:rFonts w:hint="eastAsia"/>
              </w:rPr>
              <w:t xml:space="preserve">有望だが事前規定なし</w:t>
            </w:r>
          </w:p>
        </w:tc>
      </w:tr>
      <w:tr>
        <w:tc>
          <w:tcPr/>
          <w:p>
            <w:pPr>
              <w:pStyle w:val="Compact"/>
              <w:jc w:val="left"/>
            </w:pPr>
            <w:r>
              <w:rPr>
                <w:rFonts w:hint="eastAsia"/>
              </w:rPr>
              <w:t xml:space="preserve">重篤な肝機能シグナル</w:t>
            </w:r>
          </w:p>
        </w:tc>
        <w:tc>
          <w:tcPr/>
          <w:p>
            <w:pPr>
              <w:pStyle w:val="Compact"/>
              <w:jc w:val="center"/>
            </w:pPr>
            <w:r>
              <w:rPr>
                <w:rFonts w:hint="eastAsia"/>
              </w:rPr>
              <w:t xml:space="preserve">想定される不均衡なし</w:t>
            </w:r>
          </w:p>
        </w:tc>
        <w:tc>
          <w:tcPr/>
          <w:p>
            <w:pPr>
              <w:pStyle w:val="Compact"/>
              <w:jc w:val="center"/>
            </w:pPr>
            <w:r>
              <w:rPr>
                <w:rFonts w:hint="eastAsia"/>
              </w:rPr>
              <w:t xml:space="preserve">治療群5例、プラセボ群1例</w:t>
            </w:r>
          </w:p>
        </w:tc>
        <w:tc>
          <w:tcPr/>
          <w:p>
            <w:pPr>
              <w:pStyle w:val="Compact"/>
              <w:jc w:val="left"/>
            </w:pPr>
            <w:r>
              <w:rPr>
                <w:rFonts w:hint="eastAsia"/>
              </w:rPr>
              <w:t xml:space="preserve">因果関係が不明</w:t>
            </w:r>
          </w:p>
        </w:tc>
      </w:tr>
      <w:tr>
        <w:tc>
          <w:tcPr/>
          <w:p>
            <w:pPr>
              <w:pStyle w:val="Compact"/>
              <w:jc w:val="left"/>
            </w:pPr>
            <w:r>
              <w:rPr>
                <w:rFonts w:hint="eastAsia"/>
              </w:rPr>
              <w:t xml:space="preserve">参加者の脱落</w:t>
            </w:r>
          </w:p>
        </w:tc>
        <w:tc>
          <w:tcPr/>
          <w:p>
            <w:pPr>
              <w:pStyle w:val="Compact"/>
              <w:jc w:val="center"/>
            </w:pPr>
            <w:r>
              <w:rPr>
                <w:rFonts w:hint="eastAsia"/>
              </w:rPr>
              <w:t xml:space="preserve">15%未満</w:t>
            </w:r>
          </w:p>
        </w:tc>
        <w:tc>
          <w:tcPr/>
          <w:p>
            <w:pPr>
              <w:pStyle w:val="Compact"/>
              <w:jc w:val="center"/>
            </w:pPr>
            <w:r>
              <w:rPr>
                <w:rFonts w:hint="eastAsia"/>
              </w:rPr>
              <w:t xml:space="preserve">高用量群18%、低用量群12%、プラセボ群10%</w:t>
            </w:r>
          </w:p>
        </w:tc>
        <w:tc>
          <w:tcPr/>
          <w:p>
            <w:pPr>
              <w:pStyle w:val="Compact"/>
              <w:jc w:val="left"/>
            </w:pPr>
            <w:r>
              <w:rPr>
                <w:rFonts w:hint="eastAsia"/>
              </w:rPr>
              <w:t xml:space="preserve">副作用と来院負担</w:t>
            </w:r>
          </w:p>
        </w:tc>
      </w:tr>
      <w:tr>
        <w:tc>
          <w:tcPr/>
          <w:p>
            <w:pPr>
              <w:pStyle w:val="Compact"/>
              <w:jc w:val="left"/>
            </w:pPr>
            <w:r>
              <w:rPr>
                <w:rFonts w:hint="eastAsia"/>
              </w:rPr>
              <w:t xml:space="preserve">現在の試験支出</w:t>
            </w:r>
          </w:p>
        </w:tc>
        <w:tc>
          <w:tcPr/>
          <w:p>
            <w:pPr>
              <w:pStyle w:val="Compact"/>
              <w:jc w:val="center"/>
            </w:pPr>
            <w:r>
              <w:rPr>
                <w:rFonts w:hint="eastAsia"/>
              </w:rPr>
              <w:t xml:space="preserve">総額4,200万ドル</w:t>
            </w:r>
          </w:p>
        </w:tc>
        <w:tc>
          <w:tcPr/>
          <w:p>
            <w:pPr>
              <w:pStyle w:val="Compact"/>
              <w:jc w:val="center"/>
            </w:pPr>
            <w:r>
              <w:rPr>
                <w:rFonts w:hint="eastAsia"/>
              </w:rPr>
              <w:t xml:space="preserve">3,460万ドル支出済み</w:t>
            </w:r>
          </w:p>
        </w:tc>
        <w:tc>
          <w:tcPr/>
          <w:p>
            <w:pPr>
              <w:pStyle w:val="Compact"/>
              <w:jc w:val="left"/>
            </w:pPr>
            <w:r>
              <w:rPr>
                <w:rFonts w:hint="eastAsia"/>
              </w:rPr>
              <w:t xml:space="preserve">追加モニタリングが必要</w:t>
            </w:r>
          </w:p>
        </w:tc>
      </w:tr>
    </w:tbl>
    <w:bookmarkEnd w:id="10"/>
    <w:bookmarkEnd w:id="11"/>
    <w:bookmarkStart w:id="13" w:name="crestlineが見つけられる患者たち"/>
    <w:p>
      <w:pPr>
        <w:pStyle w:val="Heading1"/>
      </w:pPr>
      <w:r>
        <w:rPr>
          <w:rFonts w:hint="eastAsia"/>
        </w:rPr>
        <w:t xml:space="preserve">Crestlineが見つけられる患者たち</w:t>
      </w:r>
    </w:p>
    <w:p>
      <w:pPr>
        <w:pStyle w:val="FirstParagraph"/>
      </w:pPr>
      <w:r>
        <w:rPr>
          <w:rFonts w:hint="eastAsia"/>
        </w:rPr>
        <w:t xml:space="preserve">この疾患は米国内で推定185,000人の成人に影響を及ぼしていたが、研究の基準を満たす者はごくわずかだった。候補者には、記録された進行、安定した基礎治療、十分な肝機能・腎機能、他の試験への直近の参加がないことが求められた。多くの候補者は高齢であったり、専門医療センターから遠く離れて暮らしていたり、移動を家族に依存していたりした。プロトコルは32週間にわたり、11回の対面来院、繰り返しの血液検査、画像診断、6分間歩行評価を要求していた。</w:t>
      </w:r>
    </w:p>
    <w:p>
      <w:pPr>
        <w:pStyle w:val="BodyText"/>
      </w:pPr>
      <w:r>
        <w:rPr>
          <w:rFonts w:hint="eastAsia"/>
        </w:rPr>
        <w:t xml:space="preserve">Crestlineは当初、疾患を理解し複雑な患者を管理できる医師がいるという理由で、有力な大学病院を選んでいた。しかし、これらのセンターには競合する研究があり、契約手続きが長く、コーディネーターの対応能力も限られていた。7つの施設は患者を2人未満しか登録できていなかった。3つの地域呼吸器診療所は迅速に登録できたが、より多くのプロトコル逸脱を生み出した。あるモバイル研究ベンダーは自宅での採血と遠隔症状モニタリングを提案したが、規制当局は改訂された運用計画をまだ審査しておらず、複数の治験責任医師が分散型評価が病院での測定と比較可能かどうかを疑問視していた。</w:t>
      </w:r>
    </w:p>
    <w:bookmarkStart w:id="12" w:name="図表2.-施設タイプ別の登録実績"/>
    <w:p>
      <w:pPr>
        <w:pStyle w:val="Heading2"/>
      </w:pPr>
      <w:r>
        <w:rPr>
          <w:rFonts w:hint="eastAsia"/>
        </w:rPr>
        <w:t xml:space="preserve">図表2.</w:t>
      </w:r>
      <w:r>
        <w:t xml:space="preserve"> </w:t>
      </w:r>
      <w:r>
        <w:rPr>
          <w:rFonts w:hint="eastAsia"/>
        </w:rPr>
        <w:t xml:space="preserve">施設タイプ別の登録実績</w:t>
      </w:r>
    </w:p>
    <w:tbl>
      <w:tblPr>
        <w:tblStyle w:val="Table"/>
        <w:tblW w:type="pct" w:w="4933"/>
        <w:tblLayout w:type="fixed"/>
        <w:tblLook w:firstRow="1" w:lastRow="0" w:firstColumn="0" w:lastColumn="0" w:noHBand="0" w:noVBand="0" w:val="0020"/>
      </w:tblPr>
      <w:tblGrid>
        <w:gridCol w:w="1689"/>
        <w:gridCol w:w="686"/>
        <w:gridCol w:w="1161"/>
        <w:gridCol w:w="897"/>
        <w:gridCol w:w="1267"/>
        <w:gridCol w:w="2112"/>
      </w:tblGrid>
      <w:tr>
        <w:trPr>
          <w:tblHeader w:val="on"/>
        </w:trPr>
        <w:tc>
          <w:tcPr/>
          <w:p>
            <w:pPr>
              <w:pStyle w:val="Compact"/>
              <w:jc w:val="left"/>
            </w:pPr>
            <w:r>
              <w:rPr>
                <w:rFonts w:hint="eastAsia"/>
              </w:rPr>
              <w:t xml:space="preserve">施設タイプ</w:t>
            </w:r>
          </w:p>
        </w:tc>
        <w:tc>
          <w:tcPr/>
          <w:p>
            <w:pPr>
              <w:pStyle w:val="Compact"/>
              <w:jc w:val="center"/>
            </w:pPr>
            <w:r>
              <w:rPr>
                <w:rFonts w:hint="eastAsia"/>
              </w:rPr>
              <w:t xml:space="preserve">開設施設数</w:t>
            </w:r>
          </w:p>
        </w:tc>
        <w:tc>
          <w:tcPr/>
          <w:p>
            <w:pPr>
              <w:pStyle w:val="Compact"/>
              <w:jc w:val="center"/>
            </w:pPr>
            <w:r>
              <w:rPr>
                <w:rFonts w:hint="eastAsia"/>
              </w:rPr>
              <w:t xml:space="preserve">無作為化患者数</w:t>
            </w:r>
          </w:p>
        </w:tc>
        <w:tc>
          <w:tcPr/>
          <w:p>
            <w:pPr>
              <w:pStyle w:val="Compact"/>
              <w:jc w:val="right"/>
            </w:pPr>
            <w:r>
              <w:rPr>
                <w:rFonts w:hint="eastAsia"/>
              </w:rPr>
              <w:t xml:space="preserve">スクリーニング失</w:t>
            </w:r>
          </w:p>
        </w:tc>
        <w:tc>
          <w:tcPr/>
          <w:p>
            <w:pPr>
              <w:pStyle w:val="Compact"/>
            </w:pPr>
            <w:r>
              <w:rPr>
                <w:rFonts w:hint="eastAsia"/>
              </w:rPr>
              <w:t xml:space="preserve">敗率</w:t>
            </w:r>
            <w:r>
              <w:t xml:space="preserve"> </w:t>
            </w:r>
            <w:r>
              <w:rPr>
                <w:rFonts w:hint="eastAsia"/>
              </w:rPr>
              <w:t xml:space="preserve">施設あたり月間コス</w:t>
            </w:r>
          </w:p>
        </w:tc>
        <w:tc>
          <w:tcPr/>
          <w:p>
            <w:pPr>
              <w:pStyle w:val="Compact"/>
              <w:jc w:val="left"/>
            </w:pPr>
            <w:r>
              <w:t xml:space="preserve">ト </w:t>
            </w:r>
            <w:r>
              <w:rPr>
                <w:rFonts w:hint="eastAsia"/>
              </w:rPr>
              <w:t xml:space="preserve">観察された問題</w:t>
            </w:r>
          </w:p>
        </w:tc>
      </w:tr>
      <w:tr>
        <w:tc>
          <w:tcPr/>
          <w:p>
            <w:pPr>
              <w:pStyle w:val="Compact"/>
              <w:jc w:val="left"/>
            </w:pPr>
            <w:r>
              <w:rPr>
                <w:rFonts w:hint="eastAsia"/>
              </w:rPr>
              <w:t xml:space="preserve">大学医療センター</w:t>
            </w:r>
          </w:p>
        </w:tc>
        <w:tc>
          <w:tcPr/>
          <w:p>
            <w:pPr>
              <w:pStyle w:val="Compact"/>
              <w:jc w:val="center"/>
            </w:pPr>
            <w:r>
              <w:t xml:space="preserve">16</w:t>
            </w:r>
          </w:p>
        </w:tc>
        <w:tc>
          <w:tcPr/>
          <w:p>
            <w:pPr>
              <w:pStyle w:val="Compact"/>
              <w:jc w:val="center"/>
            </w:pPr>
            <w:r>
              <w:t xml:space="preserve">91</w:t>
            </w:r>
          </w:p>
        </w:tc>
        <w:tc>
          <w:tcPr/>
          <w:p>
            <w:pPr>
              <w:pStyle w:val="Compact"/>
              <w:jc w:val="right"/>
            </w:pPr>
            <w:r>
              <w:t xml:space="preserve">48%</w:t>
            </w:r>
          </w:p>
        </w:tc>
        <w:tc>
          <w:tcPr/>
          <w:p>
            <w:pPr>
              <w:pStyle w:val="Compact"/>
            </w:pPr>
            <w:r>
              <w:t xml:space="preserve">68,000ドル</w:t>
            </w:r>
          </w:p>
        </w:tc>
        <w:tc>
          <w:tcPr/>
          <w:p>
            <w:pPr>
              <w:pStyle w:val="Compact"/>
              <w:jc w:val="left"/>
            </w:pPr>
            <w:r>
              <w:rPr>
                <w:rFonts w:hint="eastAsia"/>
              </w:rPr>
              <w:t xml:space="preserve">契約が遅い、データ品質は高い</w:t>
            </w:r>
          </w:p>
        </w:tc>
      </w:tr>
      <w:tr>
        <w:tc>
          <w:tcPr/>
          <w:p>
            <w:pPr>
              <w:pStyle w:val="Compact"/>
              <w:jc w:val="left"/>
            </w:pPr>
            <w:r>
              <w:rPr>
                <w:rFonts w:hint="eastAsia"/>
              </w:rPr>
              <w:t xml:space="preserve">地域病院</w:t>
            </w:r>
          </w:p>
        </w:tc>
        <w:tc>
          <w:tcPr/>
          <w:p>
            <w:pPr>
              <w:pStyle w:val="Compact"/>
              <w:jc w:val="center"/>
            </w:pPr>
            <w:r>
              <w:t xml:space="preserve">8</w:t>
            </w:r>
          </w:p>
        </w:tc>
        <w:tc>
          <w:tcPr/>
          <w:p>
            <w:pPr>
              <w:pStyle w:val="Compact"/>
              <w:jc w:val="center"/>
            </w:pPr>
            <w:r>
              <w:t xml:space="preserve">38</w:t>
            </w:r>
          </w:p>
        </w:tc>
        <w:tc>
          <w:tcPr/>
          <w:p>
            <w:pPr>
              <w:pStyle w:val="Compact"/>
              <w:jc w:val="right"/>
            </w:pPr>
            <w:r>
              <w:t xml:space="preserve">42%</w:t>
            </w:r>
          </w:p>
        </w:tc>
        <w:tc>
          <w:tcPr/>
          <w:p>
            <w:pPr>
              <w:pStyle w:val="Compact"/>
            </w:pPr>
            <w:r>
              <w:t xml:space="preserve">47,000ドル</w:t>
            </w:r>
          </w:p>
        </w:tc>
        <w:tc>
          <w:tcPr/>
          <w:p>
            <w:pPr>
              <w:pStyle w:val="Compact"/>
              <w:jc w:val="left"/>
            </w:pPr>
            <w:r>
              <w:rPr>
                <w:rFonts w:hint="eastAsia"/>
              </w:rPr>
              <w:t xml:space="preserve">治験責任医師の関与にばらつき</w:t>
            </w:r>
          </w:p>
        </w:tc>
      </w:tr>
      <w:tr>
        <w:tc>
          <w:tcPr/>
          <w:p>
            <w:pPr>
              <w:pStyle w:val="Compact"/>
              <w:jc w:val="left"/>
            </w:pPr>
            <w:r>
              <w:rPr>
                <w:rFonts w:hint="eastAsia"/>
              </w:rPr>
              <w:t xml:space="preserve">地域呼吸器診療所</w:t>
            </w:r>
          </w:p>
        </w:tc>
        <w:tc>
          <w:tcPr/>
          <w:p>
            <w:pPr>
              <w:pStyle w:val="Compact"/>
              <w:jc w:val="center"/>
            </w:pPr>
            <w:r>
              <w:t xml:space="preserve">5</w:t>
            </w:r>
          </w:p>
        </w:tc>
        <w:tc>
          <w:tcPr/>
          <w:p>
            <w:pPr>
              <w:pStyle w:val="Compact"/>
              <w:jc w:val="center"/>
            </w:pPr>
            <w:r>
              <w:t xml:space="preserve">29</w:t>
            </w:r>
          </w:p>
        </w:tc>
        <w:tc>
          <w:tcPr/>
          <w:p>
            <w:pPr>
              <w:pStyle w:val="Compact"/>
              <w:jc w:val="right"/>
            </w:pPr>
            <w:r>
              <w:t xml:space="preserve">31%</w:t>
            </w:r>
          </w:p>
        </w:tc>
        <w:tc>
          <w:tcPr/>
          <w:p>
            <w:pPr>
              <w:pStyle w:val="Compact"/>
            </w:pPr>
            <w:r>
              <w:t xml:space="preserve">34,000ドル</w:t>
            </w:r>
          </w:p>
        </w:tc>
        <w:tc>
          <w:tcPr/>
          <w:p>
            <w:pPr>
              <w:pStyle w:val="Compact"/>
              <w:jc w:val="left"/>
            </w:pPr>
            <w:r>
              <w:rPr>
                <w:rFonts w:hint="eastAsia"/>
              </w:rPr>
              <w:t xml:space="preserve">登録は速いが逸脱が多い</w:t>
            </w:r>
          </w:p>
        </w:tc>
      </w:tr>
      <w:tr>
        <w:tc>
          <w:tcPr/>
          <w:p>
            <w:pPr>
              <w:pStyle w:val="Compact"/>
              <w:jc w:val="left"/>
            </w:pPr>
            <w:r>
              <w:rPr>
                <w:rFonts w:hint="eastAsia"/>
              </w:rPr>
              <w:t xml:space="preserve">専門研究クリニック</w:t>
            </w:r>
          </w:p>
        </w:tc>
        <w:tc>
          <w:tcPr/>
          <w:p>
            <w:pPr>
              <w:pStyle w:val="Compact"/>
              <w:jc w:val="center"/>
            </w:pPr>
            <w:r>
              <w:t xml:space="preserve">3</w:t>
            </w:r>
          </w:p>
        </w:tc>
        <w:tc>
          <w:tcPr/>
          <w:p>
            <w:pPr>
              <w:pStyle w:val="Compact"/>
              <w:jc w:val="center"/>
            </w:pPr>
            <w:r>
              <w:t xml:space="preserve">6</w:t>
            </w:r>
          </w:p>
        </w:tc>
        <w:tc>
          <w:tcPr/>
          <w:p>
            <w:pPr>
              <w:pStyle w:val="Compact"/>
              <w:jc w:val="right"/>
            </w:pPr>
            <w:r>
              <w:t xml:space="preserve">55%</w:t>
            </w:r>
          </w:p>
        </w:tc>
        <w:tc>
          <w:tcPr/>
          <w:p>
            <w:pPr>
              <w:pStyle w:val="Compact"/>
            </w:pPr>
            <w:r>
              <w:t xml:space="preserve">51,000ドル</w:t>
            </w:r>
          </w:p>
        </w:tc>
        <w:tc>
          <w:tcPr/>
          <w:p>
            <w:pPr>
              <w:pStyle w:val="Compact"/>
              <w:jc w:val="left"/>
            </w:pPr>
            <w:r>
              <w:rPr>
                <w:rFonts w:hint="eastAsia"/>
              </w:rPr>
              <w:t xml:space="preserve">紹介ネットワークが弱い</w:t>
            </w:r>
          </w:p>
        </w:tc>
      </w:tr>
    </w:tbl>
    <w:p>
      <w:pPr>
        <w:pStyle w:val="BodyText"/>
      </w:pPr>
      <w:r>
        <w:rPr>
          <w:rFonts w:hint="eastAsia"/>
        </w:rPr>
        <w:t xml:space="preserve">商業チームは、大都市圏の小売立地に12の専門クリニックを開設し、ソーシャルメディアや疾患啓発団体を通じて患者に直接広告することを提案した。臨床チームは、積極的な患者募集が大量の不適格候補者を生み出し、重篤な患者の間で期待を高め、承認前に薬剤をマーケティングしているかのような印象を与える可能性があることを懸念した。患者擁護団体は、移動費の払い戻し、夕方の予約、翻訳資料、訪問診療の方が、広告だけよりもアクセスを広げるのに効果的だと主張した。</w:t>
      </w:r>
    </w:p>
    <w:bookmarkEnd w:id="12"/>
    <w:bookmarkEnd w:id="13"/>
    <w:bookmarkStart w:id="15" w:name="中間結果が意味すること"/>
    <w:p>
      <w:pPr>
        <w:pStyle w:val="Heading1"/>
      </w:pPr>
      <w:r>
        <w:rPr>
          <w:rFonts w:hint="eastAsia"/>
        </w:rPr>
        <w:t xml:space="preserve">中間結果が意味すること</w:t>
      </w:r>
    </w:p>
    <w:p>
      <w:pPr>
        <w:pStyle w:val="FirstParagraph"/>
      </w:pPr>
      <w:r>
        <w:rPr>
          <w:rFonts w:hint="eastAsia"/>
        </w:rPr>
        <w:t xml:space="preserve">試験統計担当者は3つの解釈を提示した。第一は、CLN-47は集団全体でおそらく緩やかな効果を生んでいるが、試験には偶然との明確な区別をするには参加者が少なすぎるというものだった。第二は、治療がバイオマーカー陽性患者において主に効果を発揮するというものだった。第三は、サブグループの結果はデータを見た後に多くの患者特性を検証したことによって生じた人為的な産物であるというものだった。</w:t>
      </w:r>
    </w:p>
    <w:p>
      <w:pPr>
        <w:pStyle w:val="BodyText"/>
      </w:pPr>
      <w:r>
        <w:rPr>
          <w:rFonts w:hint="eastAsia"/>
        </w:rPr>
        <w:t xml:space="preserve">それぞれの解釈は異なる次のステップを示唆していた。当初のプロトコルを完了させることはプロトコルを維持するが、より多くの患者と、おそらく追加で9か月を必要とする。バイオマーカー陽性群を拡大すれば、より大きな効果についてより早く証拠を得られる可能性があるが、統計分析を変更しアッセイを検証する必要がある。高用量を減らすことで安全性の懸念に対処できるかもしれないが、有効性が弱まる可能性がある。Crestlineはまた、研究を中止し、4か月後にフェーズIの結果が出る別の化合物のために資本を温存することもできた。</w:t>
      </w:r>
    </w:p>
    <w:bookmarkStart w:id="14" w:name="図表3.-取締役会向けに準備された開発の選択肢"/>
    <w:p>
      <w:pPr>
        <w:pStyle w:val="Heading2"/>
      </w:pPr>
      <w:r>
        <w:rPr>
          <w:rFonts w:hint="eastAsia"/>
        </w:rPr>
        <w:t xml:space="preserve">図表3.</w:t>
      </w:r>
      <w:r>
        <w:t xml:space="preserve"> </w:t>
      </w:r>
      <w:r>
        <w:rPr>
          <w:rFonts w:hint="eastAsia"/>
        </w:rPr>
        <w:t xml:space="preserve">取締役会向けに準備された開発の選択肢</w:t>
      </w:r>
    </w:p>
    <w:tbl>
      <w:tblPr>
        <w:tblStyle w:val="Table"/>
        <w:tblW w:type="pct" w:w="4940"/>
        <w:tblLayout w:type="fixed"/>
        <w:tblLook w:firstRow="1" w:lastRow="0" w:firstColumn="0" w:lastColumn="0" w:noHBand="0" w:noVBand="0" w:val="0020"/>
      </w:tblPr>
      <w:tblGrid>
        <w:gridCol w:w="1838"/>
        <w:gridCol w:w="2027"/>
        <w:gridCol w:w="801"/>
        <w:gridCol w:w="848"/>
        <w:gridCol w:w="2310"/>
      </w:tblGrid>
      <w:tr>
        <w:trPr>
          <w:tblHeader w:val="on"/>
        </w:trPr>
        <w:tc>
          <w:tcPr/>
          <w:p>
            <w:pPr>
              <w:pStyle w:val="Compact"/>
              <w:jc w:val="left"/>
            </w:pPr>
            <w:r>
              <w:rPr>
                <w:rFonts w:hint="eastAsia"/>
              </w:rPr>
              <w:t xml:space="preserve">選択肢</w:t>
            </w:r>
          </w:p>
        </w:tc>
        <w:tc>
          <w:tcPr/>
          <w:p>
            <w:pPr>
              <w:pStyle w:val="Compact"/>
              <w:jc w:val="center"/>
            </w:pPr>
            <w:r>
              <w:rPr>
                <w:rFonts w:hint="eastAsia"/>
              </w:rPr>
              <w:t xml:space="preserve">追加コスト</w:t>
            </w:r>
          </w:p>
        </w:tc>
        <w:tc>
          <w:tcPr/>
          <w:p>
            <w:pPr>
              <w:pStyle w:val="Compact"/>
              <w:jc w:val="center"/>
            </w:pPr>
            <w:r>
              <w:rPr>
                <w:rFonts w:hint="eastAsia"/>
              </w:rPr>
              <w:t xml:space="preserve">推定期間</w:t>
            </w:r>
          </w:p>
        </w:tc>
        <w:tc>
          <w:tcPr/>
          <w:p>
            <w:pPr>
              <w:pStyle w:val="Compact"/>
              <w:jc w:val="center"/>
            </w:pPr>
            <w:r>
              <w:rPr>
                <w:rFonts w:hint="eastAsia"/>
              </w:rPr>
              <w:t xml:space="preserve">必要患者数</w:t>
            </w:r>
          </w:p>
        </w:tc>
        <w:tc>
          <w:tcPr/>
          <w:p>
            <w:pPr>
              <w:pStyle w:val="Compact"/>
              <w:jc w:val="center"/>
            </w:pPr>
            <w:r>
              <w:rPr>
                <w:rFonts w:hint="eastAsia"/>
              </w:rPr>
              <w:t xml:space="preserve">主要なリスク</w:t>
            </w:r>
          </w:p>
        </w:tc>
      </w:tr>
      <w:tr>
        <w:tc>
          <w:tcPr/>
          <w:p>
            <w:pPr>
              <w:pStyle w:val="Compact"/>
              <w:jc w:val="left"/>
            </w:pPr>
            <w:r>
              <w:rPr>
                <w:rFonts w:hint="eastAsia"/>
              </w:rPr>
              <w:t xml:space="preserve">当初のフェーズIIを完了する</w:t>
            </w:r>
          </w:p>
        </w:tc>
        <w:tc>
          <w:tcPr/>
          <w:p>
            <w:pPr>
              <w:pStyle w:val="Compact"/>
              <w:jc w:val="center"/>
            </w:pPr>
            <w:r>
              <w:rPr>
                <w:rFonts w:hint="eastAsia"/>
              </w:rPr>
              <w:t xml:space="preserve">2,300万ドル</w:t>
            </w:r>
          </w:p>
        </w:tc>
        <w:tc>
          <w:tcPr/>
          <w:p>
            <w:pPr>
              <w:pStyle w:val="Compact"/>
              <w:jc w:val="center"/>
            </w:pPr>
            <w:r>
              <w:rPr>
                <w:rFonts w:hint="eastAsia"/>
              </w:rPr>
              <w:t xml:space="preserve">9〜12か月</w:t>
            </w:r>
          </w:p>
        </w:tc>
        <w:tc>
          <w:tcPr/>
          <w:p>
            <w:pPr>
              <w:pStyle w:val="Compact"/>
              <w:jc w:val="center"/>
            </w:pPr>
            <w:r>
              <w:t xml:space="preserve">76</w:t>
            </w:r>
          </w:p>
        </w:tc>
        <w:tc>
          <w:tcPr/>
          <w:p>
            <w:pPr>
              <w:pStyle w:val="Compact"/>
              <w:jc w:val="center"/>
            </w:pPr>
            <w:r>
              <w:rPr>
                <w:rFonts w:hint="eastAsia"/>
              </w:rPr>
              <w:t xml:space="preserve">曖昧な平均効果が持続する可能性</w:t>
            </w:r>
          </w:p>
        </w:tc>
      </w:tr>
      <w:tr>
        <w:tc>
          <w:tcPr/>
          <w:p>
            <w:pPr>
              <w:pStyle w:val="Compact"/>
              <w:jc w:val="left"/>
            </w:pPr>
            <w:r>
              <w:rPr>
                <w:rFonts w:hint="eastAsia"/>
              </w:rPr>
              <w:t xml:space="preserve">バイオマーカー陽性コホートへの拡大</w:t>
            </w:r>
          </w:p>
        </w:tc>
        <w:tc>
          <w:tcPr/>
          <w:p>
            <w:pPr>
              <w:pStyle w:val="Compact"/>
              <w:jc w:val="center"/>
            </w:pPr>
            <w:r>
              <w:rPr>
                <w:rFonts w:hint="eastAsia"/>
              </w:rPr>
              <w:t xml:space="preserve">3,800万ドル</w:t>
            </w:r>
          </w:p>
        </w:tc>
        <w:tc>
          <w:tcPr/>
          <w:p>
            <w:pPr>
              <w:pStyle w:val="Compact"/>
              <w:jc w:val="center"/>
            </w:pPr>
            <w:r>
              <w:rPr>
                <w:rFonts w:hint="eastAsia"/>
              </w:rPr>
              <w:t xml:space="preserve">12〜15か月</w:t>
            </w:r>
          </w:p>
        </w:tc>
        <w:tc>
          <w:tcPr/>
          <w:p>
            <w:pPr>
              <w:pStyle w:val="Compact"/>
              <w:jc w:val="center"/>
            </w:pPr>
            <w:r>
              <w:t xml:space="preserve">120</w:t>
            </w:r>
          </w:p>
        </w:tc>
        <w:tc>
          <w:tcPr/>
          <w:p>
            <w:pPr>
              <w:pStyle w:val="Compact"/>
              <w:jc w:val="center"/>
            </w:pPr>
            <w:r>
              <w:rPr>
                <w:rFonts w:hint="eastAsia"/>
              </w:rPr>
              <w:t xml:space="preserve">アッセイとサブグループが受け入れられない可能性</w:t>
            </w:r>
          </w:p>
        </w:tc>
      </w:tr>
      <w:tr>
        <w:tc>
          <w:tcPr/>
          <w:p>
            <w:pPr>
              <w:pStyle w:val="Compact"/>
              <w:jc w:val="left"/>
            </w:pPr>
            <w:r>
              <w:rPr>
                <w:rFonts w:hint="eastAsia"/>
              </w:rPr>
              <w:t xml:space="preserve">用量とモニタリングの再設計</w:t>
            </w:r>
          </w:p>
        </w:tc>
        <w:tc>
          <w:tcPr/>
          <w:p>
            <w:pPr>
              <w:pStyle w:val="Compact"/>
              <w:jc w:val="center"/>
            </w:pPr>
            <w:r>
              <w:rPr>
                <w:rFonts w:hint="eastAsia"/>
              </w:rPr>
              <w:t xml:space="preserve">4,600万ドル</w:t>
            </w:r>
          </w:p>
        </w:tc>
        <w:tc>
          <w:tcPr/>
          <w:p>
            <w:pPr>
              <w:pStyle w:val="Compact"/>
              <w:jc w:val="center"/>
            </w:pPr>
            <w:r>
              <w:rPr>
                <w:rFonts w:hint="eastAsia"/>
              </w:rPr>
              <w:t xml:space="preserve">15〜18か月</w:t>
            </w:r>
          </w:p>
        </w:tc>
        <w:tc>
          <w:tcPr/>
          <w:p>
            <w:pPr>
              <w:pStyle w:val="Compact"/>
              <w:jc w:val="center"/>
            </w:pPr>
            <w:r>
              <w:t xml:space="preserve">150</w:t>
            </w:r>
          </w:p>
        </w:tc>
        <w:tc>
          <w:tcPr/>
          <w:p>
            <w:pPr>
              <w:pStyle w:val="Compact"/>
              <w:jc w:val="center"/>
            </w:pPr>
            <w:r>
              <w:rPr>
                <w:rFonts w:hint="eastAsia"/>
              </w:rPr>
              <w:t xml:space="preserve">低用量では有効性が失われる可能性</w:t>
            </w:r>
          </w:p>
        </w:tc>
      </w:tr>
      <w:tr>
        <w:tc>
          <w:tcPr/>
          <w:p>
            <w:pPr>
              <w:pStyle w:val="Compact"/>
              <w:jc w:val="left"/>
            </w:pPr>
            <w:r>
              <w:rPr>
                <w:rFonts w:hint="eastAsia"/>
              </w:rPr>
              <w:t xml:space="preserve">フェーズIII計画を今すぐ開始する</w:t>
            </w:r>
            <w:r>
              <w:t xml:space="preserve"> </w:t>
            </w:r>
            <w:r>
              <w:rPr>
                <w:rFonts w:hint="eastAsia"/>
              </w:rPr>
              <w:t xml:space="preserve">主</w:t>
            </w:r>
          </w:p>
        </w:tc>
        <w:tc>
          <w:tcPr/>
          <w:p>
            <w:pPr>
              <w:pStyle w:val="Compact"/>
              <w:jc w:val="center"/>
            </w:pPr>
            <w:r>
              <w:rPr>
                <w:rFonts w:hint="eastAsia"/>
              </w:rPr>
              <w:t xml:space="preserve">要な最初の結果判明前に1億1,800万ドル</w:t>
            </w:r>
            <w:r>
              <w:t xml:space="preserve"> 3</w:t>
            </w:r>
          </w:p>
        </w:tc>
        <w:tc>
          <w:tcPr/>
          <w:p>
            <w:pPr>
              <w:pStyle w:val="Compact"/>
              <w:jc w:val="center"/>
            </w:pPr>
            <w:r>
              <w:rPr>
                <w:rFonts w:hint="eastAsia"/>
              </w:rPr>
              <w:t xml:space="preserve">0〜36か月</w:t>
            </w:r>
          </w:p>
        </w:tc>
        <w:tc>
          <w:tcPr/>
          <w:p>
            <w:pPr>
              <w:pStyle w:val="Compact"/>
              <w:jc w:val="center"/>
            </w:pPr>
            <w:r>
              <w:t xml:space="preserve">780</w:t>
            </w:r>
          </w:p>
        </w:tc>
        <w:tc>
          <w:tcPr/>
          <w:p>
            <w:pPr>
              <w:pStyle w:val="Compact"/>
              <w:jc w:val="center"/>
            </w:pPr>
            <w:r>
              <w:rPr>
                <w:rFonts w:hint="eastAsia"/>
              </w:rPr>
              <w:t xml:space="preserve">不確実性が解消される前に資本を投じることになる</w:t>
            </w:r>
          </w:p>
        </w:tc>
      </w:tr>
      <w:tr>
        <w:tc>
          <w:tcPr/>
          <w:p>
            <w:pPr>
              <w:pStyle w:val="Compact"/>
              <w:jc w:val="left"/>
            </w:pPr>
            <w:r>
              <w:rPr>
                <w:rFonts w:hint="eastAsia"/>
              </w:rPr>
              <w:t xml:space="preserve">CLN-47を一時停止し、他プログラムを待つ</w:t>
            </w:r>
          </w:p>
        </w:tc>
        <w:tc>
          <w:tcPr/>
          <w:p>
            <w:pPr>
              <w:pStyle w:val="Compact"/>
              <w:jc w:val="center"/>
            </w:pPr>
            <w:r>
              <w:rPr>
                <w:rFonts w:hint="eastAsia"/>
              </w:rPr>
              <w:t xml:space="preserve">撤退・保全に600万ドル</w:t>
            </w:r>
          </w:p>
        </w:tc>
        <w:tc>
          <w:tcPr/>
          <w:p>
            <w:pPr>
              <w:pStyle w:val="Compact"/>
              <w:jc w:val="center"/>
            </w:pPr>
            <w:r>
              <w:rPr>
                <w:rFonts w:hint="eastAsia"/>
              </w:rPr>
              <w:t xml:space="preserve">4〜6か月</w:t>
            </w:r>
          </w:p>
        </w:tc>
        <w:tc>
          <w:tcPr/>
          <w:p>
            <w:pPr>
              <w:pStyle w:val="Compact"/>
              <w:jc w:val="center"/>
            </w:pPr>
            <w:r>
              <w:rPr>
                <w:rFonts w:hint="eastAsia"/>
              </w:rPr>
              <w:t xml:space="preserve">新規0</w:t>
            </w:r>
          </w:p>
        </w:tc>
        <w:tc>
          <w:tcPr/>
          <w:p>
            <w:pPr>
              <w:pStyle w:val="Compact"/>
              <w:jc w:val="center"/>
            </w:pPr>
            <w:r>
              <w:rPr>
                <w:rFonts w:hint="eastAsia"/>
              </w:rPr>
              <w:t xml:space="preserve">施設や投資家の信頼を失う可能性</w:t>
            </w:r>
          </w:p>
        </w:tc>
      </w:tr>
      <w:tr>
        <w:tc>
          <w:tcPr/>
          <w:p>
            <w:pPr>
              <w:pStyle w:val="Compact"/>
              <w:jc w:val="left"/>
            </w:pPr>
            <w:r>
              <w:rPr>
                <w:rFonts w:hint="eastAsia"/>
              </w:rPr>
              <w:t xml:space="preserve">CLN-47を中止する</w:t>
            </w:r>
          </w:p>
        </w:tc>
        <w:tc>
          <w:tcPr/>
          <w:p>
            <w:pPr>
              <w:pStyle w:val="Compact"/>
              <w:jc w:val="center"/>
            </w:pPr>
            <w:r>
              <w:rPr>
                <w:rFonts w:hint="eastAsia"/>
              </w:rPr>
              <w:t xml:space="preserve">閉鎖に300万ドル</w:t>
            </w:r>
          </w:p>
        </w:tc>
        <w:tc>
          <w:tcPr/>
          <w:p>
            <w:pPr>
              <w:pStyle w:val="Compact"/>
              <w:jc w:val="center"/>
            </w:pPr>
            <w:r>
              <w:rPr>
                <w:rFonts w:hint="eastAsia"/>
              </w:rPr>
              <w:t xml:space="preserve">3か月</w:t>
            </w:r>
          </w:p>
        </w:tc>
        <w:tc>
          <w:tcPr/>
          <w:p>
            <w:pPr>
              <w:pStyle w:val="Compact"/>
              <w:jc w:val="center"/>
            </w:pPr>
            <w:r>
              <w:rPr>
                <w:rFonts w:hint="eastAsia"/>
              </w:rPr>
              <w:t xml:space="preserve">新規0</w:t>
            </w:r>
          </w:p>
        </w:tc>
        <w:tc>
          <w:tcPr/>
          <w:p>
            <w:pPr>
              <w:pStyle w:val="Compact"/>
              <w:jc w:val="center"/>
            </w:pPr>
            <w:r>
              <w:rPr>
                <w:rFonts w:hint="eastAsia"/>
              </w:rPr>
              <w:t xml:space="preserve">潜在的に価値ある治療が放棄される</w:t>
            </w:r>
          </w:p>
        </w:tc>
      </w:tr>
    </w:tbl>
    <w:bookmarkEnd w:id="14"/>
    <w:bookmarkEnd w:id="15"/>
    <w:bookmarkStart w:id="17" w:name="規制および製造上の課題"/>
    <w:p>
      <w:pPr>
        <w:pStyle w:val="Heading1"/>
      </w:pPr>
      <w:r>
        <w:rPr>
          <w:rFonts w:hint="eastAsia"/>
        </w:rPr>
        <w:t xml:space="preserve">規制および製造上の課題</w:t>
      </w:r>
    </w:p>
    <w:p>
      <w:pPr>
        <w:pStyle w:val="FirstParagraph"/>
      </w:pPr>
      <w:r>
        <w:rPr>
          <w:rFonts w:hint="eastAsia"/>
        </w:rPr>
        <w:t xml:space="preserve">Crestlineの規制顧問は、当局が肝機能シグナル、肺機能変化の臨床的重要性、バイオマーカーの信頼性に注目するだろうと予想していた。正式な会合によって当局の期待を明確にできるかもしれないが、説明資料の準備には10週間かかり、当局の回答が意見の相違を解決しない可能性もあった。規制当局は、より大規模な安全性データベース、より長い追跡調査、異なる評価項目、または追加の用量群を要求する可能性があった。</w:t>
      </w:r>
    </w:p>
    <w:p>
      <w:pPr>
        <w:pStyle w:val="BodyText"/>
      </w:pPr>
      <w:r>
        <w:rPr>
          <w:rFonts w:hint="eastAsia"/>
        </w:rPr>
        <w:t xml:space="preserve">製造面ではさらなる不確実性が加わった。現行の製剤は冷蔵配送を必要とし、保存期間は9か月だった。ある受託製造業者はフェーズII試験を完了するのに十分な材料を製造していたが、フェーズIIIプログラムには60日以内に製造ラインを確保する必要があった。その予約保証金は1,400万ドルで返金不可だった。第二の製造業者はより低い単位コストを提示したが、プロセス検証作業をやり直す必要があった。技術者たちは室温安定製剤もテストしていたが、ピボタル試験開始までに準備が整わない可能性があった。</w:t>
      </w:r>
    </w:p>
    <w:bookmarkStart w:id="16" w:name="図表4.-例示的な商業上の前提"/>
    <w:p>
      <w:pPr>
        <w:pStyle w:val="Heading2"/>
      </w:pPr>
      <w:r>
        <w:rPr>
          <w:rFonts w:hint="eastAsia"/>
        </w:rPr>
        <w:t xml:space="preserve">図表4.</w:t>
      </w:r>
      <w:r>
        <w:t xml:space="preserve"> </w:t>
      </w:r>
      <w:r>
        <w:rPr>
          <w:rFonts w:hint="eastAsia"/>
        </w:rPr>
        <w:t xml:space="preserve">例示的な商業上の前提</w:t>
      </w:r>
    </w:p>
    <w:tbl>
      <w:tblPr>
        <w:tblStyle w:val="Table"/>
        <w:tblW w:type="pct" w:w="4928"/>
        <w:tblLayout w:type="fixed"/>
        <w:tblLook w:firstRow="1" w:lastRow="0" w:firstColumn="0" w:lastColumn="0" w:noHBand="0" w:noVBand="0" w:val="0020"/>
      </w:tblPr>
      <w:tblGrid>
        <w:gridCol w:w="2525"/>
        <w:gridCol w:w="1262"/>
        <w:gridCol w:w="1606"/>
        <w:gridCol w:w="2410"/>
      </w:tblGrid>
      <w:tr>
        <w:trPr>
          <w:tblHeader w:val="on"/>
        </w:trPr>
        <w:tc>
          <w:tcPr/>
          <w:p>
            <w:pPr>
              <w:pStyle w:val="Compact"/>
              <w:jc w:val="left"/>
            </w:pPr>
            <w:r>
              <w:rPr>
                <w:rFonts w:hint="eastAsia"/>
              </w:rPr>
              <w:t xml:space="preserve">前提</w:t>
            </w:r>
          </w:p>
        </w:tc>
        <w:tc>
          <w:tcPr/>
          <w:p>
            <w:pPr>
              <w:pStyle w:val="Compact"/>
              <w:jc w:val="center"/>
            </w:pPr>
            <w:r>
              <w:rPr>
                <w:rFonts w:hint="eastAsia"/>
              </w:rPr>
              <w:t xml:space="preserve">広範な適応の製品</w:t>
            </w:r>
          </w:p>
        </w:tc>
        <w:tc>
          <w:tcPr/>
          <w:p>
            <w:pPr>
              <w:pStyle w:val="Compact"/>
              <w:jc w:val="center"/>
            </w:pPr>
            <w:r>
              <w:rPr>
                <w:rFonts w:hint="eastAsia"/>
              </w:rPr>
              <w:t xml:space="preserve">バイオマーカー限定製品</w:t>
            </w:r>
          </w:p>
        </w:tc>
        <w:tc>
          <w:tcPr/>
          <w:p>
            <w:pPr>
              <w:pStyle w:val="Compact"/>
              <w:jc w:val="center"/>
            </w:pPr>
            <w:r>
              <w:rPr>
                <w:rFonts w:hint="eastAsia"/>
              </w:rPr>
              <w:t xml:space="preserve">主要な不確実性</w:t>
            </w:r>
          </w:p>
        </w:tc>
      </w:tr>
      <w:tr>
        <w:tc>
          <w:tcPr/>
          <w:p>
            <w:pPr>
              <w:pStyle w:val="Compact"/>
              <w:jc w:val="left"/>
            </w:pPr>
            <w:r>
              <w:rPr>
                <w:rFonts w:hint="eastAsia"/>
              </w:rPr>
              <w:t xml:space="preserve">発売時点での対象米国患者数</w:t>
            </w:r>
          </w:p>
        </w:tc>
        <w:tc>
          <w:tcPr/>
          <w:p>
            <w:pPr>
              <w:pStyle w:val="Compact"/>
              <w:jc w:val="center"/>
            </w:pPr>
            <w:r>
              <w:t xml:space="preserve">78,000</w:t>
            </w:r>
          </w:p>
        </w:tc>
        <w:tc>
          <w:tcPr/>
          <w:p>
            <w:pPr>
              <w:pStyle w:val="Compact"/>
              <w:jc w:val="center"/>
            </w:pPr>
            <w:r>
              <w:t xml:space="preserve">29,000</w:t>
            </w:r>
          </w:p>
        </w:tc>
        <w:tc>
          <w:tcPr/>
          <w:p>
            <w:pPr>
              <w:pStyle w:val="Compact"/>
              <w:jc w:val="center"/>
            </w:pPr>
            <w:r>
              <w:rPr>
                <w:rFonts w:hint="eastAsia"/>
              </w:rPr>
              <w:t xml:space="preserve">診断、進行、適応表示</w:t>
            </w:r>
          </w:p>
        </w:tc>
      </w:tr>
      <w:tr>
        <w:tc>
          <w:tcPr/>
          <w:p>
            <w:pPr>
              <w:pStyle w:val="Compact"/>
              <w:jc w:val="left"/>
            </w:pPr>
            <w:r>
              <w:rPr>
                <w:rFonts w:hint="eastAsia"/>
              </w:rPr>
              <w:t xml:space="preserve">3年後の医師採用率</w:t>
            </w:r>
          </w:p>
        </w:tc>
        <w:tc>
          <w:tcPr/>
          <w:p>
            <w:pPr>
              <w:pStyle w:val="Compact"/>
              <w:jc w:val="center"/>
            </w:pPr>
            <w:r>
              <w:t xml:space="preserve">38%</w:t>
            </w:r>
          </w:p>
        </w:tc>
        <w:tc>
          <w:tcPr/>
          <w:p>
            <w:pPr>
              <w:pStyle w:val="Compact"/>
              <w:jc w:val="center"/>
            </w:pPr>
            <w:r>
              <w:t xml:space="preserve">55%</w:t>
            </w:r>
          </w:p>
        </w:tc>
        <w:tc>
          <w:tcPr/>
          <w:p>
            <w:pPr>
              <w:pStyle w:val="Compact"/>
              <w:jc w:val="center"/>
            </w:pPr>
            <w:r>
              <w:rPr>
                <w:rFonts w:hint="eastAsia"/>
              </w:rPr>
              <w:t xml:space="preserve">知覚される効果とモニタリング負担</w:t>
            </w:r>
          </w:p>
        </w:tc>
      </w:tr>
      <w:tr>
        <w:tc>
          <w:tcPr/>
          <w:p>
            <w:pPr>
              <w:pStyle w:val="Compact"/>
              <w:jc w:val="left"/>
            </w:pPr>
            <w:r>
              <w:rPr>
                <w:rFonts w:hint="eastAsia"/>
              </w:rPr>
              <w:t xml:space="preserve">治療患者1人あたりの年間純価格</w:t>
            </w:r>
          </w:p>
        </w:tc>
        <w:tc>
          <w:tcPr/>
          <w:p>
            <w:pPr>
              <w:pStyle w:val="Compact"/>
              <w:jc w:val="center"/>
            </w:pPr>
            <w:r>
              <w:t xml:space="preserve">48,000ドル</w:t>
            </w:r>
          </w:p>
        </w:tc>
        <w:tc>
          <w:tcPr/>
          <w:p>
            <w:pPr>
              <w:pStyle w:val="Compact"/>
              <w:jc w:val="center"/>
            </w:pPr>
            <w:r>
              <w:t xml:space="preserve">56,000ドル</w:t>
            </w:r>
          </w:p>
        </w:tc>
        <w:tc>
          <w:tcPr/>
          <w:p>
            <w:pPr>
              <w:pStyle w:val="Compact"/>
              <w:jc w:val="center"/>
            </w:pPr>
            <w:r>
              <w:rPr>
                <w:rFonts w:hint="eastAsia"/>
              </w:rPr>
              <w:t xml:space="preserve">支払者による制限と競争</w:t>
            </w:r>
          </w:p>
        </w:tc>
      </w:tr>
      <w:tr>
        <w:tc>
          <w:tcPr/>
          <w:p>
            <w:pPr>
              <w:pStyle w:val="Compact"/>
              <w:jc w:val="left"/>
            </w:pPr>
            <w:r>
              <w:rPr>
                <w:rFonts w:hint="eastAsia"/>
              </w:rPr>
              <w:t xml:space="preserve">年間製造・流通コスト</w:t>
            </w:r>
          </w:p>
        </w:tc>
        <w:tc>
          <w:tcPr/>
          <w:p>
            <w:pPr>
              <w:pStyle w:val="Compact"/>
              <w:jc w:val="center"/>
            </w:pPr>
            <w:r>
              <w:t xml:space="preserve">7,800ドル</w:t>
            </w:r>
          </w:p>
        </w:tc>
        <w:tc>
          <w:tcPr/>
          <w:p>
            <w:pPr>
              <w:pStyle w:val="Compact"/>
              <w:jc w:val="center"/>
            </w:pPr>
            <w:r>
              <w:t xml:space="preserve">8,600ドル</w:t>
            </w:r>
          </w:p>
        </w:tc>
        <w:tc>
          <w:tcPr/>
          <w:p>
            <w:pPr>
              <w:pStyle w:val="Compact"/>
              <w:jc w:val="center"/>
            </w:pPr>
            <w:r>
              <w:rPr>
                <w:rFonts w:hint="eastAsia"/>
              </w:rPr>
              <w:t xml:space="preserve">規模、冷蔵、廃棄</w:t>
            </w:r>
          </w:p>
        </w:tc>
      </w:tr>
      <w:tr>
        <w:tc>
          <w:tcPr/>
          <w:p>
            <w:pPr>
              <w:pStyle w:val="Compact"/>
              <w:jc w:val="left"/>
            </w:pPr>
            <w:r>
              <w:rPr>
                <w:rFonts w:hint="eastAsia"/>
              </w:rPr>
              <w:t xml:space="preserve">現在の決定から市場投入までの時間</w:t>
            </w:r>
          </w:p>
        </w:tc>
        <w:tc>
          <w:tcPr/>
          <w:p>
            <w:pPr>
              <w:pStyle w:val="Compact"/>
              <w:jc w:val="center"/>
            </w:pPr>
            <w:r>
              <w:rPr>
                <w:rFonts w:hint="eastAsia"/>
              </w:rPr>
              <w:t xml:space="preserve">4.5〜5.5年</w:t>
            </w:r>
          </w:p>
        </w:tc>
        <w:tc>
          <w:tcPr/>
          <w:p>
            <w:pPr>
              <w:pStyle w:val="Compact"/>
              <w:jc w:val="center"/>
            </w:pPr>
            <w:r>
              <w:rPr>
                <w:rFonts w:hint="eastAsia"/>
              </w:rPr>
              <w:t xml:space="preserve">4.0〜5.0年</w:t>
            </w:r>
          </w:p>
        </w:tc>
        <w:tc>
          <w:tcPr/>
          <w:p>
            <w:pPr>
              <w:pStyle w:val="Compact"/>
              <w:jc w:val="center"/>
            </w:pPr>
            <w:r>
              <w:rPr>
                <w:rFonts w:hint="eastAsia"/>
              </w:rPr>
              <w:t xml:space="preserve">試験結果と規制審査</w:t>
            </w:r>
          </w:p>
        </w:tc>
      </w:tr>
      <w:tr>
        <w:tc>
          <w:tcPr/>
          <w:p>
            <w:pPr>
              <w:pStyle w:val="Compact"/>
              <w:jc w:val="left"/>
            </w:pPr>
            <w:r>
              <w:rPr>
                <w:rFonts w:hint="eastAsia"/>
              </w:rPr>
              <w:t xml:space="preserve">発売時点での残存有効特許期間</w:t>
            </w:r>
          </w:p>
        </w:tc>
        <w:tc>
          <w:tcPr/>
          <w:p>
            <w:pPr>
              <w:pStyle w:val="Compact"/>
              <w:jc w:val="center"/>
            </w:pPr>
            <w:r>
              <w:rPr>
                <w:rFonts w:hint="eastAsia"/>
              </w:rPr>
              <w:t xml:space="preserve">7〜9年</w:t>
            </w:r>
          </w:p>
        </w:tc>
        <w:tc>
          <w:tcPr/>
          <w:p>
            <w:pPr>
              <w:pStyle w:val="Compact"/>
              <w:jc w:val="center"/>
            </w:pPr>
            <w:r>
              <w:rPr>
                <w:rFonts w:hint="eastAsia"/>
              </w:rPr>
              <w:t xml:space="preserve">8〜10年</w:t>
            </w:r>
          </w:p>
        </w:tc>
        <w:tc>
          <w:tcPr/>
          <w:p>
            <w:pPr>
              <w:pStyle w:val="Compact"/>
              <w:jc w:val="center"/>
            </w:pPr>
            <w:r>
              <w:rPr>
                <w:rFonts w:hint="eastAsia"/>
              </w:rPr>
              <w:t xml:space="preserve">遅延と特許異議申立</w:t>
            </w:r>
          </w:p>
        </w:tc>
      </w:tr>
    </w:tbl>
    <w:bookmarkEnd w:id="16"/>
    <w:bookmarkEnd w:id="17"/>
    <w:bookmarkStart w:id="19" w:name="資本の制約"/>
    <w:p>
      <w:pPr>
        <w:pStyle w:val="Heading1"/>
      </w:pPr>
      <w:r>
        <w:rPr>
          <w:rFonts w:hint="eastAsia"/>
        </w:rPr>
        <w:t xml:space="preserve">資本の制約</w:t>
      </w:r>
    </w:p>
    <w:p>
      <w:pPr>
        <w:pStyle w:val="FirstParagraph"/>
      </w:pPr>
      <w:r>
        <w:rPr>
          <w:rFonts w:hint="eastAsia"/>
        </w:rPr>
        <w:t xml:space="preserve">Crestlineは1億8,600万ドルの現金および有価証券を保有していた。CLN-47、第二の化合物、全社的な運営、および債務返済のための既存の約束は、今後18か月で約9,100万ドルを消費する見込みだった。新規株式発行による資金調達は可能だったが、登録遅延が開示された後、同社の株価は37パーセント下落していた。大手製薬会社とのパートナーシップは資本と試験管理の専門知識を提供する可能性があったが、潜在的なパートナーは中間データを確認したがっており、今後の開発と価格設定の支配権を要求する可能性があった。</w:t>
      </w:r>
    </w:p>
    <w:p>
      <w:pPr>
        <w:pStyle w:val="BodyText"/>
      </w:pPr>
      <w:r>
        <w:rPr>
          <w:rFonts w:hint="eastAsia"/>
        </w:rPr>
        <w:t xml:space="preserve">最高財務責任者は、Crestlineがすべての科学的疑問を別の研究を必要とするものとして扱うことはできないと主張した。研究部門の責任者は、結論の出ない中間分析の後にプログラムを中止することは、迅速かつ明白な効果を持つ治療を体系的に優遇し、より良い患者選定を必要とする治療法を放棄することになると反論した。商業部門の責任者は、バイオマーカーで定義された製品の方が医師の関心をより強く引きつけると考えていた。臨床業務の責任者は、より狭い対象集団は登録が容易になるのではなく、むしろ困難になる可能性があると警告した。</w:t>
      </w:r>
    </w:p>
    <w:bookmarkStart w:id="18" w:name="図表5.-18か月間の現金見通し"/>
    <w:p>
      <w:pPr>
        <w:pStyle w:val="Heading2"/>
      </w:pPr>
      <w:r>
        <w:rPr>
          <w:rFonts w:hint="eastAsia"/>
        </w:rPr>
        <w:t xml:space="preserve">図表5.</w:t>
      </w:r>
      <w:r>
        <w:t xml:space="preserve"> </w:t>
      </w:r>
      <w:r>
        <w:rPr>
          <w:rFonts w:hint="eastAsia"/>
        </w:rPr>
        <w:t xml:space="preserve">18か月間の現金見通し</w:t>
      </w:r>
    </w:p>
    <w:tbl>
      <w:tblPr>
        <w:tblStyle w:val="Table"/>
        <w:tblW w:type="pct" w:w="4907"/>
        <w:tblLayout w:type="fixed"/>
        <w:tblLook w:firstRow="1" w:lastRow="0" w:firstColumn="0" w:lastColumn="0" w:noHBand="0" w:noVBand="0" w:val="0020"/>
      </w:tblPr>
      <w:tblGrid>
        <w:gridCol w:w="2346"/>
        <w:gridCol w:w="1760"/>
        <w:gridCol w:w="2053"/>
        <w:gridCol w:w="1613"/>
      </w:tblGrid>
      <w:tr>
        <w:trPr>
          <w:tblHeader w:val="on"/>
        </w:trPr>
        <w:tc>
          <w:tcPr/>
          <w:p>
            <w:pPr>
              <w:pStyle w:val="Compact"/>
              <w:jc w:val="left"/>
            </w:pPr>
            <w:r>
              <w:rPr>
                <w:rFonts w:hint="eastAsia"/>
              </w:rPr>
              <w:t xml:space="preserve">現金の使途</w:t>
            </w:r>
          </w:p>
        </w:tc>
        <w:tc>
          <w:tcPr/>
          <w:p>
            <w:pPr>
              <w:pStyle w:val="Compact"/>
              <w:jc w:val="center"/>
            </w:pPr>
            <w:r>
              <w:rPr>
                <w:rFonts w:hint="eastAsia"/>
              </w:rPr>
              <w:t xml:space="preserve">約束済み／基本計画</w:t>
            </w:r>
          </w:p>
        </w:tc>
        <w:tc>
          <w:tcPr/>
          <w:p>
            <w:pPr>
              <w:pStyle w:val="Compact"/>
              <w:jc w:val="center"/>
            </w:pPr>
            <w:r>
              <w:rPr>
                <w:rFonts w:hint="eastAsia"/>
              </w:rPr>
              <w:t xml:space="preserve">当初試験の完了</w:t>
            </w:r>
          </w:p>
        </w:tc>
        <w:tc>
          <w:tcPr/>
          <w:p>
            <w:pPr>
              <w:pStyle w:val="Compact"/>
              <w:jc w:val="right"/>
            </w:pPr>
            <w:r>
              <w:rPr>
                <w:rFonts w:hint="eastAsia"/>
              </w:rPr>
              <w:t xml:space="preserve">バイオマーカー拡大</w:t>
            </w:r>
          </w:p>
        </w:tc>
      </w:tr>
      <w:tr>
        <w:tc>
          <w:tcPr/>
          <w:p>
            <w:pPr>
              <w:pStyle w:val="Compact"/>
              <w:jc w:val="left"/>
            </w:pPr>
            <w:r>
              <w:rPr>
                <w:rFonts w:hint="eastAsia"/>
              </w:rPr>
              <w:t xml:space="preserve">全社的な運営と債務</w:t>
            </w:r>
          </w:p>
        </w:tc>
        <w:tc>
          <w:tcPr/>
          <w:p>
            <w:pPr>
              <w:pStyle w:val="Compact"/>
              <w:jc w:val="center"/>
            </w:pPr>
            <w:r>
              <w:rPr>
                <w:rFonts w:hint="eastAsia"/>
              </w:rPr>
              <w:t xml:space="preserve">49,00万ドル</w:t>
            </w:r>
          </w:p>
        </w:tc>
        <w:tc>
          <w:tcPr/>
          <w:p>
            <w:pPr>
              <w:pStyle w:val="Compact"/>
              <w:jc w:val="center"/>
            </w:pPr>
            <w:r>
              <w:rPr>
                <w:rFonts w:hint="eastAsia"/>
              </w:rPr>
              <w:t xml:space="preserve">49,00万ドル</w:t>
            </w:r>
          </w:p>
        </w:tc>
        <w:tc>
          <w:tcPr/>
          <w:p>
            <w:pPr>
              <w:pStyle w:val="Compact"/>
              <w:jc w:val="right"/>
            </w:pPr>
            <w:r>
              <w:rPr>
                <w:rFonts w:hint="eastAsia"/>
              </w:rPr>
              <w:t xml:space="preserve">49,00万ドル</w:t>
            </w:r>
          </w:p>
        </w:tc>
      </w:tr>
      <w:tr>
        <w:tc>
          <w:tcPr/>
          <w:p>
            <w:pPr>
              <w:pStyle w:val="Compact"/>
              <w:jc w:val="left"/>
            </w:pPr>
            <w:r>
              <w:rPr>
                <w:rFonts w:hint="eastAsia"/>
              </w:rPr>
              <w:t xml:space="preserve">現行のCLN-47への義務</w:t>
            </w:r>
          </w:p>
        </w:tc>
        <w:tc>
          <w:tcPr/>
          <w:p>
            <w:pPr>
              <w:pStyle w:val="Compact"/>
              <w:jc w:val="center"/>
            </w:pPr>
            <w:r>
              <w:rPr>
                <w:rFonts w:hint="eastAsia"/>
              </w:rPr>
              <w:t xml:space="preserve">3,500万ドル</w:t>
            </w:r>
          </w:p>
        </w:tc>
        <w:tc>
          <w:tcPr/>
          <w:p>
            <w:pPr>
              <w:pStyle w:val="Compact"/>
              <w:jc w:val="center"/>
            </w:pPr>
            <w:r>
              <w:rPr>
                <w:rFonts w:hint="eastAsia"/>
              </w:rPr>
              <w:t xml:space="preserve">3,500万ドル</w:t>
            </w:r>
          </w:p>
        </w:tc>
        <w:tc>
          <w:tcPr/>
          <w:p>
            <w:pPr>
              <w:pStyle w:val="Compact"/>
              <w:jc w:val="right"/>
            </w:pPr>
            <w:r>
              <w:rPr>
                <w:rFonts w:hint="eastAsia"/>
              </w:rPr>
              <w:t xml:space="preserve">3,500万ドル</w:t>
            </w:r>
          </w:p>
        </w:tc>
      </w:tr>
      <w:tr>
        <w:tc>
          <w:tcPr/>
          <w:p>
            <w:pPr>
              <w:pStyle w:val="Compact"/>
              <w:jc w:val="left"/>
            </w:pPr>
            <w:r>
              <w:rPr>
                <w:rFonts w:hint="eastAsia"/>
              </w:rPr>
              <w:t xml:space="preserve">追加のCLN-47プログラム</w:t>
            </w:r>
          </w:p>
        </w:tc>
        <w:tc>
          <w:tcPr/>
          <w:p>
            <w:pPr>
              <w:pStyle w:val="Compact"/>
              <w:jc w:val="center"/>
            </w:pPr>
            <w:r>
              <w:t xml:space="preserve">0ドル</w:t>
            </w:r>
          </w:p>
        </w:tc>
        <w:tc>
          <w:tcPr/>
          <w:p>
            <w:pPr>
              <w:pStyle w:val="Compact"/>
              <w:jc w:val="center"/>
            </w:pPr>
            <w:r>
              <w:rPr>
                <w:rFonts w:hint="eastAsia"/>
              </w:rPr>
              <w:t xml:space="preserve">2,300万ドル</w:t>
            </w:r>
          </w:p>
        </w:tc>
        <w:tc>
          <w:tcPr/>
          <w:p>
            <w:pPr>
              <w:pStyle w:val="Compact"/>
              <w:jc w:val="right"/>
            </w:pPr>
            <w:r>
              <w:rPr>
                <w:rFonts w:hint="eastAsia"/>
              </w:rPr>
              <w:t xml:space="preserve">3,800万ドル</w:t>
            </w:r>
          </w:p>
        </w:tc>
      </w:tr>
      <w:tr>
        <w:tc>
          <w:tcPr/>
          <w:p>
            <w:pPr>
              <w:pStyle w:val="Compact"/>
              <w:jc w:val="left"/>
            </w:pPr>
            <w:r>
              <w:rPr>
                <w:rFonts w:hint="eastAsia"/>
              </w:rPr>
              <w:t xml:space="preserve">第二の開発化合物</w:t>
            </w:r>
          </w:p>
        </w:tc>
        <w:tc>
          <w:tcPr/>
          <w:p>
            <w:pPr>
              <w:pStyle w:val="Compact"/>
              <w:jc w:val="center"/>
            </w:pPr>
            <w:r>
              <w:rPr>
                <w:rFonts w:hint="eastAsia"/>
              </w:rPr>
              <w:t xml:space="preserve">3,100万ドル</w:t>
            </w:r>
          </w:p>
        </w:tc>
        <w:tc>
          <w:tcPr/>
          <w:p>
            <w:pPr>
              <w:pStyle w:val="Compact"/>
              <w:jc w:val="center"/>
            </w:pPr>
            <w:r>
              <w:rPr>
                <w:rFonts w:hint="eastAsia"/>
              </w:rPr>
              <w:t xml:space="preserve">3,100万ドル</w:t>
            </w:r>
          </w:p>
        </w:tc>
        <w:tc>
          <w:tcPr/>
          <w:p>
            <w:pPr>
              <w:pStyle w:val="Compact"/>
              <w:jc w:val="right"/>
            </w:pPr>
            <w:r>
              <w:rPr>
                <w:rFonts w:hint="eastAsia"/>
              </w:rPr>
              <w:t xml:space="preserve">3,100万ドル</w:t>
            </w:r>
          </w:p>
        </w:tc>
      </w:tr>
      <w:tr>
        <w:tc>
          <w:tcPr/>
          <w:p>
            <w:pPr>
              <w:pStyle w:val="Compact"/>
              <w:jc w:val="left"/>
            </w:pPr>
            <w:r>
              <w:rPr>
                <w:rFonts w:hint="eastAsia"/>
              </w:rPr>
              <w:t xml:space="preserve">製造ラインの予約</w:t>
            </w:r>
          </w:p>
        </w:tc>
        <w:tc>
          <w:tcPr/>
          <w:p>
            <w:pPr>
              <w:pStyle w:val="Compact"/>
              <w:jc w:val="center"/>
            </w:pPr>
            <w:r>
              <w:t xml:space="preserve">0ドル</w:t>
            </w:r>
          </w:p>
        </w:tc>
        <w:tc>
          <w:tcPr/>
          <w:p>
            <w:pPr>
              <w:pStyle w:val="Compact"/>
              <w:jc w:val="center"/>
            </w:pPr>
            <w:r>
              <w:rPr>
                <w:rFonts w:hint="eastAsia"/>
              </w:rPr>
              <w:t xml:space="preserve">1,400万ドル</w:t>
            </w:r>
          </w:p>
        </w:tc>
        <w:tc>
          <w:tcPr/>
          <w:p>
            <w:pPr>
              <w:pStyle w:val="Compact"/>
              <w:jc w:val="right"/>
            </w:pPr>
            <w:r>
              <w:rPr>
                <w:rFonts w:hint="eastAsia"/>
              </w:rPr>
              <w:t xml:space="preserve">1,400万ドル</w:t>
            </w:r>
          </w:p>
        </w:tc>
      </w:tr>
      <w:tr>
        <w:tc>
          <w:tcPr/>
          <w:p>
            <w:pPr>
              <w:pStyle w:val="Compact"/>
              <w:jc w:val="left"/>
            </w:pPr>
            <w:r>
              <w:rPr>
                <w:rFonts w:hint="eastAsia"/>
              </w:rPr>
              <w:t xml:space="preserve">期末予想現金</w:t>
            </w:r>
          </w:p>
        </w:tc>
        <w:tc>
          <w:tcPr/>
          <w:p>
            <w:pPr>
              <w:pStyle w:val="Compact"/>
              <w:jc w:val="center"/>
            </w:pPr>
            <w:r>
              <w:rPr>
                <w:rFonts w:hint="eastAsia"/>
              </w:rPr>
              <w:t xml:space="preserve">7,100万ドル</w:t>
            </w:r>
          </w:p>
        </w:tc>
        <w:tc>
          <w:tcPr/>
          <w:p>
            <w:pPr>
              <w:pStyle w:val="Compact"/>
              <w:jc w:val="center"/>
            </w:pPr>
            <w:r>
              <w:rPr>
                <w:rFonts w:hint="eastAsia"/>
              </w:rPr>
              <w:t xml:space="preserve">3,400万ドル</w:t>
            </w:r>
          </w:p>
        </w:tc>
        <w:tc>
          <w:tcPr/>
          <w:p>
            <w:pPr>
              <w:pStyle w:val="Compact"/>
              <w:jc w:val="right"/>
            </w:pPr>
            <w:r>
              <w:rPr>
                <w:rFonts w:hint="eastAsia"/>
              </w:rPr>
              <w:t xml:space="preserve">1,900万ドル</w:t>
            </w:r>
          </w:p>
        </w:tc>
      </w:tr>
    </w:tbl>
    <w:bookmarkEnd w:id="18"/>
    <w:bookmarkEnd w:id="19"/>
    <w:bookmarkStart w:id="20" w:name="水曜日の取締役会"/>
    <w:p>
      <w:pPr>
        <w:pStyle w:val="Heading1"/>
      </w:pPr>
      <w:r>
        <w:rPr>
          <w:rFonts w:hint="eastAsia"/>
        </w:rPr>
        <w:t xml:space="preserve">水曜日の取締役会</w:t>
      </w:r>
    </w:p>
    <w:p>
      <w:pPr>
        <w:pStyle w:val="FirstParagraph"/>
      </w:pPr>
      <w:r>
        <w:rPr>
          <w:rFonts w:hint="eastAsia"/>
        </w:rPr>
        <w:t xml:space="preserve">水曜日の午後までに、Marquezは3つの新しい情報を受け取っていた。ある地域の施設は、まだ重篤とは分類されていない肝酵素上昇をさらに2件報告した。検査ベンダーは、Crestlineが直ちに420万ドルを投じれば、5か月で改良されたバイオマーカーアッセイを検証できると述べた。競合他社は、そのフェーズIII試験が620人の患者を登録し、主要評価項目として肺機能ではなく入院回避生存率を使用すると発表した。</w:t>
      </w:r>
    </w:p>
    <w:p>
      <w:pPr>
        <w:pStyle w:val="BodyText"/>
      </w:pPr>
      <w:r>
        <w:rPr>
          <w:rFonts w:hint="eastAsia"/>
        </w:rPr>
        <w:t xml:space="preserve">競合他社の発表は、医師や病院がCrestlineの試験に割ける余力がさらに少なくなることを意味するかもしれなかった。それはまた、この疾患に対する投資家の関心を裏付けるものでもあった。競合の治療がより安全か、より有効か、より早く市場に届くか、あるいはその試験デザインがCLN-47に対する規制当局の期待に影響を与えるかどうかは、誰にもわからなかった。</w:t>
      </w:r>
    </w:p>
    <w:p>
      <w:pPr>
        <w:pStyle w:val="BodyText"/>
      </w:pPr>
      <w:r>
        <w:rPr>
          <w:rFonts w:hint="eastAsia"/>
        </w:rPr>
        <w:t xml:space="preserve">Marquezはその日の夜までに進むべき道を勧告しなければならなかった。取締役会は、現在の証拠が患者と資本の継続的なリスク負担を正当化するかどうか、どのような追加情報が決定を実質的に変える可能性があるか、そしてその情報をどれほど早く得られるかを知りたがるだろう。また、Crestlineが広範な治療目標を維持すべきか、最も恩恵を受けそうな患者に焦点を絞るべきか、パートナーを求めるべきか、あるいは残りの資源を他へ振り向けるべきかも尋ねるだろう。</w:t>
      </w:r>
    </w:p>
    <w:p>
      <w:pPr>
        <w:pStyle w:val="BodyText"/>
      </w:pPr>
      <w:r>
        <w:rPr>
          <w:rFonts w:hint="eastAsia"/>
        </w:rPr>
        <w:t xml:space="preserve">どの選択肢もすべての目的を守るものではなかった。研究を拡大すれば臨床的に重要な治療法が明らかになるかもしれないが、結果が判明する前に会社の現金を使い果たしてしまう可能性がある。フェーズIII計画を開始すれば時間と製造能力を確保できるかもしれないが、誤った解釈の結果を拡大させる可能性がある。一時停止すればアッセイと規制戦略を成熟させる時間ができるかもしれないが、施設、患者、従業員、投資家が待ってくれない可能性がある。中止は財務上の明確さをもたらす一方で、不揃いなデータに本物の治療シグナルが含まれている可能性を閉ざしてしまうことになる。</w:t>
      </w:r>
    </w:p>
    <w:bookmarkEnd w:id="20"/>
    <w:bookmarkStart w:id="21" w:name="討議設問"/>
    <w:p>
      <w:pPr>
        <w:pStyle w:val="Heading1"/>
      </w:pPr>
      <w:r>
        <w:rPr>
          <w:rFonts w:hint="eastAsia"/>
        </w:rPr>
        <w:t xml:space="preserve">討議設問</w:t>
      </w:r>
    </w:p>
    <w:p>
      <w:pPr>
        <w:numPr>
          <w:ilvl w:val="0"/>
          <w:numId w:val="1001"/>
        </w:numPr>
      </w:pPr>
      <w:r>
        <w:t xml:space="preserve">MarquezとCrestline </w:t>
      </w:r>
      <w:r>
        <w:rPr>
          <w:rFonts w:hint="eastAsia"/>
        </w:rPr>
        <w:t xml:space="preserve">Biotherapeuticsが直面している中心的な問題は何か。</w:t>
      </w:r>
    </w:p>
    <w:p>
      <w:pPr>
        <w:numPr>
          <w:ilvl w:val="0"/>
          <w:numId w:val="1001"/>
        </w:numPr>
      </w:pPr>
      <w:r>
        <w:rPr>
          <w:rFonts w:hint="eastAsia"/>
        </w:rPr>
        <w:t xml:space="preserve">平均的な試験結果と、バイオマーカー陽性サブグループにおけるより強い反応を、企業はどのように解釈すべきか。</w:t>
      </w:r>
    </w:p>
    <w:p>
      <w:pPr>
        <w:numPr>
          <w:ilvl w:val="0"/>
          <w:numId w:val="1001"/>
        </w:numPr>
      </w:pPr>
      <w:r>
        <w:rPr>
          <w:rFonts w:hint="eastAsia"/>
        </w:rPr>
        <w:t xml:space="preserve">別の大規模研究にコミットする前に、どの追加情報が最も価値があるか。</w:t>
      </w:r>
    </w:p>
    <w:p>
      <w:pPr>
        <w:numPr>
          <w:ilvl w:val="0"/>
          <w:numId w:val="1001"/>
        </w:numPr>
      </w:pPr>
      <w:r>
        <w:rPr>
          <w:rFonts w:hint="eastAsia"/>
        </w:rPr>
        <w:t xml:space="preserve">Crestlineは当初のフェーズIIプロトコルを完了すべきか、再設計すべきか、それともフェーズIIIに進むべきか。その理由は何か。</w:t>
      </w:r>
    </w:p>
    <w:p>
      <w:pPr>
        <w:numPr>
          <w:ilvl w:val="0"/>
          <w:numId w:val="1001"/>
        </w:numPr>
      </w:pPr>
      <w:r>
        <w:rPr>
          <w:rFonts w:hint="eastAsia"/>
        </w:rPr>
        <w:t xml:space="preserve">患者の安全性への懸念は、満たされていないニーズと効果の可能性とどのようにバランスを取るべきか。</w:t>
      </w:r>
    </w:p>
    <w:p>
      <w:pPr>
        <w:numPr>
          <w:ilvl w:val="0"/>
          <w:numId w:val="1001"/>
        </w:numPr>
      </w:pPr>
      <w:r>
        <w:rPr>
          <w:rFonts w:hint="eastAsia"/>
        </w:rPr>
        <w:t xml:space="preserve">施設選定、患者募集、来院デザイン、払い戻しに対するどのような変更が、データ品質を弱めることなく登録を改善しうるか。</w:t>
      </w:r>
    </w:p>
    <w:p>
      <w:pPr>
        <w:numPr>
          <w:ilvl w:val="0"/>
          <w:numId w:val="1001"/>
        </w:numPr>
      </w:pPr>
      <w:r>
        <w:rPr>
          <w:rFonts w:hint="eastAsia"/>
        </w:rPr>
        <w:t xml:space="preserve">Crestlineは臨床上の疑問を解決する前に製造能力を確保すべきか。</w:t>
      </w:r>
    </w:p>
    <w:p>
      <w:pPr>
        <w:numPr>
          <w:ilvl w:val="0"/>
          <w:numId w:val="1001"/>
        </w:numPr>
      </w:pPr>
      <w:r>
        <w:rPr>
          <w:rFonts w:hint="eastAsia"/>
        </w:rPr>
        <w:t xml:space="preserve">特許存続期間、競合他社の動向、医師の受容、価格設定、製造要件は、開発の意思決定にどのように影響すべきか。</w:t>
      </w:r>
    </w:p>
    <w:p>
      <w:pPr>
        <w:numPr>
          <w:ilvl w:val="0"/>
          <w:numId w:val="1001"/>
        </w:numPr>
      </w:pPr>
      <w:r>
        <w:rPr>
          <w:rFonts w:hint="eastAsia"/>
        </w:rPr>
        <w:t xml:space="preserve">パートナーシップはプログラムを改善するだろうか、それとも将来の価値と支配権を過度に譲り渡すことになるだろうか。</w:t>
      </w:r>
    </w:p>
    <w:p>
      <w:pPr>
        <w:numPr>
          <w:ilvl w:val="0"/>
          <w:numId w:val="1001"/>
        </w:numPr>
      </w:pPr>
      <w:r>
        <w:rPr>
          <w:rFonts w:hint="eastAsia"/>
        </w:rPr>
        <w:t xml:space="preserve">どのような将来の所見のもとで、Crestlineは</w:t>
      </w:r>
      <w:r>
        <w:t xml:space="preserve"> CLN-47 </w:t>
      </w:r>
      <w:r>
        <w:rPr>
          <w:rFonts w:hint="eastAsia"/>
        </w:rPr>
        <w:t xml:space="preserve">を継続、絞り込み、一時停止、または中止すべきか。</w:t>
      </w:r>
    </w:p>
    <w:bookmarkEnd w:id="21"/>
    <w:bookmarkStart w:id="27" w:name="決定フレーミング設問"/>
    <w:p>
      <w:pPr>
        <w:pStyle w:val="Heading1"/>
      </w:pPr>
      <w:r>
        <w:rPr>
          <w:rFonts w:hint="eastAsia"/>
        </w:rPr>
        <w:t xml:space="preserve">決定フレーミング設問</w:t>
      </w:r>
    </w:p>
    <w:p>
      <w:pPr>
        <w:numPr>
          <w:ilvl w:val="0"/>
          <w:numId w:val="1002"/>
        </w:numPr>
      </w:pPr>
      <w:r>
        <w:rPr>
          <w:rFonts w:hint="eastAsia"/>
        </w:rPr>
        <w:t xml:space="preserve">意思決定者の責任を特定し記述せよ。これにより問題の範囲が定まるはずである。</w:t>
      </w:r>
    </w:p>
    <w:p>
      <w:pPr>
        <w:numPr>
          <w:ilvl w:val="0"/>
          <w:numId w:val="1002"/>
        </w:numPr>
      </w:pPr>
      <w:hyperlink r:id="rId22">
        <w:r>
          <w:rPr>
            <w:rStyle w:val="Hyperlink"/>
          </w:rPr>
          <w:t xml:space="preserve">メトリクス・ピラミッド・ツール</w:t>
        </w:r>
      </w:hyperlink>
      <w:r>
        <w:rPr>
          <w:rFonts w:hint="eastAsia"/>
        </w:rPr>
        <w:t xml:space="preserve">を使用して、さまざまなパフォーマンス指標を特定し優先順位付けせよ。指標を保持する楕円をクリックして、それが最大化すべき指標（緑）、最小化すべき指標（赤）、下限としての目標値（薄緑）、上限としての目標値（薄赤）、あるいは目標値（紫）のいずれであるかを識別せよ。</w:t>
      </w:r>
    </w:p>
    <w:p>
      <w:pPr>
        <w:numPr>
          <w:ilvl w:val="0"/>
          <w:numId w:val="1002"/>
        </w:numPr>
      </w:pPr>
      <w:hyperlink r:id="rId23">
        <w:r>
          <w:rPr>
            <w:rStyle w:val="Hyperlink"/>
            <w:rFonts w:hint="eastAsia"/>
          </w:rPr>
          <w:t xml:space="preserve">決定優先順位付けツール</w:t>
        </w:r>
      </w:hyperlink>
      <w:r>
        <w:rPr>
          <w:rFonts w:hint="eastAsia"/>
        </w:rPr>
        <w:t xml:space="preserve">を使用して、まずさまざまな種類の決定を列挙せよ（</w:t>
      </w:r>
      <w:hyperlink r:id="rId24">
        <w:r>
          <w:rPr>
            <w:rStyle w:val="Hyperlink"/>
            <w:rFonts w:hint="eastAsia"/>
          </w:rPr>
          <w:t xml:space="preserve">決定の種類</w:t>
        </w:r>
      </w:hyperlink>
      <w:r>
        <w:rPr>
          <w:rFonts w:hint="eastAsia"/>
        </w:rPr>
        <w:t xml:space="preserve">を参考にすること）。これらは右側のマトリクスの行を構成し、列は上記のピラミッドで優先順位付けされたパフォーマンス指標を左から右へ並べたものになる。各セルをクリックして、その決定が各指標に与える影響が高い（赤）、中程度（オレンジ）、低い（黄）、なし（白）のいずれであるかを示せ。</w:t>
      </w:r>
    </w:p>
    <w:p>
      <w:pPr>
        <w:numPr>
          <w:ilvl w:val="0"/>
          <w:numId w:val="1002"/>
        </w:numPr>
      </w:pPr>
      <w:r>
        <w:rPr>
          <w:rFonts w:hint="eastAsia"/>
        </w:rPr>
        <w:t xml:space="preserve">各行の一番左にあるハンドル（三本線）をつかんで上下に移動させることができる。最も重要な指標に最も大きな影響を与える決定が上位に来るように行を並べ替えよ。左上の角のセルには、赤とオレンジのセルが最も集中しているべきである。この時点で、あなたの検討の中で最も注意を払うべき決定を特定せよ。最も重要な指標に対して中程度または高い影響を持つ決定がない場合は、決定のリストを見直すこと。</w:t>
      </w:r>
    </w:p>
    <w:p>
      <w:pPr>
        <w:numPr>
          <w:ilvl w:val="0"/>
          <w:numId w:val="1002"/>
        </w:numPr>
      </w:pPr>
      <w:hyperlink r:id="rId25">
        <w:r>
          <w:rPr>
            <w:rStyle w:val="Hyperlink"/>
            <w:rFonts w:hint="eastAsia"/>
          </w:rPr>
          <w:t xml:space="preserve">不確実性優先順位付けツール</w:t>
        </w:r>
      </w:hyperlink>
      <w:r>
        <w:rPr>
          <w:rFonts w:hint="eastAsia"/>
        </w:rPr>
        <w:t xml:space="preserve">を使用して、不確実性についても同じプロセスを列挙し優先順位付けせよ。これらを特定するために</w:t>
      </w:r>
      <w:hyperlink r:id="rId26">
        <w:r>
          <w:rPr>
            <w:rStyle w:val="Hyperlink"/>
            <w:rFonts w:hint="eastAsia"/>
          </w:rPr>
          <w:t xml:space="preserve">不確実性のカテゴリー</w:t>
        </w:r>
      </w:hyperlink>
      <w:r>
        <w:rPr>
          <w:rFonts w:hint="eastAsia"/>
        </w:rPr>
        <w:t xml:space="preserve">を活用せよ。</w:t>
      </w:r>
    </w:p>
    <w:p>
      <w:pPr>
        <w:numPr>
          <w:ilvl w:val="0"/>
          <w:numId w:val="1002"/>
        </w:numPr>
      </w:pPr>
      <w:r>
        <w:rPr>
          <w:rFonts w:hint="eastAsia"/>
        </w:rPr>
        <w:t xml:space="preserve">平均的に評価できる不確実性と、リスクイベントとして評価すべき不確実性を区別することが重要である。</w:t>
      </w:r>
    </w:p>
    <w:p>
      <w:pPr>
        <w:numPr>
          <w:ilvl w:val="1"/>
          <w:numId w:val="1003"/>
        </w:numPr>
      </w:pPr>
      <w:r>
        <w:rPr>
          <w:rFonts w:hint="eastAsia"/>
        </w:rPr>
        <w:t xml:space="preserve">時間経過による平均的なパフォーマンスを用いて捉えられる不確実性の源はどれか。</w:t>
      </w:r>
    </w:p>
    <w:p>
      <w:pPr>
        <w:numPr>
          <w:ilvl w:val="1"/>
          <w:numId w:val="1003"/>
        </w:numPr>
      </w:pPr>
      <w:r>
        <w:rPr>
          <w:rFonts w:hint="eastAsia"/>
        </w:rPr>
        <w:t xml:space="preserve">平均値を用いては適切に捉えられないリスクの形態を表す不確実性の源はどれか。</w:t>
      </w:r>
    </w:p>
    <w:p>
      <w:pPr>
        <w:numPr>
          <w:ilvl w:val="0"/>
          <w:numId w:val="1002"/>
        </w:numPr>
      </w:pPr>
      <w:r>
        <w:rPr>
          <w:rFonts w:hint="eastAsia"/>
        </w:rPr>
        <w:t xml:space="preserve">最も重要な指標に対して最も高い影響を持つと思われる決定を一つ選べ。</w:t>
      </w:r>
    </w:p>
    <w:p>
      <w:pPr>
        <w:numPr>
          <w:ilvl w:val="1"/>
          <w:numId w:val="1004"/>
        </w:numPr>
      </w:pPr>
      <w:r>
        <w:rPr>
          <w:rFonts w:hint="eastAsia"/>
        </w:rPr>
        <w:t xml:space="preserve">この決定を行うためにどのようなアプローチを用いると思うか。</w:t>
      </w:r>
    </w:p>
    <w:p>
      <w:pPr>
        <w:numPr>
          <w:ilvl w:val="1"/>
          <w:numId w:val="1004"/>
        </w:numPr>
      </w:pPr>
      <w:r>
        <w:rPr>
          <w:rFonts w:hint="eastAsia"/>
        </w:rPr>
        <w:t xml:space="preserve">この決定を行うために必要と思われるデータは何か。決定が高いまたは中程度の影響を持つパフォーマンス指標の計算に必要なデータを含めること。</w:t>
      </w:r>
    </w:p>
    <w:p>
      <w:pPr>
        <w:numPr>
          <w:ilvl w:val="0"/>
          <w:numId w:val="1002"/>
        </w:numPr>
      </w:pPr>
      <w:r>
        <w:rPr>
          <w:rFonts w:hint="eastAsia"/>
        </w:rPr>
        <w:t xml:space="preserve">(7)で特定した同じ決定について、それを実行するために協力する必要がある人々、部門、グループ、または組織を特定せよ。</w:t>
      </w:r>
    </w:p>
    <w:bookmarkEnd w:id="27"/>
    <w:bookmarkStart w:id="28" w:name="出典注"/>
    <w:p>
      <w:pPr>
        <w:pStyle w:val="Heading1"/>
      </w:pPr>
      <w:r>
        <w:rPr>
          <w:rFonts w:hint="eastAsia"/>
        </w:rPr>
        <w:t xml:space="preserve">出典注</w:t>
      </w:r>
    </w:p>
    <w:p>
      <w:pPr>
        <w:pStyle w:val="FirstParagraph"/>
      </w:pPr>
      <w:r>
        <w:rPr>
          <w:rFonts w:hint="eastAsia"/>
        </w:rPr>
        <w:t xml:space="preserve">このケースの概念的基盤は、Warren</w:t>
      </w:r>
      <w:r>
        <w:t xml:space="preserve"> B. </w:t>
      </w:r>
      <w:r>
        <w:rPr>
          <w:rFonts w:hint="eastAsia"/>
        </w:rPr>
        <w:t xml:space="preserve">Powell著『Bridging</w:t>
      </w:r>
      <w:r>
        <w:t xml:space="preserve"> Decision Problems, Volume I: Framing the </w:t>
      </w:r>
      <w:r>
        <w:rPr>
          <w:rFonts w:hint="eastAsia"/>
        </w:rPr>
        <w:t xml:space="preserve">Problem』第2章の「Running</w:t>
      </w:r>
      <w:r>
        <w:t xml:space="preserve"> clinical trials for drug </w:t>
      </w:r>
      <w:r>
        <w:rPr>
          <w:rFonts w:hint="eastAsia"/>
        </w:rPr>
        <w:t xml:space="preserve">testing」節である。このケースは、その節に含まれる臨床、財務、運用、規制、製造、マーケティング、競争上の考慮事項を、それらを別個の分析カテゴリーとして明示することなく、物語と図表の中に組み込んでいる。</w:t>
      </w:r>
    </w:p>
    <w:p>
      <w:pPr>
        <w:pStyle w:val="BodyText"/>
      </w:pPr>
      <w:r>
        <w:rPr>
          <w:rFonts w:hint="eastAsia"/>
        </w:rPr>
        <w:t xml:space="preserve">この設定を動機づけるために使用された公開情報には、フェーズIII試験は一般に約300人から3,000人の参加者を含み、審査で使用される安全性証拠の大部分を提供するというFDAの説明、登録の遅延が広く見られること、ある大規模分析では完了した試験の遅延期間の中央値が12.2か月であったこと、そのサンプルの21.5パーセントの試験が中止されたことを報告する公表研究、主要な研究開発型製薬会社における初回承認の平均確率を14.3パーセントと推定した2025年の分析、そして失敗したプログラムを含めると新薬の開発には一般に10年から15年を要し、費用は約26億ドルに上るという業界推定が含まれる。推定値は治療領域、研究デザイン、スポンサー、方法論によって異なる。Crestlineに関するすべてのデータ、人物、化合物、結果、予算、および出来事は架空のものである。</w:t>
      </w:r>
    </w:p>
    <w:bookmarkEnd w:id="28"/>
    <w:bookmarkStart w:id="31" w:name="chatgptのメモ"/>
    <w:p>
      <w:pPr>
        <w:pStyle w:val="Heading1"/>
      </w:pPr>
      <w:r>
        <w:t xml:space="preserve">ChatGPTのメモ</w:t>
      </w:r>
    </w:p>
    <w:bookmarkStart w:id="29" w:name="プロンプト"/>
    <w:p>
      <w:pPr>
        <w:pStyle w:val="Heading2"/>
      </w:pPr>
      <w:r>
        <w:t xml:space="preserve">プロンプト</w:t>
      </w:r>
    </w:p>
    <w:p>
      <w:pPr>
        <w:pStyle w:val="FirstParagraph"/>
      </w:pPr>
      <w:r>
        <w:t xml:space="preserve">https://warrenpowell.org/bridging-vol1/chapter-2/#clinicaltrials </w:t>
      </w:r>
      <w:r>
        <w:rPr>
          <w:rFonts w:hint="eastAsia"/>
        </w:rPr>
        <w:t xml:space="preserve">にある節の内容に基づいて、4〜6ページのケーススタディを書いてください。その節にある指標、決定、および不確実性に基づく文脈を作成してください。ただし、それらを明示的に取り上げることなく作成してください。ケースの問題をデータで動機づけてください。</w:t>
      </w:r>
    </w:p>
    <w:bookmarkEnd w:id="29"/>
    <w:bookmarkStart w:id="30" w:name="要約"/>
    <w:p>
      <w:pPr>
        <w:pStyle w:val="Heading2"/>
      </w:pPr>
      <w:r>
        <w:rPr>
          <w:rFonts w:hint="eastAsia"/>
        </w:rPr>
        <w:t xml:space="preserve">要約</w:t>
      </w:r>
    </w:p>
    <w:p>
      <w:pPr>
        <w:pStyle w:val="FirstParagraph"/>
      </w:pPr>
      <w:r>
        <w:rPr>
          <w:rFonts w:hint="eastAsia"/>
        </w:rPr>
        <w:t xml:space="preserve">このケースは、有望ではあるが決定的とはいえない結果を受けた後、フェーズII試験を拡大するか、再設計するか、一時停止するか、進行させるか、中止するかを決定するバイオテクノロジー企業を追っている。以下の要素が組み込まれている。</w:t>
      </w:r>
    </w:p>
    <w:p>
      <w:pPr>
        <w:numPr>
          <w:ilvl w:val="0"/>
          <w:numId w:val="1005"/>
        </w:numPr>
      </w:pPr>
      <w:r>
        <w:rPr>
          <w:rFonts w:hint="eastAsia"/>
        </w:rPr>
        <w:t xml:space="preserve">患者募集と試験施設の選定</w:t>
      </w:r>
    </w:p>
    <w:p>
      <w:pPr>
        <w:numPr>
          <w:ilvl w:val="0"/>
          <w:numId w:val="1005"/>
        </w:numPr>
      </w:pPr>
      <w:r>
        <w:rPr>
          <w:rFonts w:hint="eastAsia"/>
        </w:rPr>
        <w:t xml:space="preserve">治療効果とサブグループの反応</w:t>
      </w:r>
    </w:p>
    <w:p>
      <w:pPr>
        <w:numPr>
          <w:ilvl w:val="0"/>
          <w:numId w:val="1005"/>
        </w:numPr>
      </w:pPr>
      <w:r>
        <w:rPr>
          <w:rFonts w:hint="eastAsia"/>
        </w:rPr>
        <w:t xml:space="preserve">安全性シグナルと用量選択</w:t>
      </w:r>
    </w:p>
    <w:p>
      <w:pPr>
        <w:numPr>
          <w:ilvl w:val="0"/>
          <w:numId w:val="1005"/>
        </w:numPr>
      </w:pPr>
      <w:r>
        <w:rPr>
          <w:rFonts w:hint="eastAsia"/>
        </w:rPr>
        <w:t xml:space="preserve">規制要件</w:t>
      </w:r>
    </w:p>
    <w:p>
      <w:pPr>
        <w:numPr>
          <w:ilvl w:val="0"/>
          <w:numId w:val="1005"/>
        </w:numPr>
      </w:pPr>
      <w:r>
        <w:rPr>
          <w:rFonts w:hint="eastAsia"/>
        </w:rPr>
        <w:t xml:space="preserve">製造能力と冷蔵の必要性</w:t>
      </w:r>
    </w:p>
    <w:p>
      <w:pPr>
        <w:numPr>
          <w:ilvl w:val="0"/>
          <w:numId w:val="1005"/>
        </w:numPr>
      </w:pPr>
      <w:r>
        <w:rPr>
          <w:rFonts w:hint="eastAsia"/>
        </w:rPr>
        <w:t xml:space="preserve">特許存続期間の圧力</w:t>
      </w:r>
    </w:p>
    <w:p>
      <w:pPr>
        <w:numPr>
          <w:ilvl w:val="0"/>
          <w:numId w:val="1005"/>
        </w:numPr>
      </w:pPr>
      <w:r>
        <w:rPr>
          <w:rFonts w:hint="eastAsia"/>
        </w:rPr>
        <w:t xml:space="preserve">競合他社の動向</w:t>
      </w:r>
    </w:p>
    <w:p>
      <w:pPr>
        <w:numPr>
          <w:ilvl w:val="0"/>
          <w:numId w:val="1005"/>
        </w:numPr>
      </w:pPr>
      <w:r>
        <w:rPr>
          <w:rFonts w:hint="eastAsia"/>
        </w:rPr>
        <w:t xml:space="preserve">医師の受容、価格設定、および商業的可能性</w:t>
      </w:r>
    </w:p>
    <w:p>
      <w:pPr>
        <w:numPr>
          <w:ilvl w:val="0"/>
          <w:numId w:val="1005"/>
        </w:numPr>
      </w:pPr>
      <w:r>
        <w:rPr>
          <w:rFonts w:hint="eastAsia"/>
        </w:rPr>
        <w:t xml:space="preserve">資本の制約とパートナーシップの選択肢</w:t>
      </w:r>
    </w:p>
    <w:p>
      <w:pPr>
        <w:numPr>
          <w:ilvl w:val="0"/>
          <w:numId w:val="1005"/>
        </w:numPr>
      </w:pPr>
      <w:r>
        <w:rPr>
          <w:rFonts w:hint="eastAsia"/>
        </w:rPr>
        <w:t xml:space="preserve">5つの定量的図表と10の討議設問</w:t>
      </w:r>
    </w:p>
    <w:p>
      <w:pPr>
        <w:pStyle w:val="FirstParagraph"/>
      </w:pPr>
      <w:r>
        <w:rPr>
          <w:rFonts w:hint="eastAsia"/>
        </w:rPr>
        <w:t xml:space="preserve">この設定は、フェーズIII試験がしばしば約300〜3,000人の参加者を含むというFDAのガイダンス、完了した試験は平均して約12か月の遅延を経験する可能性があるという公表された証拠、そしてヒト試験に入った化合物のうち最終的に承認を得るのは一部にすぎないと推定する研究によって動機づけられている。</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s://warrenpowell.org/decision-framing-tool/#decision-prioritization-tool" TargetMode="External" /><Relationship Type="http://schemas.openxmlformats.org/officeDocument/2006/relationships/hyperlink" Id="rId22" Target="https://warrenpowell.org/decision-framing-tool/#metrics-pyramid-tool" TargetMode="External" /><Relationship Type="http://schemas.openxmlformats.org/officeDocument/2006/relationships/hyperlink" Id="rId25" Target="https://warrenpowell.org/decision-framing-tool/#uncertainty-prioritization-tool" TargetMode="External" /><Relationship Type="http://schemas.openxmlformats.org/officeDocument/2006/relationships/hyperlink" Id="rId24" Target="https://warrenpowell.org/decisionsdecisions/#types-of-decision-settings" TargetMode="External" /><Relationship Type="http://schemas.openxmlformats.org/officeDocument/2006/relationships/hyperlink" Id="rId26"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3" Target="https://warrenpowell.org/decision-framing-tool/#decision-prioritization-tool" TargetMode="External" /><Relationship Type="http://schemas.openxmlformats.org/officeDocument/2006/relationships/hyperlink" Id="rId22" Target="https://warrenpowell.org/decision-framing-tool/#metrics-pyramid-tool" TargetMode="External" /><Relationship Type="http://schemas.openxmlformats.org/officeDocument/2006/relationships/hyperlink" Id="rId25" Target="https://warrenpowell.org/decision-framing-tool/#uncertainty-prioritization-tool" TargetMode="External" /><Relationship Type="http://schemas.openxmlformats.org/officeDocument/2006/relationships/hyperlink" Id="rId24" Target="https://warrenpowell.org/decisionsdecisions/#types-of-decision-settings" TargetMode="External" /><Relationship Type="http://schemas.openxmlformats.org/officeDocument/2006/relationships/hyperlink" Id="rId26"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2026-09-11T17:38:19Z</dcterms:created>
  <dcterms:modified xsi:type="dcterms:W3CDTF">2026-09-11T17:38:19Z</dcterms:modified>
</cp:coreProperties>
</file>

<file path=docProps/custom.xml><?xml version="1.0" encoding="utf-8"?>
<Properties xmlns="http://schemas.openxmlformats.org/officeDocument/2006/custom-properties" xmlns:vt="http://schemas.openxmlformats.org/officeDocument/2006/docPropsVTypes"/>
</file>