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ディスパッチ・ダイナミクス:</w:t>
      </w:r>
    </w:p>
    <w:p>
      <w:pPr>
        <w:pStyle w:val="BodyText"/>
      </w:pPr>
      <w:r>
        <w:rPr>
          <w:rFonts w:hint="eastAsia"/>
        </w:rPr>
        <w:t xml:space="preserve">推奨のギャップ</w:t>
      </w:r>
    </w:p>
    <w:p>
      <w:pPr>
        <w:pStyle w:val="BodyText"/>
      </w:pPr>
      <w:r>
        <w:rPr>
          <w:rFonts w:hint="eastAsia"/>
        </w:rPr>
        <w:t xml:space="preserve">決定自動化企業が実装の最後の一マイルに直面する</w:t>
      </w:r>
    </w:p>
    <w:p>
      <w:pPr>
        <w:pStyle w:val="BodyText"/>
      </w:pPr>
      <w:r>
        <w:rPr>
          <w:rFonts w:hint="eastAsia"/>
          <w:b/>
          <w:bCs/>
        </w:rPr>
        <w:t xml:space="preserve">月曜日のレビュー</w:t>
      </w:r>
    </w:p>
    <w:p>
      <w:pPr>
        <w:pStyle w:val="BodyText"/>
      </w:pPr>
      <w:r>
        <w:rPr>
          <w:rFonts w:hint="eastAsia"/>
        </w:rPr>
        <w:t xml:space="preserve">月曜日の朝7時15分、Dispatch</w:t>
      </w:r>
      <w:r>
        <w:t xml:space="preserve"> </w:t>
      </w:r>
      <w:r>
        <w:rPr>
          <w:rFonts w:hint="eastAsia"/>
        </w:rPr>
        <w:t xml:space="preserve">Dynamicsの最高顧客責任者であるMaya</w:t>
      </w:r>
      <w:r>
        <w:t xml:space="preserve"> </w:t>
      </w:r>
      <w:r>
        <w:rPr>
          <w:rFonts w:hint="eastAsia"/>
        </w:rPr>
        <w:t xml:space="preserve">Chenは、会社の営業ストーリーと矛盾するように見えるダッシュボードを検討していた。このソフトウェア企業は、トラックロード配車プラットフォームの導入を12件完了していた。複数の顧客が、トラクター当たり収益、積載マイル、計画生産性、ネットワークの一貫性において意味のある向上を報告していた。しかし、ポートフォリオ全体で見ると、対象となるドライバー推奨のうち、実質的な変更なしに実行されたのはわずか43パーセントに過ぎなかった。</w:t>
      </w:r>
    </w:p>
    <w:p>
      <w:pPr>
        <w:pStyle w:val="BodyText"/>
      </w:pPr>
      <w:r>
        <w:rPr>
          <w:rFonts w:hint="eastAsia"/>
        </w:rPr>
        <w:t xml:space="preserve">この数字が懸念されたのは、システムが単に予測を表示するだけではなかったからだ。数分ごとに、利用可能なドライバー、確定済みの積荷、予想される貨物、ドライバーのスケジュール、帰宅時間の要件、機材上の制約、ネットワークの不確実性を評価していた。そしてそれぞれのドライバーが次に何をすべきかを推奨していた。プロダクトチームは、これらの推奨をより広範に利用することが不可欠だと考えていた。個々に見れば合理的に見える局所的な決定が、ネットワークの他の部分で将来の選択肢を減らす可能性があるからだ。</w:t>
      </w:r>
    </w:p>
    <w:p>
      <w:pPr>
        <w:pStyle w:val="BodyText"/>
      </w:pPr>
      <w:r>
        <w:rPr>
          <w:rFonts w:hint="eastAsia"/>
        </w:rPr>
        <w:t xml:space="preserve">しかし、この採用率の指標は、明らかにしている以上に多くを隠していた。ある顧客は推奨の82パーセントに従い、トラクター当たり収益を向上させていた。別の顧客はわずか31パーセントしか従わなかったが、ディスパッチャーはソフトウェアが理解していないサービス上のコミットメントを守っているのだと主張した。三つ目の顧客は採用率が高いように見えたが、監査の結果、プランナーが推奨が生成される前にドライバーと積荷のデータを変更しており、実質的には答えを誘導しながら遵守しているように見せかけていたことが判明した。</w:t>
      </w:r>
    </w:p>
    <w:p>
      <w:pPr>
        <w:pStyle w:val="BodyText"/>
      </w:pPr>
      <w:r>
        <w:rPr>
          <w:rFonts w:hint="eastAsia"/>
        </w:rPr>
        <w:t xml:space="preserve">Chenは、3週間後の四半期運営会議で全社的な対応策を提案するよう求められていた。Dispatch</w:t>
      </w:r>
      <w:r>
        <w:t xml:space="preserve"> </w:t>
      </w:r>
      <w:r>
        <w:rPr>
          <w:rFonts w:hint="eastAsia"/>
        </w:rPr>
        <w:t xml:space="preserve">Dynamicsは、より良いプロダクト説明、より集中的な実装支援、ユーザー行動に関する正式な研究、改善されたデータ診断、あるいは配車ワークフローの再設計に投資することができた。また、低い遵守率が時として合理的なものであり、プロダクトがオーバーライドからもっと学ぶ必要があると結論づけることもできた。証拠は一つの方向を明確に指し示してはいなかった。</w:t>
      </w:r>
    </w:p>
    <w:bookmarkStart w:id="9" w:name="プロダクトとその約束"/>
    <w:p>
      <w:pPr>
        <w:pStyle w:val="Heading1"/>
      </w:pPr>
      <w:r>
        <w:rPr>
          <w:rFonts w:hint="eastAsia"/>
        </w:rPr>
        <w:t xml:space="preserve">プロダクトとその約束</w:t>
      </w:r>
    </w:p>
    <w:p>
      <w:pPr>
        <w:pStyle w:val="FirstParagraph"/>
      </w:pPr>
      <w:r>
        <w:t xml:space="preserve">Dispatch </w:t>
      </w:r>
      <w:r>
        <w:rPr>
          <w:rFonts w:hint="eastAsia"/>
        </w:rPr>
        <w:t xml:space="preserve">Dynamicsは、中規模および大規模なトラックロード運送業者に対して決定自動化ソフトウェアを販売していた。このプラットフォームは、下流への影響を考慮しながら、積荷受諾およびドライバー配車の推奨を生成していた。その中心的な主張は、プランナーがドライバーと積荷の組み合わせを、直近の収益や空車マイルだけで評価すべきではないというものだった。その組み合わせは、ドライバーがどこに位置することになるか、どの将来の積荷が実行可能なままであるか、帰宅時間のコミットメントが満たせるかどうか、そして希少な輸送能力がネットワーク全体でどのように分配されるかも変えてしまうのだ。</w:t>
      </w:r>
    </w:p>
    <w:p>
      <w:pPr>
        <w:pStyle w:val="BodyText"/>
      </w:pPr>
      <w:r>
        <w:rPr>
          <w:rFonts w:hint="eastAsia"/>
        </w:rPr>
        <w:t xml:space="preserve">成功した実装は、ディスパッチャーの役割を変えていた。実行可能な割り当てをすべて手作業で検索するのではなく、ユーザーは推奨を監視し、例外を処理し、ドライバーや顧客とコミュニケーションを取り、欠落した情報を修正した。最も成功した顧客サイトでは、経営陣がこの移行をソフトウェアのインストールではなく運用モデルの変更だと表現していた。より弱いサイトでは、新しいシステムが既存のスプレッドシート、メッセージスレッド、非公式な規則と並行して挿入されているだけだった。</w:t>
      </w:r>
    </w:p>
    <w:p>
      <w:pPr>
        <w:pStyle w:val="BodyText"/>
      </w:pPr>
      <w:r>
        <w:rPr>
          <w:rFonts w:hint="eastAsia"/>
        </w:rPr>
        <w:t xml:space="preserve">図</w:t>
      </w:r>
      <w:r>
        <w:t xml:space="preserve"> 1. </w:t>
      </w:r>
      <w:r>
        <w:rPr>
          <w:rFonts w:hint="eastAsia"/>
        </w:rPr>
        <w:t xml:space="preserve">6ヶ月後に選定された実装結果</w:t>
      </w:r>
    </w:p>
    <w:tbl>
      <w:tblPr>
        <w:tblStyle w:val="Table"/>
        <w:tblW w:type="pct" w:w="4921"/>
        <w:tblLayout w:type="fixed"/>
        <w:tblLook w:firstRow="1" w:lastRow="0" w:firstColumn="0" w:lastColumn="0" w:noHBand="0" w:noVBand="0" w:val="0020"/>
      </w:tblPr>
      <w:tblGrid>
        <w:gridCol w:w="1320"/>
        <w:gridCol w:w="502"/>
        <w:gridCol w:w="1697"/>
        <w:gridCol w:w="1571"/>
        <w:gridCol w:w="1257"/>
        <w:gridCol w:w="1445"/>
      </w:tblGrid>
      <w:tr>
        <w:trPr>
          <w:tblHeader w:val="on"/>
        </w:trPr>
        <w:tc>
          <w:tcPr/>
          <w:p>
            <w:pPr>
              <w:pStyle w:val="Compact"/>
              <w:jc w:val="left"/>
            </w:pPr>
            <w:r>
              <w:rPr>
                <w:rFonts w:hint="eastAsia"/>
              </w:rPr>
              <w:t xml:space="preserve">顧客</w:t>
            </w:r>
          </w:p>
        </w:tc>
        <w:tc>
          <w:tcPr/>
          <w:p>
            <w:pPr>
              <w:pStyle w:val="Compact"/>
              <w:jc w:val="right"/>
            </w:pPr>
            <w:r>
              <w:rPr>
                <w:rFonts w:hint="eastAsia"/>
              </w:rPr>
              <w:t xml:space="preserve">車両数</w:t>
            </w:r>
          </w:p>
        </w:tc>
        <w:tc>
          <w:tcPr/>
          <w:p>
            <w:pPr>
              <w:pStyle w:val="Compact"/>
              <w:jc w:val="center"/>
            </w:pPr>
            <w:r>
              <w:rPr>
                <w:rFonts w:hint="eastAsia"/>
              </w:rPr>
              <w:t xml:space="preserve">推奨遵守率</w:t>
            </w:r>
          </w:p>
        </w:tc>
        <w:tc>
          <w:tcPr/>
          <w:p>
            <w:pPr>
              <w:pStyle w:val="Compact"/>
              <w:jc w:val="right"/>
            </w:pPr>
            <w:r>
              <w:rPr>
                <w:rFonts w:hint="eastAsia"/>
              </w:rPr>
              <w:t xml:space="preserve">トラクター当たり収益変化</w:t>
            </w:r>
          </w:p>
        </w:tc>
        <w:tc>
          <w:tcPr/>
          <w:p>
            <w:pPr>
              <w:pStyle w:val="Compact"/>
              <w:jc w:val="center"/>
            </w:pPr>
            <w:r>
              <w:rPr>
                <w:rFonts w:hint="eastAsia"/>
              </w:rPr>
              <w:t xml:space="preserve">空車マイル変化</w:t>
            </w:r>
          </w:p>
        </w:tc>
        <w:tc>
          <w:tcPr/>
          <w:p>
            <w:pPr>
              <w:pStyle w:val="Compact"/>
              <w:jc w:val="center"/>
            </w:pPr>
            <w:r>
              <w:rPr>
                <w:rFonts w:hint="eastAsia"/>
              </w:rPr>
              <w:t xml:space="preserve">プランナー生産性</w:t>
            </w:r>
          </w:p>
        </w:tc>
      </w:tr>
      <w:tr>
        <w:tc>
          <w:tcPr/>
          <w:p>
            <w:pPr>
              <w:pStyle w:val="Compact"/>
              <w:jc w:val="left"/>
            </w:pPr>
            <w:r>
              <w:t xml:space="preserve">Northstar Freight</w:t>
            </w:r>
          </w:p>
        </w:tc>
        <w:tc>
          <w:tcPr/>
          <w:p>
            <w:pPr>
              <w:pStyle w:val="Compact"/>
              <w:jc w:val="right"/>
            </w:pPr>
            <w:r>
              <w:t xml:space="preserve">420</w:t>
            </w:r>
          </w:p>
        </w:tc>
        <w:tc>
          <w:tcPr/>
          <w:p>
            <w:pPr>
              <w:pStyle w:val="Compact"/>
              <w:jc w:val="center"/>
            </w:pPr>
            <w:r>
              <w:t xml:space="preserve">82%</w:t>
            </w:r>
          </w:p>
        </w:tc>
        <w:tc>
          <w:tcPr/>
          <w:p>
            <w:pPr>
              <w:pStyle w:val="Compact"/>
              <w:jc w:val="right"/>
            </w:pPr>
            <w:r>
              <w:t xml:space="preserve">+8.1%</w:t>
            </w:r>
          </w:p>
        </w:tc>
        <w:tc>
          <w:tcPr/>
          <w:p>
            <w:pPr>
              <w:pStyle w:val="Compact"/>
              <w:jc w:val="center"/>
            </w:pPr>
            <w:r>
              <w:t xml:space="preserve">-7.4%</w:t>
            </w:r>
          </w:p>
        </w:tc>
        <w:tc>
          <w:tcPr/>
          <w:p>
            <w:pPr>
              <w:pStyle w:val="Compact"/>
              <w:jc w:val="center"/>
            </w:pPr>
            <w:r>
              <w:t xml:space="preserve">+32%</w:t>
            </w:r>
          </w:p>
        </w:tc>
      </w:tr>
      <w:tr>
        <w:tc>
          <w:tcPr/>
          <w:p>
            <w:pPr>
              <w:pStyle w:val="Compact"/>
              <w:jc w:val="left"/>
            </w:pPr>
            <w:r>
              <w:t xml:space="preserve">Redwood Carriers</w:t>
            </w:r>
          </w:p>
        </w:tc>
        <w:tc>
          <w:tcPr/>
          <w:p>
            <w:pPr>
              <w:pStyle w:val="Compact"/>
              <w:jc w:val="right"/>
            </w:pPr>
            <w:r>
              <w:t xml:space="preserve">690</w:t>
            </w:r>
          </w:p>
        </w:tc>
        <w:tc>
          <w:tcPr/>
          <w:p>
            <w:pPr>
              <w:pStyle w:val="Compact"/>
              <w:jc w:val="center"/>
            </w:pPr>
            <w:r>
              <w:t xml:space="preserve">61%</w:t>
            </w:r>
          </w:p>
        </w:tc>
        <w:tc>
          <w:tcPr/>
          <w:p>
            <w:pPr>
              <w:pStyle w:val="Compact"/>
              <w:jc w:val="right"/>
            </w:pPr>
            <w:r>
              <w:t xml:space="preserve">+3.6%</w:t>
            </w:r>
          </w:p>
        </w:tc>
        <w:tc>
          <w:tcPr/>
          <w:p>
            <w:pPr>
              <w:pStyle w:val="Compact"/>
              <w:jc w:val="center"/>
            </w:pPr>
            <w:r>
              <w:t xml:space="preserve">-2.1%</w:t>
            </w:r>
          </w:p>
        </w:tc>
        <w:tc>
          <w:tcPr/>
          <w:p>
            <w:pPr>
              <w:pStyle w:val="Compact"/>
              <w:jc w:val="center"/>
            </w:pPr>
            <w:r>
              <w:t xml:space="preserve">+18%</w:t>
            </w:r>
          </w:p>
        </w:tc>
      </w:tr>
      <w:tr>
        <w:tc>
          <w:tcPr/>
          <w:p>
            <w:pPr>
              <w:pStyle w:val="Compact"/>
              <w:jc w:val="left"/>
            </w:pPr>
            <w:r>
              <w:t xml:space="preserve">Crescent Transport</w:t>
            </w:r>
          </w:p>
        </w:tc>
        <w:tc>
          <w:tcPr/>
          <w:p>
            <w:pPr>
              <w:pStyle w:val="Compact"/>
              <w:jc w:val="right"/>
            </w:pPr>
            <w:r>
              <w:t xml:space="preserve">310</w:t>
            </w:r>
          </w:p>
        </w:tc>
        <w:tc>
          <w:tcPr/>
          <w:p>
            <w:pPr>
              <w:pStyle w:val="Compact"/>
              <w:jc w:val="center"/>
            </w:pPr>
            <w:r>
              <w:t xml:space="preserve">47%</w:t>
            </w:r>
          </w:p>
        </w:tc>
        <w:tc>
          <w:tcPr/>
          <w:p>
            <w:pPr>
              <w:pStyle w:val="Compact"/>
              <w:jc w:val="right"/>
            </w:pPr>
            <w:r>
              <w:t xml:space="preserve">+1.2%</w:t>
            </w:r>
          </w:p>
        </w:tc>
        <w:tc>
          <w:tcPr/>
          <w:p>
            <w:pPr>
              <w:pStyle w:val="Compact"/>
              <w:jc w:val="center"/>
            </w:pPr>
            <w:r>
              <w:t xml:space="preserve">+0.8%</w:t>
            </w:r>
          </w:p>
        </w:tc>
        <w:tc>
          <w:tcPr/>
          <w:p>
            <w:pPr>
              <w:pStyle w:val="Compact"/>
              <w:jc w:val="center"/>
            </w:pPr>
            <w:r>
              <w:t xml:space="preserve">+11%</w:t>
            </w:r>
          </w:p>
        </w:tc>
      </w:tr>
      <w:tr>
        <w:tc>
          <w:tcPr/>
          <w:p>
            <w:pPr>
              <w:pStyle w:val="Compact"/>
              <w:jc w:val="left"/>
            </w:pPr>
            <w:r>
              <w:t xml:space="preserve">Pioneer Logistics</w:t>
            </w:r>
          </w:p>
        </w:tc>
        <w:tc>
          <w:tcPr/>
          <w:p>
            <w:pPr>
              <w:pStyle w:val="Compact"/>
              <w:jc w:val="right"/>
            </w:pPr>
            <w:r>
              <w:t xml:space="preserve">540</w:t>
            </w:r>
          </w:p>
        </w:tc>
        <w:tc>
          <w:tcPr/>
          <w:p>
            <w:pPr>
              <w:pStyle w:val="Compact"/>
              <w:jc w:val="center"/>
            </w:pPr>
            <w:r>
              <w:t xml:space="preserve">31%</w:t>
            </w:r>
          </w:p>
        </w:tc>
        <w:tc>
          <w:tcPr/>
          <w:p>
            <w:pPr>
              <w:pStyle w:val="Compact"/>
              <w:jc w:val="right"/>
            </w:pPr>
            <w:r>
              <w:t xml:space="preserve">-0.4%</w:t>
            </w:r>
          </w:p>
        </w:tc>
        <w:tc>
          <w:tcPr/>
          <w:p>
            <w:pPr>
              <w:pStyle w:val="Compact"/>
              <w:jc w:val="center"/>
            </w:pPr>
            <w:r>
              <w:t xml:space="preserve">-1.7%</w:t>
            </w:r>
          </w:p>
        </w:tc>
        <w:tc>
          <w:tcPr/>
          <w:p>
            <w:pPr>
              <w:pStyle w:val="Compact"/>
              <w:jc w:val="center"/>
            </w:pPr>
            <w:r>
              <w:t xml:space="preserve">+6%</w:t>
            </w:r>
          </w:p>
        </w:tc>
      </w:tr>
      <w:tr>
        <w:tc>
          <w:tcPr/>
          <w:p>
            <w:pPr>
              <w:pStyle w:val="Compact"/>
              <w:jc w:val="left"/>
            </w:pPr>
            <w:r>
              <w:t xml:space="preserve">Summit Haulage</w:t>
            </w:r>
          </w:p>
        </w:tc>
        <w:tc>
          <w:tcPr/>
          <w:p>
            <w:pPr>
              <w:pStyle w:val="Compact"/>
              <w:jc w:val="right"/>
            </w:pPr>
            <w:r>
              <w:t xml:space="preserve">225</w:t>
            </w:r>
          </w:p>
        </w:tc>
        <w:tc>
          <w:tcPr/>
          <w:p>
            <w:pPr>
              <w:pStyle w:val="Compact"/>
              <w:jc w:val="center"/>
            </w:pPr>
            <w:r>
              <w:t xml:space="preserve">68%</w:t>
            </w:r>
          </w:p>
        </w:tc>
        <w:tc>
          <w:tcPr/>
          <w:p>
            <w:pPr>
              <w:pStyle w:val="Compact"/>
              <w:jc w:val="right"/>
            </w:pPr>
            <w:r>
              <w:t xml:space="preserve">+5.0%</w:t>
            </w:r>
          </w:p>
        </w:tc>
        <w:tc>
          <w:tcPr/>
          <w:p>
            <w:pPr>
              <w:pStyle w:val="Compact"/>
              <w:jc w:val="center"/>
            </w:pPr>
            <w:r>
              <w:t xml:space="preserve">-5.9%</w:t>
            </w:r>
          </w:p>
        </w:tc>
        <w:tc>
          <w:tcPr/>
          <w:p>
            <w:pPr>
              <w:pStyle w:val="Compact"/>
              <w:jc w:val="center"/>
            </w:pPr>
            <w:r>
              <w:t xml:space="preserve">+24%</w:t>
            </w:r>
          </w:p>
        </w:tc>
      </w:tr>
      <w:tr>
        <w:tc>
          <w:tcPr/>
          <w:p>
            <w:pPr>
              <w:pStyle w:val="Compact"/>
              <w:jc w:val="left"/>
            </w:pPr>
            <w:r>
              <w:rPr>
                <w:rFonts w:hint="eastAsia"/>
              </w:rPr>
              <w:t xml:space="preserve">ポートフォリオ中央値</w:t>
            </w:r>
          </w:p>
        </w:tc>
        <w:tc>
          <w:tcPr/>
          <w:p>
            <w:pPr>
              <w:pStyle w:val="Compact"/>
              <w:jc w:val="right"/>
            </w:pPr>
            <w:r>
              <w:t xml:space="preserve">—</w:t>
            </w:r>
          </w:p>
        </w:tc>
        <w:tc>
          <w:tcPr/>
          <w:p>
            <w:pPr>
              <w:pStyle w:val="Compact"/>
              <w:jc w:val="center"/>
            </w:pPr>
            <w:r>
              <w:t xml:space="preserve">52%</w:t>
            </w:r>
          </w:p>
        </w:tc>
        <w:tc>
          <w:tcPr/>
          <w:p>
            <w:pPr>
              <w:pStyle w:val="Compact"/>
              <w:jc w:val="right"/>
            </w:pPr>
            <w:r>
              <w:t xml:space="preserve">+2.9%</w:t>
            </w:r>
          </w:p>
        </w:tc>
        <w:tc>
          <w:tcPr/>
          <w:p>
            <w:pPr>
              <w:pStyle w:val="Compact"/>
              <w:jc w:val="center"/>
            </w:pPr>
            <w:r>
              <w:t xml:space="preserve">-1.9%</w:t>
            </w:r>
          </w:p>
        </w:tc>
        <w:tc>
          <w:tcPr/>
          <w:p>
            <w:pPr>
              <w:pStyle w:val="Compact"/>
              <w:jc w:val="center"/>
            </w:pPr>
            <w:r>
              <w:t xml:space="preserve">+17%</w:t>
            </w:r>
          </w:p>
        </w:tc>
      </w:tr>
    </w:tbl>
    <w:p>
      <w:pPr>
        <w:pStyle w:val="BodyText"/>
      </w:pPr>
      <w:r>
        <w:rPr>
          <w:rFonts w:hint="eastAsia"/>
        </w:rPr>
        <w:t xml:space="preserve">注:</w:t>
      </w:r>
      <w:r>
        <w:t xml:space="preserve"> </w:t>
      </w:r>
      <w:r>
        <w:rPr>
          <w:rFonts w:hint="eastAsia"/>
        </w:rPr>
        <w:t xml:space="preserve">すべての企業と数値は架空のものである。「遵守」とは、推奨されたドライバー・積荷アクションが、決定ウィンドウ内で実質的な変更なしに実行されたことを意味する。パフォーマンスの変化は、各顧客の実装前ベースラインと比較して測定されており、制御実験ではない。</w:t>
      </w:r>
    </w:p>
    <w:bookmarkEnd w:id="9"/>
    <w:bookmarkStart w:id="10" w:name="オーバーライドとは何であったか"/>
    <w:p>
      <w:pPr>
        <w:pStyle w:val="Heading1"/>
      </w:pPr>
      <w:r>
        <w:rPr>
          <w:rFonts w:hint="eastAsia"/>
        </w:rPr>
        <w:t xml:space="preserve">オーバーライドとは何であったか</w:t>
      </w:r>
    </w:p>
    <w:p>
      <w:pPr>
        <w:pStyle w:val="FirstParagraph"/>
      </w:pPr>
      <w:r>
        <w:rPr>
          <w:rFonts w:hint="eastAsia"/>
        </w:rPr>
        <w:t xml:space="preserve">顧客サクセスチームは当初、すべてのオーバーライドをユーザーが推奨を拒否した証拠として扱っていた。ディスパッチャーはこれに異議を唱えた。彼らは、このラベルが少なくとも4つの異なる状況を組み合わせていると主張した。すなわち、データが誤っていたために推奨が実行不可能だった場合、推奨は実行可能だったが顧客やドライバーとのコミットメントを反映していなかった場合、経験に基づいてユーザーが別のアクションを好んだ場合、あるいは実行前に運用上の出来事が変化した場合、である。</w:t>
      </w:r>
    </w:p>
    <w:p>
      <w:pPr>
        <w:pStyle w:val="BodyText"/>
      </w:pPr>
      <w:r>
        <w:rPr>
          <w:rFonts w:hint="eastAsia"/>
        </w:rPr>
        <w:t xml:space="preserve">プラットフォームは推奨が実行されたかどうかは捕捉していたが、なぜそれが変更されたかを一貫して捕捉してはいなかった。自由記述のメモは任意であり、用語は顧客によって異なっていた。ある2週間の監査では、アナリストがプランナーへのインタビューや、メッセージ、テレマティクス、注文履歴のレビューを通じて1,284件のオーバーライドを再構成した。その結果は、ユーザーが単に信頼を欠いていただけだという単純な解釈を弱めるものだった。</w:t>
      </w:r>
    </w:p>
    <w:p>
      <w:pPr>
        <w:pStyle w:val="BodyText"/>
      </w:pPr>
      <w:r>
        <w:rPr>
          <w:rFonts w:hint="eastAsia"/>
        </w:rPr>
        <w:t xml:space="preserve">図</w:t>
      </w:r>
      <w:r>
        <w:t xml:space="preserve"> 2. </w:t>
      </w:r>
      <w:r>
        <w:rPr>
          <w:rFonts w:hint="eastAsia"/>
        </w:rPr>
        <w:t xml:space="preserve">1,284件の推奨オーバーライドについて再構成された理由</w:t>
      </w:r>
    </w:p>
    <w:tbl>
      <w:tblPr>
        <w:tblStyle w:val="Table"/>
        <w:tblW w:type="pct" w:w="4930"/>
        <w:tblLayout w:type="fixed"/>
        <w:tblLook w:firstRow="1" w:lastRow="0" w:firstColumn="0" w:lastColumn="0" w:noHBand="0" w:noVBand="0" w:val="0020"/>
      </w:tblPr>
      <w:tblGrid>
        <w:gridCol w:w="2603"/>
        <w:gridCol w:w="1329"/>
        <w:gridCol w:w="3876"/>
      </w:tblGrid>
      <w:tr>
        <w:trPr>
          <w:tblHeader w:val="on"/>
        </w:trPr>
        <w:tc>
          <w:tcPr/>
          <w:p>
            <w:pPr>
              <w:pStyle w:val="Compact"/>
              <w:jc w:val="left"/>
            </w:pPr>
            <w:r>
              <w:rPr>
                <w:rFonts w:hint="eastAsia"/>
              </w:rPr>
              <w:t xml:space="preserve">レビュー後に割り当てられた理由</w:t>
            </w:r>
          </w:p>
        </w:tc>
        <w:tc>
          <w:tcPr/>
          <w:p>
            <w:pPr>
              <w:pStyle w:val="Compact"/>
              <w:jc w:val="left"/>
            </w:pPr>
            <w:r>
              <w:rPr>
                <w:rFonts w:hint="eastAsia"/>
              </w:rPr>
              <w:t xml:space="preserve">割合</w:t>
            </w:r>
          </w:p>
        </w:tc>
        <w:tc>
          <w:tcPr/>
          <w:p>
            <w:pPr>
              <w:pStyle w:val="Compact"/>
              <w:jc w:val="left"/>
            </w:pPr>
            <w:r>
              <w:rPr>
                <w:rFonts w:hint="eastAsia"/>
              </w:rPr>
              <w:t xml:space="preserve">例示的な問題</w:t>
            </w:r>
          </w:p>
        </w:tc>
      </w:tr>
      <w:tr>
        <w:tc>
          <w:tcPr/>
          <w:p>
            <w:pPr>
              <w:pStyle w:val="Compact"/>
              <w:jc w:val="left"/>
            </w:pPr>
            <w:r>
              <w:rPr>
                <w:rFonts w:hint="eastAsia"/>
              </w:rPr>
              <w:t xml:space="preserve">欠落または古い運用データ</w:t>
            </w:r>
          </w:p>
        </w:tc>
        <w:tc>
          <w:tcPr/>
          <w:p>
            <w:pPr>
              <w:pStyle w:val="Compact"/>
              <w:jc w:val="left"/>
            </w:pPr>
            <w:r>
              <w:t xml:space="preserve">24%</w:t>
            </w:r>
          </w:p>
        </w:tc>
        <w:tc>
          <w:tcPr/>
          <w:p>
            <w:pPr>
              <w:pStyle w:val="Compact"/>
              <w:jc w:val="left"/>
            </w:pPr>
            <w:r>
              <w:rPr>
                <w:rFonts w:hint="eastAsia"/>
              </w:rPr>
              <w:t xml:space="preserve">ドライバーの位置、労働時間、機材、予約、積荷状況</w:t>
            </w:r>
          </w:p>
        </w:tc>
      </w:tr>
      <w:tr>
        <w:tc>
          <w:tcPr/>
          <w:p>
            <w:pPr>
              <w:pStyle w:val="Compact"/>
              <w:jc w:val="left"/>
            </w:pPr>
            <w:r>
              <w:rPr>
                <w:rFonts w:hint="eastAsia"/>
              </w:rPr>
              <w:t xml:space="preserve">モデル化されていないコミットメントや選好</w:t>
            </w:r>
          </w:p>
        </w:tc>
        <w:tc>
          <w:tcPr/>
          <w:p>
            <w:pPr>
              <w:pStyle w:val="Compact"/>
              <w:jc w:val="left"/>
            </w:pPr>
            <w:r>
              <w:t xml:space="preserve">21%</w:t>
            </w:r>
          </w:p>
        </w:tc>
        <w:tc>
          <w:tcPr/>
          <w:p>
            <w:pPr>
              <w:pStyle w:val="Compact"/>
              <w:jc w:val="left"/>
            </w:pPr>
            <w:r>
              <w:rPr>
                <w:rFonts w:hint="eastAsia"/>
              </w:rPr>
              <w:t xml:space="preserve">帰宅時間、顧客への約束、ドライバーとの関係、整備工場への訪問</w:t>
            </w:r>
          </w:p>
        </w:tc>
      </w:tr>
      <w:tr>
        <w:tc>
          <w:tcPr/>
          <w:p>
            <w:pPr>
              <w:pStyle w:val="Compact"/>
              <w:jc w:val="left"/>
            </w:pPr>
            <w:r>
              <w:rPr>
                <w:rFonts w:hint="eastAsia"/>
              </w:rPr>
              <w:t xml:space="preserve">推奨がもはや最新ではなかった</w:t>
            </w:r>
          </w:p>
        </w:tc>
        <w:tc>
          <w:tcPr/>
          <w:p>
            <w:pPr>
              <w:pStyle w:val="Compact"/>
              <w:jc w:val="left"/>
            </w:pPr>
            <w:r>
              <w:t xml:space="preserve">16%</w:t>
            </w:r>
          </w:p>
        </w:tc>
        <w:tc>
          <w:tcPr/>
          <w:p>
            <w:pPr>
              <w:pStyle w:val="Compact"/>
              <w:jc w:val="left"/>
            </w:pPr>
            <w:r>
              <w:rPr>
                <w:rFonts w:hint="eastAsia"/>
              </w:rPr>
              <w:t xml:space="preserve">集荷の遅延、キャンセル、故障、悪天候、または新たな優先積荷</w:t>
            </w:r>
          </w:p>
        </w:tc>
      </w:tr>
      <w:tr>
        <w:tc>
          <w:tcPr/>
          <w:p>
            <w:pPr>
              <w:pStyle w:val="Compact"/>
              <w:jc w:val="left"/>
            </w:pPr>
            <w:r>
              <w:rPr>
                <w:rFonts w:hint="eastAsia"/>
              </w:rPr>
              <w:t xml:space="preserve">ディスパッチャーがより良いネットワーク成果を期待</w:t>
            </w:r>
          </w:p>
        </w:tc>
        <w:tc>
          <w:tcPr/>
          <w:p>
            <w:pPr>
              <w:pStyle w:val="Compact"/>
              <w:jc w:val="left"/>
            </w:pPr>
            <w:r>
              <w:t xml:space="preserve">した 15%</w:t>
            </w:r>
          </w:p>
        </w:tc>
        <w:tc>
          <w:tcPr/>
          <w:p>
            <w:pPr>
              <w:pStyle w:val="Compact"/>
              <w:jc w:val="left"/>
            </w:pPr>
            <w:r>
              <w:rPr>
                <w:rFonts w:hint="eastAsia"/>
              </w:rPr>
              <w:t xml:space="preserve">ポジショニングの判断、またはシステムに見えていない予想貨物</w:t>
            </w:r>
          </w:p>
        </w:tc>
      </w:tr>
      <w:tr>
        <w:tc>
          <w:tcPr/>
          <w:p>
            <w:pPr>
              <w:pStyle w:val="Compact"/>
              <w:jc w:val="left"/>
            </w:pPr>
            <w:r>
              <w:rPr>
                <w:rFonts w:hint="eastAsia"/>
              </w:rPr>
              <w:t xml:space="preserve">ローカルKPIまたはインセンティブとの対立</w:t>
            </w:r>
          </w:p>
        </w:tc>
        <w:tc>
          <w:tcPr/>
          <w:p>
            <w:pPr>
              <w:pStyle w:val="Compact"/>
              <w:jc w:val="left"/>
            </w:pPr>
            <w:r>
              <w:t xml:space="preserve">11%</w:t>
            </w:r>
          </w:p>
        </w:tc>
        <w:tc>
          <w:tcPr/>
          <w:p>
            <w:pPr>
              <w:pStyle w:val="Compact"/>
              <w:jc w:val="left"/>
            </w:pPr>
            <w:r>
              <w:rPr>
                <w:rFonts w:hint="eastAsia"/>
              </w:rPr>
              <w:t xml:space="preserve">空車マイル目標、顧客スコアカード、車両保有、ボーナス規則</w:t>
            </w:r>
          </w:p>
        </w:tc>
      </w:tr>
      <w:tr>
        <w:tc>
          <w:tcPr/>
          <w:p>
            <w:pPr>
              <w:pStyle w:val="Compact"/>
              <w:jc w:val="left"/>
            </w:pPr>
            <w:r>
              <w:rPr>
                <w:rFonts w:hint="eastAsia"/>
              </w:rPr>
              <w:t xml:space="preserve">ワークフローまたはインターフェースの摩擦</w:t>
            </w:r>
          </w:p>
        </w:tc>
        <w:tc>
          <w:tcPr/>
          <w:p>
            <w:pPr>
              <w:pStyle w:val="Compact"/>
              <w:jc w:val="left"/>
            </w:pPr>
            <w:r>
              <w:t xml:space="preserve">8%</w:t>
            </w:r>
          </w:p>
        </w:tc>
        <w:tc>
          <w:tcPr/>
          <w:p>
            <w:pPr>
              <w:pStyle w:val="Compact"/>
              <w:jc w:val="left"/>
            </w:pPr>
            <w:r>
              <w:rPr>
                <w:rFonts w:hint="eastAsia"/>
              </w:rPr>
              <w:t xml:space="preserve">推奨の到着が遅かった、または重複入力が必要だった</w:t>
            </w:r>
          </w:p>
        </w:tc>
      </w:tr>
      <w:tr>
        <w:tc>
          <w:tcPr/>
          <w:p>
            <w:pPr>
              <w:pStyle w:val="Compact"/>
              <w:jc w:val="left"/>
            </w:pPr>
            <w:r>
              <w:rPr>
                <w:rFonts w:hint="eastAsia"/>
              </w:rPr>
              <w:t xml:space="preserve">正当な理由が特定されなかった</w:t>
            </w:r>
          </w:p>
        </w:tc>
        <w:tc>
          <w:tcPr/>
          <w:p>
            <w:pPr>
              <w:pStyle w:val="Compact"/>
              <w:jc w:val="left"/>
            </w:pPr>
            <w:r>
              <w:t xml:space="preserve">5%</w:t>
            </w:r>
          </w:p>
        </w:tc>
        <w:tc>
          <w:tcPr/>
          <w:p>
            <w:pPr>
              <w:pStyle w:val="Compact"/>
              <w:jc w:val="left"/>
            </w:pPr>
            <w:r>
              <w:rPr>
                <w:rFonts w:hint="eastAsia"/>
              </w:rPr>
              <w:t xml:space="preserve">習慣、違和感、あるいは記録されていない選好</w:t>
            </w:r>
          </w:p>
        </w:tc>
      </w:tr>
    </w:tbl>
    <w:bookmarkEnd w:id="10"/>
    <w:bookmarkStart w:id="11" w:name="五つの競合する説明"/>
    <w:p>
      <w:pPr>
        <w:pStyle w:val="Heading1"/>
      </w:pPr>
      <w:r>
        <w:rPr>
          <w:rFonts w:hint="eastAsia"/>
        </w:rPr>
        <w:t xml:space="preserve">五つの競合する説明</w:t>
      </w:r>
    </w:p>
    <w:p>
      <w:pPr>
        <w:pStyle w:val="FirstParagraph"/>
      </w:pPr>
      <w:r>
        <w:rPr>
          <w:rFonts w:hint="eastAsia"/>
          <w:b/>
          <w:bCs/>
        </w:rPr>
        <w:t xml:space="preserve">プロダクト説明の問題。</w:t>
      </w:r>
      <w:r>
        <w:t xml:space="preserve"> </w:t>
      </w:r>
      <w:r>
        <w:rPr>
          <w:rFonts w:hint="eastAsia"/>
        </w:rPr>
        <w:t xml:space="preserve">ディスパッチャーは推奨されたアクションを見ることはできたが、その背後にあるトレードオフを常に見られるわけではなかった。一部のユーザーは、どの将来の積荷、ドライバーの制約、あるいはネットワーク効果がその推奨を魅力的にしているのかを知りたがった。プロダクトリーダーは自然言語による説明機能を提案したが、研究者たちは、根底にあるデータが誤っていても説得力のある説明が遵守を高める可能性があると警告した。</w:t>
      </w:r>
    </w:p>
    <w:p>
      <w:pPr>
        <w:pStyle w:val="BodyText"/>
      </w:pPr>
      <w:r>
        <w:rPr>
          <w:rFonts w:hint="eastAsia"/>
          <w:b/>
          <w:bCs/>
        </w:rPr>
        <w:t xml:space="preserve">データ準備状況の問題。</w:t>
      </w:r>
      <w:r>
        <w:t xml:space="preserve"> </w:t>
      </w:r>
      <w:r>
        <w:rPr>
          <w:rFonts w:hint="eastAsia"/>
        </w:rPr>
        <w:t xml:space="preserve">最適化エンジンは、タイムリーで正確な情報に依存していた。一部の顧客は、ドライバーの利用可能性、積荷状況、予約の柔軟性、帰宅時間のコミットメントを更新するプロセスが弱かった。顧客側の経営幹部はこれをソフトウェアのエラーだとよく表現したが、ディスパッチャーは手作業の決定を通じて静かに記録を修正していた。</w:t>
      </w:r>
    </w:p>
    <w:p>
      <w:pPr>
        <w:pStyle w:val="BodyText"/>
      </w:pPr>
      <w:r>
        <w:rPr>
          <w:rFonts w:hint="eastAsia"/>
          <w:b/>
          <w:bCs/>
        </w:rPr>
        <w:t xml:space="preserve">運用モデルの問題。</w:t>
      </w:r>
      <w:r>
        <w:t xml:space="preserve"> </w:t>
      </w:r>
      <w:r>
        <w:rPr>
          <w:rFonts w:hint="eastAsia"/>
        </w:rPr>
        <w:t xml:space="preserve">複数の運送業者では、配車の権限が地域プランナー、ドライバーマネージャー、カスタマーサービス担当者、ブローカレッジチームの間で分割されたままだった。ソフトウェアはネットワーク全体で最適化を行っていたが、従業員は地域のサービス、空車マイル、あるいは自分の担当車両のパフォーマンスで評価されていた。ある推奨は会社にとって最善であっても、それを実行するよう求められた人にとってはコストのかかるものになり得た。</w:t>
      </w:r>
    </w:p>
    <w:p>
      <w:pPr>
        <w:pStyle w:val="BodyText"/>
      </w:pPr>
      <w:r>
        <w:rPr>
          <w:rFonts w:hint="eastAsia"/>
          <w:b/>
          <w:bCs/>
        </w:rPr>
        <w:t xml:space="preserve">能力とアイデンティティの問題。</w:t>
      </w:r>
      <w:r>
        <w:t xml:space="preserve"> </w:t>
      </w:r>
      <w:r>
        <w:rPr>
          <w:rFonts w:hint="eastAsia"/>
        </w:rPr>
        <w:t xml:space="preserve">経験豊富なディスパッチャーは、判断力、人間関係、迅速な問題解決の上にキャリアを築いてきていた。一部の者は、自動化を自らの専門性や雇用の安定性への挑戦だと解釈した。他の者は繰り返しの検索作業からの解放を歓迎したが、自分が作成していない推奨に対して責任を問われることを恐れた。</w:t>
      </w:r>
    </w:p>
    <w:p>
      <w:pPr>
        <w:pStyle w:val="BodyText"/>
      </w:pPr>
      <w:r>
        <w:rPr>
          <w:rFonts w:hint="eastAsia"/>
          <w:b/>
          <w:bCs/>
        </w:rPr>
        <w:t xml:space="preserve">アルゴリズム学習の問題。</w:t>
      </w:r>
      <w:r>
        <w:t xml:space="preserve"> </w:t>
      </w:r>
      <w:r>
        <w:rPr>
          <w:rFonts w:hint="eastAsia"/>
        </w:rPr>
        <w:t xml:space="preserve">プロダクトチームは、一部のオーバーライドにモデルが持っていない情報が含まれていることを認めていた。すべての例外を不遵守として扱うことは、貴重な学習を抑制しかねない。しかし、構造化されたフィードバックなしに広範な裁量を許すことは、正当な例外と習慣的な拒否とを区別することを困難にした。</w:t>
      </w:r>
    </w:p>
    <w:bookmarkEnd w:id="11"/>
    <w:bookmarkStart w:id="12" w:name="顧客対比"/>
    <w:p>
      <w:pPr>
        <w:pStyle w:val="Heading1"/>
      </w:pPr>
      <w:r>
        <w:rPr>
          <w:rFonts w:hint="eastAsia"/>
        </w:rPr>
        <w:t xml:space="preserve">顧客対比</w:t>
      </w:r>
    </w:p>
    <w:p>
      <w:pPr>
        <w:pStyle w:val="FirstParagraph"/>
      </w:pPr>
      <w:r>
        <w:t xml:space="preserve">Northstar </w:t>
      </w:r>
      <w:r>
        <w:rPr>
          <w:rFonts w:hint="eastAsia"/>
        </w:rPr>
        <w:t xml:space="preserve">Freightは急速に高い遵守率に達していた。同社の社長は、このプラットフォームがデフォルトの意思決定プロセスになると発表し、従業員に対して役割は消滅するのではなく変化するのだと安心させ、プランナーを共有の運用デスクに移動させた。最初の1ヶ月間、Dispatch</w:t>
      </w:r>
      <w:r>
        <w:t xml:space="preserve"> </w:t>
      </w:r>
      <w:r>
        <w:rPr>
          <w:rFonts w:hint="eastAsia"/>
        </w:rPr>
        <w:t xml:space="preserve">Dynamicsの担当者は毎日のレビューセッションに参加した。すべてのオーバーライドは6つの理由コードのうち1つを必要とし、経営陣はスコアカードを変更して、より良い下流計画を支えるネットワークレベルの空車移動についてプランナーが罰せられないようにした。</w:t>
      </w:r>
    </w:p>
    <w:p>
      <w:pPr>
        <w:pStyle w:val="BodyText"/>
      </w:pPr>
      <w:r>
        <w:t xml:space="preserve">Pioneer </w:t>
      </w:r>
      <w:r>
        <w:rPr>
          <w:rFonts w:hint="eastAsia"/>
        </w:rPr>
        <w:t xml:space="preserve">Logisticsは異なる道をたどった。ソフトウェアは既存の輸送管理システムに追加されたが、地域の配車グループは独自の手法とパフォーマンス目標を維持し続けた。トレーニングはインターフェースの操作方法に重点が置かれた。監督者はユーザーに対し、推奨が「正しく見えない」場合はいつでも判断を行使するよう指示した。ディスパッチャーは引き続き個人用スプレッドシートとドライバーからのテキストメッセージに頼っていた。Pioneerの最高執行責任者は、これらの慣行が顧客サービスを維持していると主張した。Dispatch</w:t>
      </w:r>
      <w:r>
        <w:t xml:space="preserve"> </w:t>
      </w:r>
      <w:r>
        <w:rPr>
          <w:rFonts w:hint="eastAsia"/>
        </w:rPr>
        <w:t xml:space="preserve">Dynamicsのアカウントチームは、これらの慣行がこのプラットフォームが公平なテストを受ける機会を永久に奪っていると考えていた。</w:t>
      </w:r>
    </w:p>
    <w:p>
      <w:pPr>
        <w:pStyle w:val="BodyText"/>
      </w:pPr>
      <w:r>
        <w:rPr>
          <w:rFonts w:hint="eastAsia"/>
        </w:rPr>
        <w:t xml:space="preserve">この対比は示唆的ではあったが、決定的ではなかった。Northstarは実装前から、より密なネットワーク、よりきれいなデータ、より中央集権的な文化を持っていた。Pioneerはより不規則な顧客にサービスを提供しており、個別のスケジュールを持つドライバーがより多かった。Northstarで機能した変革管理の介入策は、Pioneerでは失敗するかもしれない――あるいは単にプロダクトの限界をより早く露呈させるだけかもしれない。</w:t>
      </w:r>
    </w:p>
    <w:bookmarkEnd w:id="12"/>
    <w:bookmarkStart w:id="13" w:name="学習アジェンダの提案"/>
    <w:p>
      <w:pPr>
        <w:pStyle w:val="Heading1"/>
      </w:pPr>
      <w:r>
        <w:rPr>
          <w:rFonts w:hint="eastAsia"/>
        </w:rPr>
        <w:t xml:space="preserve">学習アジェンダの提案</w:t>
      </w:r>
    </w:p>
    <w:p>
      <w:pPr>
        <w:pStyle w:val="FirstParagraph"/>
      </w:pPr>
      <w:r>
        <w:rPr>
          <w:rFonts w:hint="eastAsia"/>
        </w:rPr>
        <w:t xml:space="preserve">Chenは社内の4つのチームに対し、新たに承認された120万ドルの採用予算をどのように使うべきかを提案するよう求めた。これらの提案は、同じ実装スタッフとエンジニアリング能力を巡って競合していた。</w:t>
      </w:r>
    </w:p>
    <w:p>
      <w:pPr>
        <w:pStyle w:val="BodyText"/>
      </w:pPr>
      <w:r>
        <w:rPr>
          <w:rFonts w:hint="eastAsia"/>
        </w:rPr>
        <w:t xml:space="preserve">図</w:t>
      </w:r>
      <w:r>
        <w:t xml:space="preserve"> 3. </w:t>
      </w:r>
      <w:r>
        <w:rPr>
          <w:rFonts w:hint="eastAsia"/>
        </w:rPr>
        <w:t xml:space="preserve">今後12ヶ月間の候補となる取り組み</w:t>
      </w:r>
    </w:p>
    <w:tbl>
      <w:tblPr>
        <w:tblStyle w:val="Table"/>
        <w:tblW w:type="pct" w:w="4948"/>
        <w:tblLayout w:type="fixed"/>
        <w:tblLook w:firstRow="1" w:lastRow="0" w:firstColumn="0" w:lastColumn="0" w:noHBand="0" w:noVBand="0" w:val="0020"/>
      </w:tblPr>
      <w:tblGrid>
        <w:gridCol w:w="1741"/>
        <w:gridCol w:w="746"/>
        <w:gridCol w:w="2736"/>
        <w:gridCol w:w="2612"/>
      </w:tblGrid>
      <w:tr>
        <w:trPr>
          <w:tblHeader w:val="on"/>
        </w:trPr>
        <w:tc>
          <w:tcPr/>
          <w:p>
            <w:pPr>
              <w:pStyle w:val="Compact"/>
              <w:jc w:val="left"/>
            </w:pPr>
            <w:r>
              <w:rPr>
                <w:rFonts w:hint="eastAsia"/>
              </w:rPr>
              <w:t xml:space="preserve">取り組み</w:t>
            </w:r>
          </w:p>
        </w:tc>
        <w:tc>
          <w:tcPr/>
          <w:p>
            <w:pPr>
              <w:pStyle w:val="Compact"/>
              <w:jc w:val="center"/>
            </w:pPr>
            <w:r>
              <w:t xml:space="preserve">コスト</w:t>
            </w:r>
          </w:p>
        </w:tc>
        <w:tc>
          <w:tcPr/>
          <w:p>
            <w:pPr>
              <w:pStyle w:val="Compact"/>
              <w:jc w:val="center"/>
            </w:pPr>
            <w:r>
              <w:rPr>
                <w:rFonts w:hint="eastAsia"/>
              </w:rPr>
              <w:t xml:space="preserve">主な問い</w:t>
            </w:r>
          </w:p>
        </w:tc>
        <w:tc>
          <w:tcPr/>
          <w:p>
            <w:pPr>
              <w:pStyle w:val="Compact"/>
              <w:jc w:val="center"/>
            </w:pPr>
            <w:r>
              <w:rPr>
                <w:rFonts w:hint="eastAsia"/>
              </w:rPr>
              <w:t xml:space="preserve">主な限界</w:t>
            </w:r>
          </w:p>
        </w:tc>
      </w:tr>
      <w:tr>
        <w:tc>
          <w:tcPr/>
          <w:p>
            <w:pPr>
              <w:pStyle w:val="Compact"/>
              <w:jc w:val="left"/>
            </w:pPr>
            <w:r>
              <w:rPr>
                <w:rFonts w:hint="eastAsia"/>
              </w:rPr>
              <w:t xml:space="preserve">3社の顧客における現地フィールド調査</w:t>
            </w:r>
          </w:p>
        </w:tc>
        <w:tc>
          <w:tcPr/>
          <w:p>
            <w:pPr>
              <w:pStyle w:val="Compact"/>
              <w:jc w:val="center"/>
            </w:pPr>
            <w:r>
              <w:t xml:space="preserve">360,000ドル</w:t>
            </w:r>
          </w:p>
        </w:tc>
        <w:tc>
          <w:tcPr/>
          <w:p>
            <w:pPr>
              <w:pStyle w:val="Compact"/>
              <w:jc w:val="center"/>
            </w:pPr>
            <w:r>
              <w:rPr>
                <w:rFonts w:hint="eastAsia"/>
              </w:rPr>
              <w:t xml:space="preserve">受諾またはオーバーライドの瞬間に何が起きているのか？</w:t>
            </w:r>
          </w:p>
        </w:tc>
        <w:tc>
          <w:tcPr/>
          <w:p>
            <w:pPr>
              <w:pStyle w:val="Compact"/>
              <w:jc w:val="center"/>
            </w:pPr>
            <w:r>
              <w:rPr>
                <w:rFonts w:hint="eastAsia"/>
              </w:rPr>
              <w:t xml:space="preserve">サンプルが小さい、観察下で行動が変化する可能性がある</w:t>
            </w:r>
          </w:p>
        </w:tc>
      </w:tr>
      <w:tr>
        <w:tc>
          <w:tcPr/>
          <w:p>
            <w:pPr>
              <w:pStyle w:val="Compact"/>
              <w:jc w:val="left"/>
            </w:pPr>
            <w:r>
              <w:rPr>
                <w:rFonts w:hint="eastAsia"/>
              </w:rPr>
              <w:t xml:space="preserve">構造化されたオーバーライド理由の義務化</w:t>
            </w:r>
          </w:p>
        </w:tc>
        <w:tc>
          <w:tcPr/>
          <w:p>
            <w:pPr>
              <w:pStyle w:val="Compact"/>
              <w:jc w:val="center"/>
            </w:pPr>
            <w:r>
              <w:t xml:space="preserve">220,000ドル</w:t>
            </w:r>
          </w:p>
        </w:tc>
        <w:tc>
          <w:tcPr/>
          <w:p>
            <w:pPr>
              <w:pStyle w:val="Compact"/>
              <w:jc w:val="center"/>
            </w:pPr>
            <w:r>
              <w:rPr>
                <w:rFonts w:hint="eastAsia"/>
              </w:rPr>
              <w:t xml:space="preserve">どの例外が正当で、繰り返し発生し、あるいは防止可能なのか？</w:t>
            </w:r>
          </w:p>
        </w:tc>
        <w:tc>
          <w:tcPr/>
          <w:p>
            <w:pPr>
              <w:pStyle w:val="Compact"/>
              <w:jc w:val="center"/>
            </w:pPr>
            <w:r>
              <w:rPr>
                <w:rFonts w:hint="eastAsia"/>
              </w:rPr>
              <w:t xml:space="preserve">ユーザーの負担が増える、理由コードが操作される可能性がある</w:t>
            </w:r>
          </w:p>
        </w:tc>
      </w:tr>
      <w:tr>
        <w:tc>
          <w:tcPr/>
          <w:p>
            <w:pPr>
              <w:pStyle w:val="Compact"/>
              <w:jc w:val="left"/>
            </w:pPr>
            <w:r>
              <w:rPr>
                <w:rFonts w:hint="eastAsia"/>
              </w:rPr>
              <w:t xml:space="preserve">説明と信頼度のインターフェース</w:t>
            </w:r>
          </w:p>
        </w:tc>
        <w:tc>
          <w:tcPr/>
          <w:p>
            <w:pPr>
              <w:pStyle w:val="Compact"/>
              <w:jc w:val="center"/>
            </w:pPr>
            <w:r>
              <w:t xml:space="preserve">410,000ドル</w:t>
            </w:r>
          </w:p>
        </w:tc>
        <w:tc>
          <w:tcPr/>
          <w:p>
            <w:pPr>
              <w:pStyle w:val="Compact"/>
              <w:jc w:val="center"/>
            </w:pPr>
            <w:r>
              <w:rPr>
                <w:rFonts w:hint="eastAsia"/>
              </w:rPr>
              <w:t xml:space="preserve">透明性は適切な依拠を増やすか？</w:t>
            </w:r>
          </w:p>
        </w:tc>
        <w:tc>
          <w:tcPr/>
          <w:p>
            <w:pPr>
              <w:pStyle w:val="Compact"/>
              <w:jc w:val="center"/>
            </w:pPr>
            <w:r>
              <w:rPr>
                <w:rFonts w:hint="eastAsia"/>
              </w:rPr>
              <w:t xml:space="preserve">誤った自信や情報過多を生む可能性がある</w:t>
            </w:r>
          </w:p>
        </w:tc>
      </w:tr>
      <w:tr>
        <w:tc>
          <w:tcPr/>
          <w:p>
            <w:pPr>
              <w:pStyle w:val="Compact"/>
              <w:jc w:val="left"/>
            </w:pPr>
            <w:r>
              <w:rPr>
                <w:rFonts w:hint="eastAsia"/>
              </w:rPr>
              <w:t xml:space="preserve">データ品質とワークフローの診断</w:t>
            </w:r>
          </w:p>
        </w:tc>
        <w:tc>
          <w:tcPr/>
          <w:p>
            <w:pPr>
              <w:pStyle w:val="Compact"/>
              <w:jc w:val="center"/>
            </w:pPr>
            <w:r>
              <w:t xml:space="preserve">330,000ドル</w:t>
            </w:r>
          </w:p>
        </w:tc>
        <w:tc>
          <w:tcPr/>
          <w:p>
            <w:pPr>
              <w:pStyle w:val="Compact"/>
              <w:jc w:val="center"/>
            </w:pPr>
            <w:r>
              <w:rPr>
                <w:rFonts w:hint="eastAsia"/>
              </w:rPr>
              <w:t xml:space="preserve">入力やタイミングが弱いために推奨が拒否されているのか？</w:t>
            </w:r>
          </w:p>
        </w:tc>
        <w:tc>
          <w:tcPr/>
          <w:p>
            <w:pPr>
              <w:pStyle w:val="Compact"/>
              <w:jc w:val="center"/>
            </w:pPr>
            <w:r>
              <w:rPr>
                <w:rFonts w:hint="eastAsia"/>
              </w:rPr>
              <w:t xml:space="preserve">顧客を責めていると見なされる可能性がある</w:t>
            </w:r>
          </w:p>
        </w:tc>
      </w:tr>
      <w:tr>
        <w:tc>
          <w:tcPr/>
          <w:p>
            <w:pPr>
              <w:pStyle w:val="Compact"/>
              <w:jc w:val="left"/>
            </w:pPr>
            <w:r>
              <w:rPr>
                <w:rFonts w:hint="eastAsia"/>
              </w:rPr>
              <w:t xml:space="preserve">監督者スコアカード再設計パイロット</w:t>
            </w:r>
          </w:p>
        </w:tc>
        <w:tc>
          <w:tcPr/>
          <w:p>
            <w:pPr>
              <w:pStyle w:val="Compact"/>
              <w:jc w:val="center"/>
            </w:pPr>
            <w:r>
              <w:t xml:space="preserve">180,000ドル</w:t>
            </w:r>
          </w:p>
        </w:tc>
        <w:tc>
          <w:tcPr/>
          <w:p>
            <w:pPr>
              <w:pStyle w:val="Compact"/>
              <w:jc w:val="center"/>
            </w:pPr>
            <w:r>
              <w:rPr>
                <w:rFonts w:hint="eastAsia"/>
              </w:rPr>
              <w:t xml:space="preserve">インセンティブとローカルKPIが拒否を引き起こしているのか？</w:t>
            </w:r>
          </w:p>
        </w:tc>
        <w:tc>
          <w:tcPr/>
          <w:p>
            <w:pPr>
              <w:pStyle w:val="Compact"/>
              <w:jc w:val="center"/>
            </w:pPr>
            <w:r>
              <w:rPr>
                <w:rFonts w:hint="eastAsia"/>
              </w:rPr>
              <w:t xml:space="preserve">経営陣の協力と労働に敏感な変更が必要となる</w:t>
            </w:r>
          </w:p>
        </w:tc>
      </w:tr>
      <w:tr>
        <w:tc>
          <w:tcPr/>
          <w:p>
            <w:pPr>
              <w:pStyle w:val="Compact"/>
              <w:jc w:val="left"/>
            </w:pPr>
            <w:r>
              <w:rPr>
                <w:rFonts w:hint="eastAsia"/>
              </w:rPr>
              <w:t xml:space="preserve">採用支援のランダム化展開</w:t>
            </w:r>
          </w:p>
        </w:tc>
        <w:tc>
          <w:tcPr/>
          <w:p>
            <w:pPr>
              <w:pStyle w:val="Compact"/>
              <w:jc w:val="center"/>
            </w:pPr>
            <w:r>
              <w:t xml:space="preserve">290,000ドル</w:t>
            </w:r>
          </w:p>
        </w:tc>
        <w:tc>
          <w:tcPr/>
          <w:p>
            <w:pPr>
              <w:pStyle w:val="Compact"/>
              <w:jc w:val="center"/>
            </w:pPr>
            <w:r>
              <w:rPr>
                <w:rFonts w:hint="eastAsia"/>
              </w:rPr>
              <w:t xml:space="preserve">どの実装慣行が因果的に利用を改善するのか？</w:t>
            </w:r>
          </w:p>
        </w:tc>
        <w:tc>
          <w:tcPr/>
          <w:p>
            <w:pPr>
              <w:pStyle w:val="Compact"/>
              <w:jc w:val="center"/>
            </w:pPr>
            <w:r>
              <w:rPr>
                <w:rFonts w:hint="eastAsia"/>
              </w:rPr>
              <w:t xml:space="preserve">運用上困難、顧客が対照群を拒む可能性がある</w:t>
            </w:r>
          </w:p>
        </w:tc>
      </w:tr>
    </w:tbl>
    <w:p>
      <w:pPr>
        <w:pStyle w:val="BodyText"/>
      </w:pPr>
      <w:r>
        <w:rPr>
          <w:rFonts w:hint="eastAsia"/>
        </w:rPr>
        <w:t xml:space="preserve">最高製品責任者は説明機能と信頼度指標を支持した。実装部門の責任者は、会社はまず構造化されたオーバーライドと日次の運用レビューを義務付けるべきだと主張した。最高データ責任者は、顧客データの品質を継続的に測定できるようになるまで、どちらのアプローチも機能しないだろうと考えていた。営業リーダーたちは、義務的なプロセスが実装期間を長引かせ、プロダクトを使いにくく見せてしまうことを懸念した。ある取締役会メンバーは、より不快な問いを投げかけた。「遵守率はそもそも正しい目的なのか、それともDispatch</w:t>
      </w:r>
      <w:r>
        <w:t xml:space="preserve"> </w:t>
      </w:r>
      <w:r>
        <w:rPr>
          <w:rFonts w:hint="eastAsia"/>
        </w:rPr>
        <w:t xml:space="preserve">Dynamicsは、従われた推奨の割合ではなく、人間と機械が下す決定の質を測定すべきなのか？」</w:t>
      </w:r>
    </w:p>
    <w:p>
      <w:pPr>
        <w:pStyle w:val="BodyText"/>
      </w:pPr>
      <w:r>
        <w:rPr>
          <w:rFonts w:hint="eastAsia"/>
        </w:rPr>
        <w:t xml:space="preserve">Chenはまた、この問題について顧客とどれだけ率直に議論すべきかも決めなければならなかった。ポートフォリオレベルの遵守率ベンチマークを公表することで緊急性を生み出せるかもしれないが、顧客はネットワーク設計や運用の複雑さにおいて異なっていた。手数料やパフォーマンス保証を遵守率に結び付けることでインセンティブを整合させられるかもしれないが、それは表面的な遵守を促す可能性があった。「人間主導型自動化」を中心にプロダクトを再定義することで信頼性が高まるかもしれないが、それは会社のスケーラブルな意思決定自動化という約束を弱めることになりかねなかった。</w:t>
      </w:r>
    </w:p>
    <w:bookmarkEnd w:id="13"/>
    <w:bookmarkStart w:id="14" w:name="決定"/>
    <w:p>
      <w:pPr>
        <w:pStyle w:val="Heading1"/>
      </w:pPr>
      <w:r>
        <w:rPr>
          <w:rFonts w:hint="eastAsia"/>
        </w:rPr>
        <w:t xml:space="preserve">決定</w:t>
      </w:r>
    </w:p>
    <w:p>
      <w:pPr>
        <w:pStyle w:val="FirstParagraph"/>
      </w:pPr>
      <w:r>
        <w:rPr>
          <w:rFonts w:hint="eastAsia"/>
        </w:rPr>
        <w:t xml:space="preserve">四半期会議において、Chenは即座に実施すべき顧客向け方針と、より長期的な研究プログラムの両方を提案することを期待されていた。彼女は、Dispatch</w:t>
      </w:r>
      <w:r>
        <w:t xml:space="preserve"> </w:t>
      </w:r>
      <w:r>
        <w:rPr>
          <w:rFonts w:hint="eastAsia"/>
        </w:rPr>
        <w:t xml:space="preserve">Dynamicsが何を学ぼうとすべきか、どのような証拠が競合する説明の間を区別できるか、そしてその証拠が収集されている間に会社がどのように行動すべきかを決める必要があった。</w:t>
      </w:r>
    </w:p>
    <w:p>
      <w:pPr>
        <w:pStyle w:val="BodyText"/>
      </w:pPr>
      <w:r>
        <w:rPr>
          <w:rFonts w:hint="eastAsia"/>
        </w:rPr>
        <w:t xml:space="preserve">その利害は現在の契約更新を超えて広がっていた。実際の原因が不十分なデータや欠落した制約であったにもかかわらず、会社が低い遵守率をトレーニングの問題として扱えば、信頼を損なう可能性があった。すべてのオーバーライドを価値ある人間の洞察として扱えば、ソフトウェアが置き換えるよう設計されたまさにその習慣を温存してしまうかもしれなかった。遵守率だけを最適化すれば、状況が本当に変化したときに判断力を発揮するのではなく、機械的に推奨に従うようユーザーを促してしまうかもしれなかった。</w:t>
      </w:r>
    </w:p>
    <w:p>
      <w:pPr>
        <w:pStyle w:val="BodyText"/>
      </w:pPr>
      <w:r>
        <w:rPr>
          <w:rFonts w:hint="eastAsia"/>
        </w:rPr>
        <w:t xml:space="preserve">Chenはダッシュボードを閉じ、メモの一番上に一つの問いを書き記した。「顧客がDispatch</w:t>
      </w:r>
      <w:r>
        <w:t xml:space="preserve"> </w:t>
      </w:r>
      <w:r>
        <w:rPr>
          <w:rFonts w:hint="eastAsia"/>
        </w:rPr>
        <w:t xml:space="preserve">Dynamicsをうまく使うとは、どういうことを意味するのか？」</w:t>
      </w:r>
    </w:p>
    <w:bookmarkEnd w:id="14"/>
    <w:bookmarkStart w:id="15" w:name="討議設問"/>
    <w:p>
      <w:pPr>
        <w:pStyle w:val="Heading1"/>
      </w:pPr>
      <w:r>
        <w:rPr>
          <w:rFonts w:hint="eastAsia"/>
        </w:rPr>
        <w:t xml:space="preserve">討議設問</w:t>
      </w:r>
    </w:p>
    <w:p>
      <w:pPr>
        <w:numPr>
          <w:ilvl w:val="0"/>
          <w:numId w:val="1001"/>
        </w:numPr>
      </w:pPr>
      <w:r>
        <w:t xml:space="preserve">Dispatch </w:t>
      </w:r>
      <w:r>
        <w:rPr>
          <w:rFonts w:hint="eastAsia"/>
        </w:rPr>
        <w:t xml:space="preserve">Dynamicsは成功した利用をどう定義すべきか：推奨遵守率、事業パフォーマンス、例外の質、あるいはこれらの組み合わせか？</w:t>
      </w:r>
    </w:p>
    <w:p>
      <w:pPr>
        <w:numPr>
          <w:ilvl w:val="0"/>
          <w:numId w:val="1001"/>
        </w:numPr>
      </w:pPr>
      <w:r>
        <w:rPr>
          <w:rFonts w:hint="eastAsia"/>
        </w:rPr>
        <w:t xml:space="preserve">低い採用率を説明できる仮説にはどのようなものがあり、それらを区別できる証拠は何か？</w:t>
      </w:r>
    </w:p>
    <w:p>
      <w:pPr>
        <w:numPr>
          <w:ilvl w:val="0"/>
          <w:numId w:val="1001"/>
        </w:numPr>
      </w:pPr>
      <w:r>
        <w:rPr>
          <w:rFonts w:hint="eastAsia"/>
        </w:rPr>
        <w:t xml:space="preserve">どのオーバーライドのカテゴリーが、プロダクトの欠陥、データの欠陥、組織的対立、あるいは価値ある人間の情報を表しているのか？</w:t>
      </w:r>
    </w:p>
    <w:p>
      <w:pPr>
        <w:numPr>
          <w:ilvl w:val="0"/>
          <w:numId w:val="1001"/>
        </w:numPr>
      </w:pPr>
      <w:r>
        <w:rPr>
          <w:rFonts w:hint="eastAsia"/>
        </w:rPr>
        <w:t xml:space="preserve">会社は実装、トレーニング、インセンティブ、ワークフロー、あるいはプロダクト自体をどのように再設計すべきか？</w:t>
      </w:r>
    </w:p>
    <w:p>
      <w:pPr>
        <w:numPr>
          <w:ilvl w:val="0"/>
          <w:numId w:val="1001"/>
        </w:numPr>
      </w:pPr>
      <w:r>
        <w:rPr>
          <w:rFonts w:hint="eastAsia"/>
        </w:rPr>
        <w:t xml:space="preserve">図</w:t>
      </w:r>
      <w:r>
        <w:t xml:space="preserve"> </w:t>
      </w:r>
      <w:r>
        <w:rPr>
          <w:rFonts w:hint="eastAsia"/>
        </w:rPr>
        <w:t xml:space="preserve">3の取り組みのうち、どれが120万ドルの予算を受けるべきか、またどのような順序で行うべきか？</w:t>
      </w:r>
    </w:p>
    <w:p>
      <w:pPr>
        <w:numPr>
          <w:ilvl w:val="0"/>
          <w:numId w:val="1001"/>
        </w:numPr>
      </w:pPr>
      <w:r>
        <w:rPr>
          <w:rFonts w:hint="eastAsia"/>
        </w:rPr>
        <w:t xml:space="preserve">遵守率を過度に積極的に高めることから、どのようなリスクが生じるか？</w:t>
      </w:r>
    </w:p>
    <w:p>
      <w:pPr>
        <w:numPr>
          <w:ilvl w:val="0"/>
          <w:numId w:val="1001"/>
        </w:numPr>
      </w:pPr>
      <w:r>
        <w:t xml:space="preserve">Dispatch </w:t>
      </w:r>
      <w:r>
        <w:rPr>
          <w:rFonts w:hint="eastAsia"/>
        </w:rPr>
        <w:t xml:space="preserve">Dynamicsは、ユーザーが際限なくシステムを迂回することを許すことなく、顧客のオーバーライドからどのように学ぶべきか？</w:t>
      </w:r>
    </w:p>
    <w:bookmarkEnd w:id="15"/>
    <w:bookmarkStart w:id="21" w:name="決定フレーミング設問"/>
    <w:p>
      <w:pPr>
        <w:pStyle w:val="Heading1"/>
      </w:pPr>
      <w:r>
        <w:rPr>
          <w:rFonts w:hint="eastAsia"/>
        </w:rPr>
        <w:t xml:space="preserve">決定フレーミング設問</w:t>
      </w:r>
    </w:p>
    <w:p>
      <w:pPr>
        <w:numPr>
          <w:ilvl w:val="0"/>
          <w:numId w:val="1002"/>
        </w:numPr>
      </w:pPr>
      <w:r>
        <w:rPr>
          <w:rFonts w:hint="eastAsia"/>
        </w:rPr>
        <w:t xml:space="preserve">決定を下す者の責任を特定し、記述せよ。これにより問題の範囲が定まるはずである。</w:t>
      </w:r>
    </w:p>
    <w:p>
      <w:pPr>
        <w:numPr>
          <w:ilvl w:val="0"/>
          <w:numId w:val="1002"/>
        </w:numPr>
      </w:pPr>
      <w:hyperlink r:id="rId16">
        <w:r>
          <w:rPr>
            <w:rStyle w:val="Hyperlink"/>
          </w:rPr>
          <w:t xml:space="preserve">メトリクス・ピラミッド・ツール</w:t>
        </w:r>
      </w:hyperlink>
      <w:r>
        <w:rPr>
          <w:rFonts w:hint="eastAsia"/>
        </w:rPr>
        <w:t xml:space="preserve">を用いて、さまざまなパフォーマンス指標を特定し、優先順位付けせよ。指標を保持している楕円をクリックして、それが最大化すべき指標(緑)、最小化すべき指標(赤)、下限としての目標値(薄緑)、上限としての目標値(薄赤)、あるいは目標値(紫)のいずれであるかを特定せよ。</w:t>
      </w:r>
    </w:p>
    <w:p>
      <w:pPr>
        <w:numPr>
          <w:ilvl w:val="0"/>
          <w:numId w:val="1002"/>
        </w:numPr>
      </w:pPr>
      <w:hyperlink r:id="rId17">
        <w:r>
          <w:rPr>
            <w:rStyle w:val="Hyperlink"/>
            <w:rFonts w:hint="eastAsia"/>
          </w:rPr>
          <w:t xml:space="preserve">決定優先順位付けツール</w:t>
        </w:r>
      </w:hyperlink>
      <w:r>
        <w:rPr>
          <w:rFonts w:hint="eastAsia"/>
        </w:rPr>
        <w:t xml:space="preserve">を用いて、まずさまざまな種類の決定を列挙せよ（</w:t>
      </w:r>
      <w:hyperlink r:id="rId18">
        <w:r>
          <w:rPr>
            <w:rStyle w:val="Hyperlink"/>
            <w:rFonts w:hint="eastAsia"/>
          </w:rPr>
          <w:t xml:space="preserve">決定の種類</w:t>
        </w:r>
      </w:hyperlink>
      <w:r>
        <w:rPr>
          <w:rFonts w:hint="eastAsia"/>
        </w:rPr>
        <w:t xml:space="preserve">をガイドとして使用せよ）。これらは右側の行列の行を構成し、列は上記のピラミッドで優先順位付けされたパフォーマンス指標を左から右に並べたものとなる。各セルをクリックして、それぞれの決定が各指標に与える影響が高い(赤)、中程度(オレンジ)、低い(黄)、あるいはなし(白)であるかを示せ。</w:t>
      </w:r>
    </w:p>
    <w:p>
      <w:pPr>
        <w:numPr>
          <w:ilvl w:val="0"/>
          <w:numId w:val="1002"/>
        </w:numPr>
      </w:pPr>
      <w:r>
        <w:rPr>
          <w:rFonts w:hint="eastAsia"/>
        </w:rPr>
        <w:t xml:space="preserve">各行の一番左にあるハンドル（三本線）をつかんで上下に動かすことができる。最も重要な指標に最大の影響を与える決定が上部に来るように行を並べ替えよ。左上の角のセルには、赤とオレンジのセルが最も集中しているべきである。この時点で、研究において最も注意を払うべき決定を特定せよ。最も重要な指標に中程度または高い影響を与える決定がない場合は、決定の一覧を見直せ。</w:t>
      </w:r>
    </w:p>
    <w:p>
      <w:pPr>
        <w:numPr>
          <w:ilvl w:val="0"/>
          <w:numId w:val="1002"/>
        </w:numPr>
      </w:pPr>
      <w:hyperlink r:id="rId19">
        <w:r>
          <w:rPr>
            <w:rStyle w:val="Hyperlink"/>
            <w:rFonts w:hint="eastAsia"/>
          </w:rPr>
          <w:t xml:space="preserve">不確実性優先順位付けツール</w:t>
        </w:r>
      </w:hyperlink>
      <w:r>
        <w:rPr>
          <w:rFonts w:hint="eastAsia"/>
        </w:rPr>
        <w:t xml:space="preserve">を用いて、不確実性を列挙し優先順位付けするプロセスを繰り返せ。これらを特定するために</w:t>
      </w:r>
      <w:hyperlink r:id="rId20">
        <w:r>
          <w:rPr>
            <w:rStyle w:val="Hyperlink"/>
            <w:rFonts w:hint="eastAsia"/>
          </w:rPr>
          <w:t xml:space="preserve">不確実性のカテゴリー</w:t>
        </w:r>
      </w:hyperlink>
      <w:r>
        <w:rPr>
          <w:rFonts w:hint="eastAsia"/>
        </w:rPr>
        <w:t xml:space="preserve">を活用せよ。</w:t>
      </w:r>
    </w:p>
    <w:p>
      <w:pPr>
        <w:numPr>
          <w:ilvl w:val="0"/>
          <w:numId w:val="1002"/>
        </w:numPr>
      </w:pPr>
      <w:r>
        <w:rPr>
          <w:rFonts w:hint="eastAsia"/>
        </w:rPr>
        <w:t xml:space="preserve">平均として評価できる不確実性と、リスクイベントとして評価すべき不確実性を区別することが重要である。</w:t>
      </w:r>
    </w:p>
    <w:p>
      <w:pPr>
        <w:numPr>
          <w:ilvl w:val="1"/>
          <w:numId w:val="1003"/>
        </w:numPr>
      </w:pPr>
      <w:r>
        <w:rPr>
          <w:rFonts w:hint="eastAsia"/>
        </w:rPr>
        <w:t xml:space="preserve">どの不確実性の源が、時間経過に伴う平均パフォーマンスを用いて捕捉されるか？</w:t>
      </w:r>
    </w:p>
    <w:p>
      <w:pPr>
        <w:numPr>
          <w:ilvl w:val="1"/>
          <w:numId w:val="1003"/>
        </w:numPr>
      </w:pPr>
      <w:r>
        <w:rPr>
          <w:rFonts w:hint="eastAsia"/>
        </w:rPr>
        <w:t xml:space="preserve">どの不確実性の源が、平均では適切に捕捉されないリスクの形態を表しているか？</w:t>
      </w:r>
    </w:p>
    <w:p>
      <w:pPr>
        <w:numPr>
          <w:ilvl w:val="0"/>
          <w:numId w:val="1002"/>
        </w:numPr>
      </w:pPr>
      <w:r>
        <w:rPr>
          <w:rFonts w:hint="eastAsia"/>
        </w:rPr>
        <w:t xml:space="preserve">最も重要な指標に最も高い影響を与えると思われる、単一の決定を一つ選べ。</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この決定を下すために必要と思われるデータは何か。決定が高いまたは中程度の影響を与えるパフォーマンス指標の計算も含めて答えよ。</w:t>
      </w:r>
    </w:p>
    <w:p>
      <w:pPr>
        <w:numPr>
          <w:ilvl w:val="0"/>
          <w:numId w:val="1002"/>
        </w:numPr>
      </w:pPr>
      <w:r>
        <w:rPr>
          <w:rFonts w:hint="eastAsia"/>
        </w:rPr>
        <w:t xml:space="preserve">(7)で特定したのと同じ決定について、その決定を実行するために協働する必要のある人々、部門、グループ、あるいは組織を特定せよ。</w:t>
      </w:r>
    </w:p>
    <w:bookmarkEnd w:id="21"/>
    <w:bookmarkStart w:id="22" w:name="ケースノート"/>
    <w:p>
      <w:pPr>
        <w:pStyle w:val="Heading1"/>
      </w:pPr>
      <w:r>
        <w:t xml:space="preserve">ケースノート</w:t>
      </w:r>
    </w:p>
    <w:p>
      <w:pPr>
        <w:pStyle w:val="FirstParagraph"/>
      </w:pPr>
      <w:r>
        <w:rPr>
          <w:rFonts w:hint="eastAsia"/>
        </w:rPr>
        <w:t xml:space="preserve">この架空の教育用ケースは、アップロードされたトラックロード決定自動化のケーススタディや変革管理資料に見られる繰り返し登場するテーマ、すなわち、採用とパフォーマンスの関連性、推奨に対する信頼、手作業による計画から例外管理への移行、ワークフローとリーダーシップの整合性の重要性、変化する従業員の役割、データ準備状況、そして正当な人間の介入の継続的な必要性、といったものから着想を得ている。このケースにおけるすべての組織、人物、出来事、および数値による図表は、教育目的のために創作されたものである。</w:t>
      </w:r>
    </w:p>
    <w:bookmarkEnd w:id="22"/>
    <w:bookmarkStart w:id="25" w:name="chatgptのメモ"/>
    <w:p>
      <w:pPr>
        <w:pStyle w:val="Heading1"/>
      </w:pPr>
      <w:r>
        <w:t xml:space="preserve">ChatGPTのメモ</w:t>
      </w:r>
    </w:p>
    <w:bookmarkStart w:id="23" w:name="プロンプト"/>
    <w:p>
      <w:pPr>
        <w:pStyle w:val="Heading2"/>
      </w:pPr>
      <w:r>
        <w:t xml:space="preserve">プロンプト</w:t>
      </w:r>
    </w:p>
    <w:p>
      <w:pPr>
        <w:pStyle w:val="FirstParagraph"/>
      </w:pPr>
      <w:r>
        <w:rPr>
          <w:rFonts w:hint="eastAsia"/>
        </w:rPr>
        <w:t xml:space="preserve">トラックロード業界向けにソフトウェアを開発するソフトウェア企業「Dynamic</w:t>
      </w:r>
      <w:r>
        <w:t xml:space="preserve"> </w:t>
      </w:r>
      <w:r>
        <w:rPr>
          <w:rFonts w:hint="eastAsia"/>
        </w:rPr>
        <w:t xml:space="preserve">Dispatching」を舞台にしたケーススタディを書いてください。フォルダC:</w:t>
      </w:r>
      <w:r>
        <w:t xml:space="preserve">Powell</w:t>
      </w:r>
      <w:r>
        <w:t xml:space="preserve">documents</w:t>
      </w:r>
      <w:r>
        <w:t xml:space="preserve">Dynamics</w:t>
      </w:r>
      <w:r>
        <w:t xml:space="preserve">case </w:t>
      </w:r>
      <w:r>
        <w:rPr>
          <w:rFonts w:hint="eastAsia"/>
        </w:rPr>
        <w:t xml:space="preserve">studies内のケーススタディを利用してもよいが、実在する企業名は使用しないこと。「Dispatch</w:t>
      </w:r>
      <w:r>
        <w:t xml:space="preserve"> </w:t>
      </w:r>
      <w:r>
        <w:rPr>
          <w:rFonts w:hint="eastAsia"/>
        </w:rPr>
        <w:t xml:space="preserve">Dynamics」は配車ソフトウェアの実装を数多く成功させてきたが、各ドライバーに対して何をすべきかというシステムの推奨を利用していない顧客企業が多すぎる。ビジネス上の課題は、なぜこれらの顧客がシステムを利用していないのかを解明し、「Dispatch</w:t>
      </w:r>
      <w:r>
        <w:t xml:space="preserve"> </w:t>
      </w:r>
      <w:r>
        <w:rPr>
          <w:rFonts w:hint="eastAsia"/>
        </w:rPr>
        <w:t xml:space="preserve">Dynamics」がユーザーの受容についてより良く理解するために取り得るステップを探ることである。</w:t>
      </w:r>
    </w:p>
    <w:bookmarkEnd w:id="23"/>
    <w:bookmarkStart w:id="24" w:name="要約"/>
    <w:p>
      <w:pPr>
        <w:pStyle w:val="Heading2"/>
      </w:pPr>
      <w:r>
        <w:rPr>
          <w:rFonts w:hint="eastAsia"/>
        </w:rPr>
        <w:t xml:space="preserve">要約</w:t>
      </w:r>
    </w:p>
    <w:p>
      <w:pPr>
        <w:pStyle w:val="FirstParagraph"/>
      </w:pPr>
      <w:r>
        <w:rPr>
          <w:rFonts w:hint="eastAsia"/>
        </w:rPr>
        <w:t xml:space="preserve">この新しいケースは、アップロードされた資料から繰り返し登場するテーマを取り入れている。以下がそれに含まれる。</w:t>
      </w:r>
    </w:p>
    <w:p>
      <w:pPr>
        <w:numPr>
          <w:ilvl w:val="0"/>
          <w:numId w:val="1005"/>
        </w:numPr>
      </w:pPr>
      <w:r>
        <w:rPr>
          <w:rFonts w:hint="eastAsia"/>
        </w:rPr>
        <w:t xml:space="preserve">推奨の採用と運用パフォーマンスとの関係</w:t>
      </w:r>
    </w:p>
    <w:p>
      <w:pPr>
        <w:numPr>
          <w:ilvl w:val="0"/>
          <w:numId w:val="1005"/>
        </w:numPr>
      </w:pPr>
      <w:r>
        <w:rPr>
          <w:rFonts w:hint="eastAsia"/>
        </w:rPr>
        <w:t xml:space="preserve">手作業による配車から例外管理への移行</w:t>
      </w:r>
    </w:p>
    <w:p>
      <w:pPr>
        <w:numPr>
          <w:ilvl w:val="0"/>
          <w:numId w:val="1005"/>
        </w:numPr>
      </w:pPr>
      <w:r>
        <w:rPr>
          <w:rFonts w:hint="eastAsia"/>
        </w:rPr>
        <w:t xml:space="preserve">自動化された推奨に対する信頼</w:t>
      </w:r>
    </w:p>
    <w:p>
      <w:pPr>
        <w:numPr>
          <w:ilvl w:val="0"/>
          <w:numId w:val="1005"/>
        </w:numPr>
      </w:pPr>
      <w:r>
        <w:rPr>
          <w:rFonts w:hint="eastAsia"/>
        </w:rPr>
        <w:t xml:space="preserve">データ品質と欠落している運用上の制約</w:t>
      </w:r>
    </w:p>
    <w:p>
      <w:pPr>
        <w:numPr>
          <w:ilvl w:val="0"/>
          <w:numId w:val="1005"/>
        </w:numPr>
      </w:pPr>
      <w:r>
        <w:rPr>
          <w:rFonts w:hint="eastAsia"/>
        </w:rPr>
        <w:t xml:space="preserve">ネットワーク全体の推奨とローカルなパフォーマンス指標との対立</w:t>
      </w:r>
    </w:p>
    <w:p>
      <w:pPr>
        <w:numPr>
          <w:ilvl w:val="0"/>
          <w:numId w:val="1005"/>
        </w:numPr>
      </w:pPr>
      <w:r>
        <w:rPr>
          <w:rFonts w:hint="eastAsia"/>
        </w:rPr>
        <w:t xml:space="preserve">ディスパッチャーの役割、専門職としてのアイデンティティ、雇用の安定性への懸念</w:t>
      </w:r>
    </w:p>
    <w:p>
      <w:pPr>
        <w:numPr>
          <w:ilvl w:val="0"/>
          <w:numId w:val="1005"/>
        </w:numPr>
      </w:pPr>
      <w:r>
        <w:rPr>
          <w:rFonts w:hint="eastAsia"/>
        </w:rPr>
        <w:t xml:space="preserve">オーバーライドの構造化された理由</w:t>
      </w:r>
    </w:p>
    <w:p>
      <w:pPr>
        <w:numPr>
          <w:ilvl w:val="0"/>
          <w:numId w:val="1005"/>
        </w:numPr>
      </w:pPr>
      <w:r>
        <w:rPr>
          <w:rFonts w:hint="eastAsia"/>
        </w:rPr>
        <w:t xml:space="preserve">正当な人間の介入と習慣的な不使用とを区別する必要性</w:t>
      </w:r>
    </w:p>
    <w:p>
      <w:pPr>
        <w:numPr>
          <w:ilvl w:val="0"/>
          <w:numId w:val="1005"/>
        </w:numPr>
      </w:pPr>
      <w:r>
        <w:rPr>
          <w:rFonts w:hint="eastAsia"/>
        </w:rPr>
        <w:t xml:space="preserve">代替となる研究、プロダクト、実装の取り組み</w:t>
      </w:r>
    </w:p>
    <w:p>
      <w:pPr>
        <w:pStyle w:val="FirstParagraph"/>
      </w:pPr>
      <w:r>
        <w:rPr>
          <w:rFonts w:hint="eastAsia"/>
        </w:rPr>
        <w:t xml:space="preserve">すべての企業名、個人名、出来事、および数値による図表は架空のものである。このケースは、根本的な問題がソフトウェア、顧客データ、実装慣行、インセンティブ、組織設計、ユーザーの信頼、あるいは「成功した利用」の定義そのものにあるのかを、意図的に未解決のままにしている。</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2026-09-11T17:39:58Z</dcterms:created>
  <dcterms:modified xsi:type="dcterms:W3CDTF">2026-09-11T17:39:58Z</dcterms:modified>
</cp:coreProperties>
</file>

<file path=docProps/custom.xml><?xml version="1.0" encoding="utf-8"?>
<Properties xmlns="http://schemas.openxmlformats.org/officeDocument/2006/custom-properties" xmlns:vt="http://schemas.openxmlformats.org/officeDocument/2006/docPropsVTypes"/>
</file>