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麻疹のリスクが集中し、ワクチン接種への信頼が低下し、予防のコストが即座に発生する一方で、その便益はほとんど目に見えないとき、地域社会はどのように対応すべきか。</w:t>
      </w:r>
    </w:p>
    <w:tbl>
      <w:tblPr>
        <w:tblStyle w:val="Table"/>
        <w:tblW w:type="auto" w:w="0"/>
        <w:tblLook w:firstRow="0" w:lastRow="0" w:firstColumn="0" w:lastColumn="0" w:noHBand="0" w:noVBand="0" w:val="0000"/>
      </w:tblPr>
      <w:tblGrid>
        <w:gridCol w:w="7920"/>
      </w:tblGrid>
      <w:tr>
        <w:tc>
          <w:tcPr/>
          <w:p>
            <w:pPr>
              <w:pStyle w:val="Compact"/>
              <w:jc w:val="left"/>
            </w:pPr>
            <w:r>
              <w:rPr>
                <w:rFonts w:hint="eastAsia"/>
                <w:b/>
                <w:bCs/>
              </w:rPr>
              <w:t xml:space="preserve">設定**</w:t>
            </w:r>
            <w:r>
              <w:rPr>
                <w:b/>
                <w:bCs/>
              </w:rPr>
              <w:t xml:space="preserve"> </w:t>
            </w:r>
            <w:r>
              <w:rPr>
                <w:rFonts w:hint="eastAsia"/>
              </w:rPr>
              <w:t xml:space="preserve">意思決定者**</w:t>
            </w:r>
            <w:r>
              <w:t xml:space="preserve"> </w:t>
            </w:r>
            <w:r>
              <w:rPr>
                <w:rFonts w:hint="eastAsia"/>
              </w:rPr>
              <w:t xml:space="preserve">決定日\</w:t>
            </w:r>
          </w:p>
        </w:tc>
      </w:tr>
      <w:tr>
        <w:tc>
          <w:tcPr/>
          <w:p>
            <w:pPr>
              <w:pStyle w:val="Compact"/>
              <w:jc w:val="left"/>
            </w:pPr>
            <w:r>
              <w:rPr>
                <w:rFonts w:hint="eastAsia"/>
              </w:rPr>
              <w:t xml:space="preserve">ハーバー郡、架空の郊外・農村部の郡</w:t>
            </w:r>
            <w:r>
              <w:t xml:space="preserve"> </w:t>
            </w:r>
            <w:r>
              <w:rPr>
                <w:rFonts w:hint="eastAsia"/>
              </w:rPr>
              <w:t xml:space="preserve">マヤ・パテル博士、郡保健局長</w:t>
            </w:r>
            <w:r>
              <w:t xml:space="preserve"> </w:t>
            </w:r>
            <w:r>
              <w:rPr>
                <w:rFonts w:hint="eastAsia"/>
              </w:rPr>
              <w:t xml:space="preserve">2026年8月</w:t>
            </w:r>
          </w:p>
        </w:tc>
      </w:tr>
    </w:tbl>
    <w:p>
      <w:r>
        <w:pict>
          <v:rect style="width:0;height:1.5pt" o:hralign="center" o:hrstd="t" o:hr="t"/>
        </w:pict>
      </w:r>
    </w:p>
    <w:bookmarkStart w:id="9" w:name="section"/>
    <w:p>
      <w:pPr>
        <w:pStyle w:val="Heading1"/>
      </w:pPr>
    </w:p>
    <w:bookmarkEnd w:id="9"/>
    <w:bookmarkStart w:id="11" w:name="夜明け前のメッセージ"/>
    <w:p>
      <w:pPr>
        <w:pStyle w:val="Heading1"/>
      </w:pPr>
      <w:r>
        <w:rPr>
          <w:rFonts w:hint="eastAsia"/>
        </w:rPr>
        <w:t xml:space="preserve">夜明け前のメッセージ</w:t>
      </w:r>
    </w:p>
    <w:p>
      <w:pPr>
        <w:pStyle w:val="FirstParagraph"/>
      </w:pPr>
      <w:r>
        <w:rPr>
          <w:rFonts w:hint="eastAsia"/>
        </w:rPr>
        <w:t xml:space="preserve">午前5時42分、マヤ・パテル博士は州の疫学者からテキストメッセージを受け取った。研究室がハーバー郡の9歳の生徒に麻疹を確認したというのだ。その子どもは感染力を持つ状態で4日間登校し、救急診療所を訪れ、週末のバスケットボールトーナメントでプレーし、発疹が現れる前に混雑した空港ターミナルで2時間過ごしていた。</w:t>
      </w:r>
    </w:p>
    <w:p>
      <w:pPr>
        <w:pStyle w:val="BodyText"/>
      </w:pPr>
      <w:r>
        <w:rPr>
          <w:rFonts w:hint="eastAsia"/>
        </w:rPr>
        <w:t xml:space="preserve">午前7時までに、郡保健局は暴露した可能性のある186人を特定した。その数は増え続けるだろう。一部の接触者は電子ワクチン記録を持っていたが、他の記録は小児科診療所、学校、薬局、他州にまたがって散在していた。27人の乳児は定期予防接種を受けるには年齢が若すぎた。暴露した人のうち少なくとも11人は妊娠中か免疫不全であった。学区は、免疫の証明がない生徒を授業から除外すべきか、またその場合どれくらいの期間かを知りたがっていた。</w:t>
      </w:r>
    </w:p>
    <w:p>
      <w:pPr>
        <w:pStyle w:val="BodyText"/>
      </w:pPr>
      <w:r>
        <w:rPr>
          <w:rFonts w:hint="eastAsia"/>
        </w:rPr>
        <w:t xml:space="preserve">この確認された症例は、全国的な再流行の最中に発生した。2026年7月23日時点で、米国では2,318件の麻疹確定症例が報告され、そのうち93%がアウトブレイクに関連していた。2025年の年間合計は2,289件で、2024年の285件と比較される。¹</w:t>
      </w:r>
    </w:p>
    <w:p>
      <w:pPr>
        <w:pStyle w:val="BodyText"/>
      </w:pPr>
      <w:r>
        <w:rPr>
          <w:rFonts w:hint="eastAsia"/>
        </w:rPr>
        <w:t xml:space="preserve">ハーバー郡では10年以上、地域内での確認された感染はなかった。しかしパテルは、疾患が存在しないことがリスクが存在しないことと同じではないと知っていた。幼稚園児における郡全体のMMR接種率は91.8%だったが、その平均値は学校や地域によって大きく異なる状況を覆い隠していた。郡執行部は午後3時30分に緊急会議を予定していた。パテルは、不信感を煽ることなく、またアウトブレイクを防止できると約束することもなく、即時対応と長期的なワクチン接種戦略を提言することが期待されていた。</w:t>
      </w:r>
    </w:p>
    <w:bookmarkStart w:id="10" w:name="中心的な課題"/>
    <w:p>
      <w:pPr>
        <w:pStyle w:val="Heading2"/>
      </w:pPr>
      <w:r>
        <w:rPr>
          <w:rFonts w:hint="eastAsia"/>
        </w:rPr>
        <w:t xml:space="preserve">中心的な課題</w:t>
      </w:r>
    </w:p>
    <w:p>
      <w:pPr>
        <w:pStyle w:val="FirstParagraph"/>
      </w:pPr>
      <w:r>
        <w:rPr>
          <w:rFonts w:hint="eastAsia"/>
        </w:rPr>
        <w:t xml:space="preserve">ハーバー郡はこの症例を、集中的な短期対応を要する封じ込め可能な暴露として扱うべきか、それとも学校、診療所、地域社会における持続的な介入を正当化する、より深い免疫ギャップの証拠として扱うべきか。</w:t>
      </w:r>
    </w:p>
    <w:bookmarkEnd w:id="10"/>
    <w:bookmarkEnd w:id="11"/>
    <w:bookmarkStart w:id="12" w:name="ハーバー郡"/>
    <w:p>
      <w:pPr>
        <w:pStyle w:val="Heading1"/>
      </w:pPr>
      <w:r>
        <w:rPr>
          <w:rFonts w:hint="eastAsia"/>
        </w:rPr>
        <w:t xml:space="preserve">ハーバー郡</w:t>
      </w:r>
    </w:p>
    <w:p>
      <w:pPr>
        <w:pStyle w:val="FirstParagraph"/>
      </w:pPr>
      <w:r>
        <w:rPr>
          <w:rFonts w:hint="eastAsia"/>
        </w:rPr>
        <w:t xml:space="preserve">ハーバー郡には742,000人の住民がいた。沿岸部の郊外にはいくつかの大手雇用主、地域空港、大学医療センターがあった。内陸部の地域はより農村的で、小児科診療所が少なく、夜間の交通手段も限られていた。郡は経済的に多様であり、世帯収入の中央値は$86,900であったが、子どもの14%は連邦貧困線以下の生活をしていた。住民の約24%は家庭で英語以外の言語を話していた。本ケースにおけるハーバー郡のすべてのデータは架空のものであるが、米国の地域社会が直面する状況を反映するように設計されている。</w:t>
      </w:r>
    </w:p>
    <w:bookmarkEnd w:id="12"/>
    <w:bookmarkStart w:id="13" w:name="予防可能な疾患であり要求の厳しい制御が必要"/>
    <w:p>
      <w:pPr>
        <w:pStyle w:val="Heading1"/>
      </w:pPr>
      <w:r>
        <w:rPr>
          <w:rFonts w:hint="eastAsia"/>
        </w:rPr>
        <w:t xml:space="preserve">予防可能な疾患であり、要求の厳しい制御が必要</w:t>
      </w:r>
    </w:p>
    <w:p>
      <w:pPr>
        <w:pStyle w:val="FirstParagraph"/>
      </w:pPr>
      <w:r>
        <w:rPr>
          <w:rFonts w:hint="eastAsia"/>
        </w:rPr>
        <w:t xml:space="preserve">麻疹は人間に感染する疾患の中で最も感染力が強いものの一つである。症状はしばしば暴露から7日から14日後に始まり、感染者は病気が認識される前に学校、診療所、店舗、職場、交通機関を移動することができる。ワクチン未接種の米国の麻疹患者の約5人に1人が入院し、肺炎は子どもの20人に1人の割合で発生し、脳炎は約1000人に1人の割合で発生する。²</w:t>
      </w:r>
    </w:p>
    <w:p>
      <w:pPr>
        <w:pStyle w:val="BodyText"/>
      </w:pPr>
      <w:r>
        <w:rPr>
          <w:rFonts w:hint="eastAsia"/>
        </w:rPr>
        <w:t xml:space="preserve">MMRの2回接種が最良の防御を提供し、ワクチン接種を受けたほとんどの人は生涯にわたって保護される。子どもは通常、生後12</w:t>
      </w:r>
      <w:r>
        <w:rPr>
          <w:rFonts w:hint="eastAsia"/>
          <w:vertAlign w:val="subscript"/>
        </w:rPr>
        <w:t xml:space="preserve">15か月で1回目、4</w:t>
      </w:r>
      <w:r>
        <w:rPr>
          <w:rFonts w:hint="eastAsia"/>
        </w:rPr>
        <w:t xml:space="preserve">6歳で2回目の接種を受けることが推奨されている。³</w:t>
      </w:r>
      <w:r>
        <w:t xml:space="preserve"> </w:t>
      </w:r>
      <w:r>
        <w:rPr>
          <w:rFonts w:hint="eastAsia"/>
        </w:rPr>
        <w:t xml:space="preserve">地域社会の防御には一般に95%を超える接種率が必要であり、この閾値は郡全体の平均だけでなく、地域レベルで維持されなければならない。¹</w:t>
      </w:r>
    </w:p>
    <w:p>
      <w:pPr>
        <w:pStyle w:val="BodyText"/>
      </w:pPr>
      <w:r>
        <w:rPr>
          <w:rFonts w:hint="eastAsia"/>
        </w:rPr>
        <w:t xml:space="preserve">全国の幼稚園児のMMR接種率は、2019</w:t>
      </w:r>
      <w:r>
        <w:rPr>
          <w:rFonts w:hint="eastAsia"/>
          <w:vertAlign w:val="subscript"/>
        </w:rPr>
        <w:t xml:space="preserve">2020年の95.2%から2024</w:t>
      </w:r>
      <w:r>
        <w:rPr>
          <w:rFonts w:hint="eastAsia"/>
        </w:rPr>
        <w:t xml:space="preserve">2025年には92.5%に低下し、約286,000人の幼稚園児が接種完了の証明を持たない状態となった。1回以上のワクチンの免除は3.6%に上昇し、17州が5%を超える免除率を報告した。⁴</w:t>
      </w:r>
    </w:p>
    <w:bookmarkEnd w:id="13"/>
    <w:bookmarkStart w:id="14" w:name="地域の免疫地図"/>
    <w:p>
      <w:pPr>
        <w:pStyle w:val="Heading1"/>
      </w:pPr>
      <w:r>
        <w:rPr>
          <w:rFonts w:hint="eastAsia"/>
        </w:rPr>
        <w:t xml:space="preserve">地域の免疫地図</w:t>
      </w:r>
    </w:p>
    <w:p>
      <w:pPr>
        <w:pStyle w:val="FirstParagraph"/>
      </w:pPr>
      <w:r>
        <w:rPr>
          <w:rFonts w:hint="eastAsia"/>
        </w:rPr>
        <w:t xml:space="preserve">ハーバー郡の平均値は、分析者が学校レベルで接種率を地図化するまでは管理可能に見えた。郡内の128の小学校のうち43校は、文書化されたMMR接種率が95%を超えていた。31校は90%未満であり、そのうち9校は85%未満であった。低接種率の学校のいくつかは地理的に集中していたが、それぞれの事情は異なっていた。予約のスケジュール調整や記録の取得に苦労している家庭に対応する学校もあった。ワクチン接種要件に疑問を呈する組織化された保護者ネットワークを持つ学校もあった。いくつかの私立学校は免除率が高かったが、家庭との強固な関係を持ち、郡政府への信頼はほとんどなかった。</w:t>
      </w:r>
    </w:p>
    <w:p>
      <w:pPr>
        <w:pStyle w:val="BodyText"/>
      </w:pPr>
      <w:r>
        <w:rPr>
          <w:rFonts w:hint="eastAsia"/>
        </w:rPr>
        <w:t xml:space="preserve">データは不完全であった。州の予防接種登録簿は、家族が州に転入する前に受けたワクチン接種を確実に把握していなかった。学校の記録は、記録の欠落を未接種として数えたため、一部の地域では感受性を過大評価していた。同時に、未接種の家族はスポーツチーム、宗教コミュニティ、保育ネットワーク、ホームスクールグループを通じて、通学区域を越えて交流することが多いため、学校の平均値はリスクを過小評価する可能性もあった。</w:t>
      </w:r>
    </w:p>
    <w:bookmarkEnd w:id="14"/>
    <w:bookmarkStart w:id="15" w:name="即時対応"/>
    <w:p>
      <w:pPr>
        <w:pStyle w:val="Heading1"/>
      </w:pPr>
      <w:r>
        <w:rPr>
          <w:rFonts w:hint="eastAsia"/>
        </w:rPr>
        <w:t xml:space="preserve">即時対応</w:t>
      </w:r>
    </w:p>
    <w:p>
      <w:pPr>
        <w:pStyle w:val="FirstParagraph"/>
      </w:pPr>
      <w:r>
        <w:rPr>
          <w:rFonts w:hint="eastAsia"/>
        </w:rPr>
        <w:t xml:space="preserve">症例調査と接触者追跡:家族への聞き取り、場所と時間の再構築、暴露した人への通知、最後の暴露から21日間の症状観察を行う。</w:t>
      </w:r>
    </w:p>
    <w:p>
      <w:pPr>
        <w:pStyle w:val="BodyText"/>
      </w:pPr>
      <w:r>
        <w:rPr>
          <w:rFonts w:hint="eastAsia"/>
        </w:rPr>
        <w:t xml:space="preserve">暴露後予防:適格な接触者に対し、暴露から72時間以内の迅速なMMRワクチン接種、および特定の高リスク者に対しては6日以内の免疫グロブリン投与を手配する。³</w:t>
      </w:r>
    </w:p>
    <w:p>
      <w:pPr>
        <w:pStyle w:val="BodyText"/>
      </w:pPr>
      <w:r>
        <w:rPr>
          <w:rFonts w:hint="eastAsia"/>
        </w:rPr>
        <w:t xml:space="preserve">学校の管理策:記録を確認し、感受性のある生徒と職員を特定し、除外が法的に義務付けられているか、運用上実行可能かを判断する。</w:t>
      </w:r>
    </w:p>
    <w:p>
      <w:pPr>
        <w:pStyle w:val="BodyText"/>
      </w:pPr>
      <w:r>
        <w:rPr>
          <w:rFonts w:hint="eastAsia"/>
        </w:rPr>
        <w:t xml:space="preserve">臨床的即応性:病院と診療所に警告を発し、隔離手順を確立し、疑い患者が待合室に暴露するリスクを減らす。</w:t>
      </w:r>
    </w:p>
    <w:p>
      <w:pPr>
        <w:pStyle w:val="BodyText"/>
      </w:pPr>
      <w:r>
        <w:rPr>
          <w:rFonts w:hint="eastAsia"/>
        </w:rPr>
        <w:t xml:space="preserve">公共コミュニケーション:地域社会に迅速に情報提供して行動を促す一方で、子どもの身元の開示や、特定の学校、信仰コミュニティ、移民グループ、ワクチンに慎重な家族を汚名化するような表現は避ける。</w:t>
      </w:r>
    </w:p>
    <w:bookmarkEnd w:id="15"/>
    <w:bookmarkStart w:id="16" w:name="対立する見解"/>
    <w:p>
      <w:pPr>
        <w:pStyle w:val="Heading1"/>
      </w:pPr>
      <w:r>
        <w:rPr>
          <w:rFonts w:hint="eastAsia"/>
        </w:rPr>
        <w:t xml:space="preserve">対立する見解</w:t>
      </w:r>
    </w:p>
    <w:p>
      <w:pPr>
        <w:pStyle w:val="FirstParagraph"/>
      </w:pPr>
      <w:r>
        <w:rPr>
          <w:rFonts w:hint="eastAsia"/>
        </w:rPr>
        <w:t xml:space="preserve">ローラ・チェン教育長は統一的な規則を望んでいた。校長たちは、不安な保護者や職員の欠勤に対応しながら、異なる記録や免除を解釈することはできなかった。郡の弁護士は、除外規則は州法とデュープロセス要件によって規定されていると警告した。小児科医はワクチン接種クリニックを支持したが、多くの診療所には突然のキャンペーンに対応する予備の人員や冷蔵保管設備がないと述べた。病院幹部は、疑い患者が通常の救急部門の待合室に入らないよう、専用のトリアージと検査能力への資金提供を郡に求めた。</w:t>
      </w:r>
    </w:p>
    <w:p>
      <w:pPr>
        <w:pStyle w:val="BodyText"/>
      </w:pPr>
      <w:r>
        <w:rPr>
          <w:rFonts w:hint="eastAsia"/>
        </w:rPr>
        <w:t xml:space="preserve">保護者グループの意見は鋭く対立した。一部は、免疫が確認されていないすべての生徒の即時除外を要求した。他の一部は、単一の輸入症例が教育の混乱や免除家族を無責任として扱うことを正当化しないと主張した。地域組織は、郡のメッセージがあまりに専門的で説得に偏りすぎていると述べた。彼らは、取締りの前に翻訳、交通手段、夜間クリニック、記録の取得、信頼される発信者といった実務的な支援を求めていた。</w:t>
      </w:r>
    </w:p>
    <w:bookmarkEnd w:id="16"/>
    <w:bookmarkStart w:id="17" w:name="資金決定"/>
    <w:p>
      <w:pPr>
        <w:pStyle w:val="Heading1"/>
      </w:pPr>
      <w:r>
        <w:rPr>
          <w:rFonts w:hint="eastAsia"/>
        </w:rPr>
        <w:t xml:space="preserve">資金決定</w:t>
      </w:r>
    </w:p>
    <w:p>
      <w:pPr>
        <w:pStyle w:val="FirstParagraph"/>
      </w:pPr>
      <w:r>
        <w:rPr>
          <w:rFonts w:hint="eastAsia"/>
        </w:rPr>
        <w:t xml:space="preserve">パテルは190万ドルの緊急準備金にアクセスできた。州のアウトブレイク助成金は最大120万ドルを払い戻す可能性があったが、それは費用が文書化され承認された後に限られた。郡執行部は、パテルが何を購入するのか、どのくらいの期間運用するのか、いつ郡が停止するのかを説明できれば、追加の予算配分を検討する意向であった。麻疹に充てられるすべての資金は、レストラン検査、性感染症クリニック、母子保健訪問、結核対策、秋の呼吸器ウイルスシーズンへの準備には使えなくなる。</w:t>
      </w:r>
    </w:p>
    <w:bookmarkEnd w:id="17"/>
    <w:bookmarkStart w:id="18" w:name="検討対象のプログラム"/>
    <w:p>
      <w:pPr>
        <w:pStyle w:val="Heading1"/>
      </w:pPr>
      <w:r>
        <w:rPr>
          <w:rFonts w:hint="eastAsia"/>
        </w:rPr>
        <w:t xml:space="preserve">検討対象のプログラム</w:t>
      </w:r>
    </w:p>
    <w:p>
      <w:pPr>
        <w:pStyle w:val="FirstParagraph"/>
      </w:pPr>
      <w:r>
        <w:rPr>
          <w:rFonts w:hint="eastAsia"/>
        </w:rPr>
        <w:t xml:space="preserve">注:費用、成果、地域推計はすべて架空のものである。能力の数値は最初の90日間に提供可能なものを示している。</w:t>
      </w:r>
    </w:p>
    <w:tbl>
      <w:tblPr>
        <w:tblStyle w:val="Table"/>
        <w:tblW w:type="pct" w:w="4949"/>
        <w:tblLayout w:type="fixed"/>
        <w:tblLook w:firstRow="1" w:lastRow="0" w:firstColumn="0" w:lastColumn="0" w:noHBand="0" w:noVBand="0" w:val="0020"/>
      </w:tblPr>
      <w:tblGrid>
        <w:gridCol w:w="1259"/>
        <w:gridCol w:w="568"/>
        <w:gridCol w:w="1746"/>
        <w:gridCol w:w="2396"/>
        <w:gridCol w:w="1868"/>
      </w:tblGrid>
      <w:tr>
        <w:trPr>
          <w:tblHeader w:val="on"/>
        </w:trPr>
        <w:tc>
          <w:tcPr/>
          <w:p>
            <w:pPr>
              <w:pStyle w:val="Compact"/>
            </w:pPr>
            <w:r>
              <w:rPr>
                <w:rFonts w:hint="eastAsia"/>
              </w:rPr>
              <w:t xml:space="preserve">介入策</w:t>
            </w:r>
            <w:r>
              <w:t xml:space="preserve"> </w:t>
            </w:r>
            <w:r>
              <w:rPr>
                <w:rFonts w:hint="eastAsia"/>
              </w:rPr>
              <w:t xml:space="preserve">90日間</w:t>
            </w:r>
          </w:p>
        </w:tc>
        <w:tc>
          <w:tcPr/>
          <w:p>
            <w:pPr>
              <w:pStyle w:val="Compact"/>
            </w:pPr>
            <w:r>
              <w:rPr>
                <w:rFonts w:hint="eastAsia"/>
              </w:rPr>
              <w:t xml:space="preserve">の費用</w:t>
            </w:r>
            <w:r>
              <w:t xml:space="preserve"> </w:t>
            </w:r>
            <w:r>
              <w:rPr>
                <w:rFonts w:hint="eastAsia"/>
              </w:rPr>
              <w:t xml:space="preserve">潜在的</w:t>
            </w:r>
          </w:p>
        </w:tc>
        <w:tc>
          <w:tcPr/>
          <w:p>
            <w:pPr>
              <w:pStyle w:val="Compact"/>
            </w:pPr>
            <w:r>
              <w:rPr>
                <w:rFonts w:hint="eastAsia"/>
              </w:rPr>
              <w:t xml:space="preserve">な能力</w:t>
            </w:r>
            <w:r>
              <w:t xml:space="preserve"> </w:t>
            </w:r>
            <w:r>
              <w:rPr>
                <w:rFonts w:hint="eastAsia"/>
              </w:rPr>
              <w:t xml:space="preserve">主要な不確実</w:t>
            </w:r>
          </w:p>
        </w:tc>
        <w:tc>
          <w:tcPr/>
          <w:p>
            <w:pPr>
              <w:pStyle w:val="Compact"/>
              <w:jc w:val="left"/>
            </w:pPr>
            <w:r>
              <w:rPr>
                <w:rFonts w:hint="eastAsia"/>
              </w:rPr>
              <w:t xml:space="preserve">性</w:t>
            </w:r>
            <w:r>
              <w:t xml:space="preserve"> </w:t>
            </w:r>
            <w:r>
              <w:rPr>
                <w:rFonts w:hint="eastAsia"/>
              </w:rPr>
              <w:t xml:space="preserve">運用上の制約</w:t>
            </w:r>
          </w:p>
        </w:tc>
        <w:tc>
          <w:tcPr/>
          <w:p>
            <w:pPr>
              <w:pStyle w:val="Compact"/>
            </w:pPr>
          </w:p>
        </w:tc>
      </w:tr>
      <w:tr>
        <w:tc>
          <w:tcPr/>
          <w:p>
            <w:pPr>
              <w:pStyle w:val="Compact"/>
            </w:pPr>
            <w:r>
              <w:rPr>
                <w:rFonts w:hint="eastAsia"/>
              </w:rPr>
              <w:t xml:space="preserve">学校内クリニック</w:t>
            </w:r>
            <w:r>
              <w:t xml:space="preserve"> $62</w:t>
            </w:r>
          </w:p>
        </w:tc>
        <w:tc>
          <w:tcPr/>
          <w:p>
            <w:pPr>
              <w:pStyle w:val="Compact"/>
            </w:pPr>
            <w:r>
              <w:t xml:space="preserve">0,000 18,0</w:t>
            </w:r>
          </w:p>
        </w:tc>
        <w:tc>
          <w:tcPr/>
          <w:p>
            <w:pPr>
              <w:pStyle w:val="Compact"/>
            </w:pPr>
            <w:r>
              <w:rPr>
                <w:rFonts w:hint="eastAsia"/>
              </w:rPr>
              <w:t xml:space="preserve">00件のワクチン接種または記録確認</w:t>
            </w:r>
            <w:r>
              <w:t xml:space="preserve"> </w:t>
            </w:r>
            <w:r>
              <w:rPr>
                <w:rFonts w:hint="eastAsia"/>
              </w:rPr>
              <w:t xml:space="preserve">文書化</w:t>
            </w:r>
          </w:p>
        </w:tc>
        <w:tc>
          <w:tcPr/>
          <w:p>
            <w:pPr>
              <w:pStyle w:val="Compact"/>
              <w:jc w:val="left"/>
            </w:pPr>
            <w:r>
              <w:rPr>
                <w:rFonts w:hint="eastAsia"/>
              </w:rPr>
              <w:t xml:space="preserve">されていない生徒のうち何人がすでに免疫を持っているか?</w:t>
            </w:r>
          </w:p>
        </w:tc>
        <w:tc>
          <w:tcPr/>
          <w:p>
            <w:pPr>
              <w:pStyle w:val="Compact"/>
            </w:pPr>
            <w:r>
              <w:rPr>
                <w:rFonts w:hint="eastAsia"/>
              </w:rPr>
              <w:t xml:space="preserve">学校の同意、人員配置、コールドチェーンが必要</w:t>
            </w:r>
          </w:p>
        </w:tc>
      </w:tr>
      <w:tr>
        <w:tc>
          <w:tcPr/>
          <w:p>
            <w:pPr>
              <w:pStyle w:val="Compact"/>
            </w:pPr>
            <w:r>
              <w:rPr>
                <w:rFonts w:hint="eastAsia"/>
              </w:rPr>
              <w:t xml:space="preserve">移動式/地域クリニック</w:t>
            </w:r>
            <w:r>
              <w:t xml:space="preserve"> $4</w:t>
            </w:r>
          </w:p>
        </w:tc>
        <w:tc>
          <w:tcPr/>
          <w:p>
            <w:pPr>
              <w:pStyle w:val="Compact"/>
            </w:pPr>
            <w:r>
              <w:t xml:space="preserve">10,000 7,5</w:t>
            </w:r>
          </w:p>
        </w:tc>
        <w:tc>
          <w:tcPr/>
          <w:p>
            <w:pPr>
              <w:pStyle w:val="Compact"/>
            </w:pPr>
            <w:r>
              <w:rPr>
                <w:rFonts w:hint="eastAsia"/>
              </w:rPr>
              <w:t xml:space="preserve">00件のワクチン接種;36回の夜間イベント</w:t>
            </w:r>
          </w:p>
        </w:tc>
        <w:tc>
          <w:tcPr/>
          <w:p>
            <w:pPr>
              <w:pStyle w:val="Compact"/>
              <w:jc w:val="left"/>
            </w:pPr>
            <w:r>
              <w:rPr>
                <w:rFonts w:hint="eastAsia"/>
              </w:rPr>
              <w:t xml:space="preserve">低接種率グループは郡主催のイベントに参加するか?</w:t>
            </w:r>
            <w:r>
              <w:t xml:space="preserve"> </w:t>
            </w:r>
            <w:r>
              <w:rPr>
                <w:rFonts w:hint="eastAsia"/>
              </w:rPr>
              <w:t xml:space="preserve">会場と信頼</w:t>
            </w:r>
          </w:p>
        </w:tc>
        <w:tc>
          <w:tcPr/>
          <w:p>
            <w:pPr>
              <w:pStyle w:val="Compact"/>
            </w:pPr>
            <w:r>
              <w:rPr>
                <w:rFonts w:hint="eastAsia"/>
              </w:rPr>
              <w:t xml:space="preserve">されるパートナーは地域によって異なる</w:t>
            </w:r>
          </w:p>
        </w:tc>
      </w:tr>
      <w:tr>
        <w:tc>
          <w:tcPr/>
          <w:p>
            <w:pPr>
              <w:pStyle w:val="Compact"/>
            </w:pPr>
            <w:r>
              <w:rPr>
                <w:rFonts w:hint="eastAsia"/>
              </w:rPr>
              <w:t xml:space="preserve">記録照合チーム</w:t>
            </w:r>
            <w:r>
              <w:t xml:space="preserve"> $280,000</w:t>
            </w:r>
          </w:p>
        </w:tc>
        <w:tc>
          <w:tcPr/>
          <w:p>
            <w:pPr>
              <w:pStyle w:val="Compact"/>
            </w:pPr>
            <w:r>
              <w:rPr>
                <w:rFonts w:hint="eastAsia"/>
              </w:rPr>
              <w:t xml:space="preserve">25,000件の生</w:t>
            </w:r>
          </w:p>
        </w:tc>
        <w:tc>
          <w:tcPr/>
          <w:p>
            <w:pPr>
              <w:pStyle w:val="Compact"/>
            </w:pPr>
            <w:r>
              <w:rPr>
                <w:rFonts w:hint="eastAsia"/>
              </w:rPr>
              <w:t xml:space="preserve">徒記録の確認</w:t>
            </w:r>
            <w:r>
              <w:t xml:space="preserve"> </w:t>
            </w:r>
            <w:r>
              <w:rPr>
                <w:rFonts w:hint="eastAsia"/>
              </w:rPr>
              <w:t xml:space="preserve">より良い記録はリスク推定を</w:t>
            </w:r>
          </w:p>
        </w:tc>
        <w:tc>
          <w:tcPr/>
          <w:p>
            <w:pPr>
              <w:pStyle w:val="Compact"/>
              <w:jc w:val="left"/>
            </w:pPr>
            <w:r>
              <w:rPr>
                <w:rFonts w:hint="eastAsia"/>
              </w:rPr>
              <w:t xml:space="preserve">実質的に変えるか?</w:t>
            </w:r>
            <w:r>
              <w:t xml:space="preserve"> </w:t>
            </w:r>
            <w:r>
              <w:rPr>
                <w:rFonts w:hint="eastAsia"/>
              </w:rPr>
              <w:t xml:space="preserve">データ共有と手動確認</w:t>
            </w:r>
          </w:p>
        </w:tc>
        <w:tc>
          <w:tcPr/>
          <w:p>
            <w:pPr>
              <w:pStyle w:val="Compact"/>
            </w:pPr>
          </w:p>
        </w:tc>
      </w:tr>
      <w:tr>
        <w:tc>
          <w:tcPr/>
          <w:p>
            <w:pPr>
              <w:pStyle w:val="Compact"/>
            </w:pPr>
            <w:r>
              <w:rPr>
                <w:rFonts w:hint="eastAsia"/>
              </w:rPr>
              <w:t xml:space="preserve">臨床隔離支援</w:t>
            </w:r>
            <w:r>
              <w:t xml:space="preserve"> $360,000 1</w:t>
            </w:r>
          </w:p>
        </w:tc>
        <w:tc>
          <w:tcPr/>
          <w:p>
            <w:pPr>
              <w:pStyle w:val="Compact"/>
            </w:pPr>
            <w:r>
              <w:rPr>
                <w:rFonts w:hint="eastAsia"/>
              </w:rPr>
              <w:t xml:space="preserve">2施設に設備と訓</w:t>
            </w:r>
          </w:p>
        </w:tc>
        <w:tc>
          <w:tcPr/>
          <w:p>
            <w:pPr>
              <w:pStyle w:val="Compact"/>
            </w:pPr>
            <w:r>
              <w:rPr>
                <w:rFonts w:hint="eastAsia"/>
              </w:rPr>
              <w:t xml:space="preserve">練を実施</w:t>
            </w:r>
            <w:r>
              <w:t xml:space="preserve"> </w:t>
            </w:r>
            <w:r>
              <w:rPr>
                <w:rFonts w:hint="eastAsia"/>
              </w:rPr>
              <w:t xml:space="preserve">疑い症例のうち何人が受診を求め</w:t>
            </w:r>
          </w:p>
        </w:tc>
        <w:tc>
          <w:tcPr/>
          <w:p>
            <w:pPr>
              <w:pStyle w:val="Compact"/>
              <w:jc w:val="left"/>
            </w:pPr>
            <w:r>
              <w:t xml:space="preserve">るか? </w:t>
            </w:r>
            <w:r>
              <w:rPr>
                <w:rFonts w:hint="eastAsia"/>
              </w:rPr>
              <w:t xml:space="preserve">病院と診療所のワークフローは異なる</w:t>
            </w:r>
          </w:p>
        </w:tc>
        <w:tc>
          <w:tcPr/>
          <w:p>
            <w:pPr>
              <w:pStyle w:val="Compact"/>
            </w:pPr>
          </w:p>
        </w:tc>
      </w:tr>
      <w:tr>
        <w:tc>
          <w:tcPr/>
          <w:p>
            <w:pPr>
              <w:pStyle w:val="Compact"/>
            </w:pPr>
            <w:r>
              <w:rPr>
                <w:rFonts w:hint="eastAsia"/>
              </w:rPr>
              <w:t xml:space="preserve">コミュニケーションと発信者</w:t>
            </w:r>
            <w:r>
              <w:t xml:space="preserve"> $24</w:t>
            </w:r>
          </w:p>
        </w:tc>
        <w:tc>
          <w:tcPr/>
          <w:p>
            <w:pPr>
              <w:pStyle w:val="Compact"/>
            </w:pPr>
            <w:r>
              <w:t xml:space="preserve">0,000 </w:t>
            </w:r>
            <w:r>
              <w:rPr>
                <w:rFonts w:hint="eastAsia"/>
              </w:rPr>
              <w:t xml:space="preserve">多言</w:t>
            </w:r>
          </w:p>
        </w:tc>
        <w:tc>
          <w:tcPr/>
          <w:p>
            <w:pPr>
              <w:pStyle w:val="Compact"/>
            </w:pPr>
            <w:r>
              <w:rPr>
                <w:rFonts w:hint="eastAsia"/>
              </w:rPr>
              <w:t xml:space="preserve">語キャンペーン;パートナー助成金40件</w:t>
            </w:r>
            <w:r>
              <w:t xml:space="preserve"> メッセ</w:t>
            </w:r>
          </w:p>
        </w:tc>
        <w:tc>
          <w:tcPr/>
          <w:p>
            <w:pPr>
              <w:pStyle w:val="Compact"/>
              <w:jc w:val="left"/>
            </w:pPr>
            <w:r>
              <w:rPr>
                <w:rFonts w:hint="eastAsia"/>
              </w:rPr>
              <w:t xml:space="preserve">ージングが抵抗や汚名化を増大させる可能性はあるか?</w:t>
            </w:r>
          </w:p>
        </w:tc>
        <w:tc>
          <w:tcPr/>
          <w:p>
            <w:pPr>
              <w:pStyle w:val="Compact"/>
            </w:pPr>
            <w:r>
              <w:rPr>
                <w:rFonts w:hint="eastAsia"/>
              </w:rPr>
              <w:t xml:space="preserve">影響の帰属は困難</w:t>
            </w:r>
          </w:p>
        </w:tc>
      </w:tr>
      <w:tr>
        <w:tc>
          <w:tcPr/>
          <w:p>
            <w:pPr>
              <w:pStyle w:val="Compact"/>
            </w:pPr>
            <w:r>
              <w:rPr>
                <w:rFonts w:hint="eastAsia"/>
              </w:rPr>
              <w:t xml:space="preserve">追跡拡大予備費</w:t>
            </w:r>
            <w:r>
              <w:t xml:space="preserve"> $510,000 </w:t>
            </w:r>
            <w:r>
              <w:rPr>
                <w:rFonts w:hint="eastAsia"/>
              </w:rPr>
              <w:t xml:space="preserve">最</w:t>
            </w:r>
          </w:p>
        </w:tc>
        <w:tc>
          <w:tcPr/>
          <w:p>
            <w:pPr>
              <w:pStyle w:val="Compact"/>
            </w:pPr>
            <w:r>
              <w:rPr>
                <w:rFonts w:hint="eastAsia"/>
              </w:rPr>
              <w:t xml:space="preserve">大1,800人の接触</w:t>
            </w:r>
          </w:p>
        </w:tc>
        <w:tc>
          <w:tcPr/>
          <w:p>
            <w:pPr>
              <w:pStyle w:val="Compact"/>
            </w:pPr>
            <w:r>
              <w:rPr>
                <w:rFonts w:hint="eastAsia"/>
              </w:rPr>
              <w:t xml:space="preserve">者を監視</w:t>
            </w:r>
            <w:r>
              <w:t xml:space="preserve"> </w:t>
            </w:r>
            <w:r>
              <w:rPr>
                <w:rFonts w:hint="eastAsia"/>
              </w:rPr>
              <w:t xml:space="preserve">今後の症例の数と複雑さ</w:t>
            </w:r>
          </w:p>
        </w:tc>
        <w:tc>
          <w:tcPr/>
          <w:p>
            <w:pPr>
              <w:pStyle w:val="Compact"/>
              <w:jc w:val="left"/>
            </w:pPr>
            <w:r>
              <w:rPr>
                <w:rFonts w:hint="eastAsia"/>
              </w:rPr>
              <w:t xml:space="preserve">労働集約的;需要は消失または急増する可能性</w:t>
            </w:r>
          </w:p>
        </w:tc>
        <w:tc>
          <w:tcPr/>
          <w:p>
            <w:pPr>
              <w:pStyle w:val="Compact"/>
            </w:pPr>
          </w:p>
        </w:tc>
      </w:tr>
    </w:tbl>
    <w:bookmarkEnd w:id="18"/>
    <w:bookmarkStart w:id="19" w:name="考えられる方向性相互排他的ではない"/>
    <w:p>
      <w:pPr>
        <w:pStyle w:val="Heading1"/>
      </w:pPr>
      <w:r>
        <w:rPr>
          <w:rFonts w:hint="eastAsia"/>
        </w:rPr>
        <w:t xml:space="preserve">考えられる方向性—相互排他的ではない</w:t>
      </w:r>
    </w:p>
    <w:p>
      <w:pPr>
        <w:pStyle w:val="FirstParagraph"/>
      </w:pPr>
      <w:r>
        <w:rPr>
          <w:rFonts w:hint="eastAsia"/>
        </w:rPr>
        <w:t xml:space="preserve">現在の暴露を封じ込める。追跡調査、暴露後予防、学校の記録確認、臨床隔離にリソースを集中し、二次症例が現れない限り、より広範なキャンペーンは避ける。</w:t>
      </w:r>
    </w:p>
    <w:p>
      <w:pPr>
        <w:pStyle w:val="BodyText"/>
      </w:pPr>
      <w:r>
        <w:rPr>
          <w:rFonts w:hint="eastAsia"/>
        </w:rPr>
        <w:t xml:space="preserve">文書化されたアクセスギャップを解消する。家族の表明する信念にかかわらず、低接種率の学校での利便性の高いワクチン接種と記録取得を拡大する。</w:t>
      </w:r>
    </w:p>
    <w:p>
      <w:pPr>
        <w:pStyle w:val="BodyText"/>
      </w:pPr>
      <w:r>
        <w:rPr>
          <w:rFonts w:hint="eastAsia"/>
        </w:rPr>
        <w:t xml:space="preserve">より強力な学校での取締りを行う。文書化された免疫を高めるため、期限と除外の慣行を厳格化し、政治的・教育的混乱を受け入れる。</w:t>
      </w:r>
    </w:p>
    <w:p>
      <w:pPr>
        <w:pStyle w:val="BodyText"/>
      </w:pPr>
      <w:r>
        <w:rPr>
          <w:rFonts w:hint="eastAsia"/>
        </w:rPr>
        <w:t xml:space="preserve">信頼と関係構築に投資する。測定可能な結果が遅く不確実であっても、慎重な家族と時間をかけて関わるために地域組織や臨床医に資金提供する。</w:t>
      </w:r>
    </w:p>
    <w:p>
      <w:pPr>
        <w:pStyle w:val="BodyText"/>
      </w:pPr>
      <w:r>
        <w:rPr>
          <w:rFonts w:hint="eastAsia"/>
        </w:rPr>
        <w:t xml:space="preserve">リスク起動型のポートフォリオを採用する。新規症例数、暴露状況、学校の接種率、病院の収容能力などの閾値を事前に定義し、介入を自動的に拡大または縮小させる。</w:t>
      </w:r>
    </w:p>
    <w:bookmarkEnd w:id="19"/>
    <w:bookmarkStart w:id="20" w:name="成功とは何を意味するか"/>
    <w:p>
      <w:pPr>
        <w:pStyle w:val="Heading1"/>
      </w:pPr>
      <w:r>
        <w:rPr>
          <w:rFonts w:hint="eastAsia"/>
        </w:rPr>
        <w:t xml:space="preserve">成功とは何を意味するか</w:t>
      </w:r>
    </w:p>
    <w:p>
      <w:pPr>
        <w:pStyle w:val="FirstParagraph"/>
      </w:pPr>
      <w:r>
        <w:rPr>
          <w:rFonts w:hint="eastAsia"/>
        </w:rPr>
        <w:t xml:space="preserve">関係者の間では目標について合意がなかった。疫学者は二次感染の防止を重視した。学校は出席の安定性と明確な規則を望んだ。病院は安全なトリアージと暴露の回避を優先した。保護者は子どもの安全、自律性、あるいはその両方に焦点を当てた。地域組織は信頼と公平なアクセスを重視した。財務担当者は、ワクチン接種1件あたり、確認済み記録1件あたり、検出された症例1件あたり、または予防された感染1件あたりの費用を知りたがったが、最後の指標は決して直接観測することができなかった。</w:t>
      </w:r>
    </w:p>
    <w:p>
      <w:pPr>
        <w:pStyle w:val="BodyText"/>
      </w:pPr>
      <w:r>
        <w:rPr>
          <w:rFonts w:hint="eastAsia"/>
        </w:rPr>
        <w:t xml:space="preserve">パテルはまた、タイミングの問題にも直面していた。第二の症例が発生しなければ、強力な対応は無駄に見えるかもしれない。抑制的な対応は、複数の学校にわたる感染拡大を遅れて認識するまでは賢明に見えるかもしれない。より良いデータは不確実性を減らすことができるが、より良いデータを待つこと自体が一つの決定であった。</w:t>
      </w:r>
    </w:p>
    <w:bookmarkEnd w:id="20"/>
    <w:bookmarkStart w:id="21" w:name="図表1.-ハーバー郡のワクチン接種指標"/>
    <w:p>
      <w:pPr>
        <w:pStyle w:val="Heading1"/>
      </w:pPr>
      <w:r>
        <w:rPr>
          <w:rFonts w:hint="eastAsia"/>
        </w:rPr>
        <w:t xml:space="preserve">図表1.</w:t>
      </w:r>
      <w:r>
        <w:t xml:space="preserve"> </w:t>
      </w:r>
      <w:r>
        <w:rPr>
          <w:rFonts w:hint="eastAsia"/>
        </w:rPr>
        <w:t xml:space="preserve">ハーバー郡のワクチン接種指標</w:t>
      </w:r>
    </w:p>
    <w:p>
      <w:pPr>
        <w:pStyle w:val="FirstParagraph"/>
      </w:pPr>
      <w:r>
        <w:rPr>
          <w:rFonts w:hint="eastAsia"/>
        </w:rPr>
        <w:t xml:space="preserve">*2026年の数値は2026年7月15日時点で入手可能な記録を反映している。ハーバー郡のすべての数値は架空のものである。</w:t>
      </w:r>
    </w:p>
    <w:tbl>
      <w:tblPr>
        <w:tblStyle w:val="Table"/>
        <w:tblW w:type="pct" w:w="4901"/>
        <w:tblLayout w:type="fixed"/>
        <w:tblLook w:firstRow="1" w:lastRow="0" w:firstColumn="0" w:lastColumn="0" w:noHBand="0" w:noVBand="0" w:val="0020"/>
      </w:tblPr>
      <w:tblGrid>
        <w:gridCol w:w="3293"/>
        <w:gridCol w:w="862"/>
        <w:gridCol w:w="862"/>
        <w:gridCol w:w="862"/>
        <w:gridCol w:w="862"/>
        <w:gridCol w:w="1019"/>
      </w:tblGrid>
      <w:tr>
        <w:trPr>
          <w:tblHeader w:val="on"/>
        </w:trPr>
        <w:tc>
          <w:tcPr/>
          <w:p>
            <w:pPr>
              <w:pStyle w:val="Compact"/>
            </w:pPr>
            <w:r>
              <w:rPr>
                <w:rFonts w:hint="eastAsia"/>
              </w:rPr>
              <w:t xml:space="preserve">指標</w:t>
            </w:r>
            <w:r>
              <w:t xml:space="preserve"> 2021-</w:t>
            </w:r>
          </w:p>
        </w:tc>
        <w:tc>
          <w:tcPr/>
          <w:p>
            <w:pPr>
              <w:pStyle w:val="Compact"/>
            </w:pPr>
            <w:r>
              <w:rPr>
                <w:rFonts w:hint="eastAsia"/>
              </w:rPr>
              <w:t xml:space="preserve">-22年</w:t>
            </w:r>
            <w:r>
              <w:t xml:space="preserve"> 202</w:t>
            </w:r>
          </w:p>
        </w:tc>
        <w:tc>
          <w:tcPr/>
          <w:p>
            <w:pPr>
              <w:pStyle w:val="Compact"/>
            </w:pPr>
            <w:r>
              <w:rPr>
                <w:rFonts w:hint="eastAsia"/>
              </w:rPr>
              <w:t xml:space="preserve">2–23年</w:t>
            </w:r>
            <w:r>
              <w:t xml:space="preserve"> 2</w:t>
            </w:r>
          </w:p>
        </w:tc>
        <w:tc>
          <w:tcPr/>
          <w:p>
            <w:pPr>
              <w:pStyle w:val="Compact"/>
              <w:jc w:val="left"/>
            </w:pPr>
            <w:r>
              <w:rPr>
                <w:rFonts w:hint="eastAsia"/>
              </w:rPr>
              <w:t xml:space="preserve">023–24年</w:t>
            </w:r>
          </w:p>
        </w:tc>
        <w:tc>
          <w:tcPr/>
          <w:p>
            <w:pPr>
              <w:pStyle w:val="Compact"/>
              <w:jc w:val="right"/>
            </w:pPr>
            <w:r>
              <w:rPr>
                <w:rFonts w:hint="eastAsia"/>
              </w:rPr>
              <w:t xml:space="preserve">2024–25年</w:t>
            </w:r>
          </w:p>
        </w:tc>
        <w:tc>
          <w:tcPr/>
          <w:p>
            <w:pPr>
              <w:pStyle w:val="Compact"/>
              <w:jc w:val="right"/>
            </w:pPr>
            <w:r>
              <w:rPr>
                <w:rFonts w:hint="eastAsia"/>
              </w:rPr>
              <w:t xml:space="preserve">2025–26年*</w:t>
            </w:r>
          </w:p>
        </w:tc>
      </w:tr>
      <w:tr>
        <w:tc>
          <w:tcPr/>
          <w:p>
            <w:pPr>
              <w:pStyle w:val="Compact"/>
            </w:pPr>
            <w:r>
              <w:rPr>
                <w:rFonts w:hint="eastAsia"/>
              </w:rPr>
              <w:t xml:space="preserve">幼稚園児のMMR接種率</w:t>
            </w:r>
            <w:r>
              <w:t xml:space="preserve"> 94.8%</w:t>
            </w:r>
          </w:p>
        </w:tc>
        <w:tc>
          <w:tcPr/>
          <w:p>
            <w:pPr>
              <w:pStyle w:val="Compact"/>
            </w:pPr>
            <w:r>
              <w:t xml:space="preserve">94.1%</w:t>
            </w:r>
          </w:p>
        </w:tc>
        <w:tc>
          <w:tcPr/>
          <w:p>
            <w:pPr>
              <w:pStyle w:val="Compact"/>
            </w:pPr>
            <w:r>
              <w:t xml:space="preserve">93.0%</w:t>
            </w:r>
          </w:p>
        </w:tc>
        <w:tc>
          <w:tcPr/>
          <w:p>
            <w:pPr>
              <w:pStyle w:val="Compact"/>
              <w:jc w:val="left"/>
            </w:pPr>
            <w:r>
              <w:t xml:space="preserve">92.4%</w:t>
            </w:r>
          </w:p>
        </w:tc>
        <w:tc>
          <w:tcPr/>
          <w:p>
            <w:pPr>
              <w:pStyle w:val="Compact"/>
              <w:jc w:val="right"/>
            </w:pPr>
            <w:r>
              <w:t xml:space="preserve">91.8%</w:t>
            </w:r>
          </w:p>
        </w:tc>
        <w:tc>
          <w:tcPr/>
          <w:p>
            <w:pPr>
              <w:pStyle w:val="Compact"/>
            </w:pPr>
          </w:p>
        </w:tc>
      </w:tr>
      <w:tr>
        <w:tc>
          <w:tcPr/>
          <w:p>
            <w:pPr>
              <w:pStyle w:val="Compact"/>
            </w:pPr>
            <w:r>
              <w:rPr>
                <w:rFonts w:hint="eastAsia"/>
              </w:rPr>
              <w:t xml:space="preserve">免除を受けた生徒</w:t>
            </w:r>
            <w:r>
              <w:t xml:space="preserve"> 2.4%</w:t>
            </w:r>
          </w:p>
        </w:tc>
        <w:tc>
          <w:tcPr/>
          <w:p>
            <w:pPr>
              <w:pStyle w:val="Compact"/>
            </w:pPr>
            <w:r>
              <w:t xml:space="preserve">2.8%</w:t>
            </w:r>
          </w:p>
        </w:tc>
        <w:tc>
          <w:tcPr/>
          <w:p>
            <w:pPr>
              <w:pStyle w:val="Compact"/>
            </w:pPr>
            <w:r>
              <w:t xml:space="preserve">3.3%</w:t>
            </w:r>
          </w:p>
        </w:tc>
        <w:tc>
          <w:tcPr/>
          <w:p>
            <w:pPr>
              <w:pStyle w:val="Compact"/>
              <w:jc w:val="left"/>
            </w:pPr>
            <w:r>
              <w:t xml:space="preserve">3.9%</w:t>
            </w:r>
          </w:p>
        </w:tc>
        <w:tc>
          <w:tcPr/>
          <w:p>
            <w:pPr>
              <w:pStyle w:val="Compact"/>
              <w:jc w:val="right"/>
            </w:pPr>
            <w:r>
              <w:t xml:space="preserve">4.4%</w:t>
            </w:r>
          </w:p>
        </w:tc>
        <w:tc>
          <w:tcPr/>
          <w:p>
            <w:pPr>
              <w:pStyle w:val="Compact"/>
            </w:pPr>
          </w:p>
        </w:tc>
      </w:tr>
      <w:tr>
        <w:tc>
          <w:tcPr/>
          <w:p>
            <w:pPr>
              <w:pStyle w:val="Compact"/>
            </w:pPr>
            <w:r>
              <w:rPr>
                <w:rFonts w:hint="eastAsia"/>
              </w:rPr>
              <w:t xml:space="preserve">完全な文書がない生徒</w:t>
            </w:r>
            <w:r>
              <w:t xml:space="preserve"> 5.2% 5.9%</w:t>
            </w:r>
          </w:p>
        </w:tc>
        <w:tc>
          <w:tcPr/>
          <w:p>
            <w:pPr>
              <w:pStyle w:val="Compact"/>
            </w:pPr>
            <w:r>
              <w:t xml:space="preserve">7.0%</w:t>
            </w:r>
          </w:p>
        </w:tc>
        <w:tc>
          <w:tcPr/>
          <w:p>
            <w:pPr>
              <w:pStyle w:val="Compact"/>
            </w:pPr>
            <w:r>
              <w:t xml:space="preserve">7.6%</w:t>
            </w:r>
          </w:p>
        </w:tc>
        <w:tc>
          <w:tcPr/>
          <w:p>
            <w:pPr>
              <w:pStyle w:val="Compact"/>
              <w:jc w:val="left"/>
            </w:pPr>
            <w:r>
              <w:t xml:space="preserve">8.2%</w:t>
            </w:r>
          </w:p>
        </w:tc>
        <w:tc>
          <w:tcPr/>
          <w:p>
            <w:pPr>
              <w:pStyle w:val="Compact"/>
            </w:pPr>
          </w:p>
        </w:tc>
        <w:tc>
          <w:tcPr/>
          <w:p>
            <w:pPr>
              <w:pStyle w:val="Compact"/>
            </w:pPr>
          </w:p>
        </w:tc>
      </w:tr>
      <w:tr>
        <w:tc>
          <w:tcPr/>
          <w:p>
            <w:pPr>
              <w:pStyle w:val="Compact"/>
            </w:pPr>
            <w:r>
              <w:rPr>
                <w:rFonts w:hint="eastAsia"/>
              </w:rPr>
              <w:t xml:space="preserve">90%未満の接種率の小学校</w:t>
            </w:r>
            <w:r>
              <w:t xml:space="preserve"> 12 17</w:t>
            </w:r>
          </w:p>
        </w:tc>
        <w:tc>
          <w:tcPr/>
          <w:p>
            <w:pPr>
              <w:pStyle w:val="Compact"/>
            </w:pPr>
            <w:r>
              <w:t xml:space="preserve">23</w:t>
            </w:r>
          </w:p>
        </w:tc>
        <w:tc>
          <w:tcPr/>
          <w:p>
            <w:pPr>
              <w:pStyle w:val="Compact"/>
            </w:pPr>
            <w:r>
              <w:t xml:space="preserve">27</w:t>
            </w:r>
          </w:p>
        </w:tc>
        <w:tc>
          <w:tcPr/>
          <w:p>
            <w:pPr>
              <w:pStyle w:val="Compact"/>
              <w:jc w:val="left"/>
            </w:pPr>
            <w:r>
              <w:t xml:space="preserve">31</w:t>
            </w:r>
          </w:p>
        </w:tc>
        <w:tc>
          <w:tcPr/>
          <w:p>
            <w:pPr>
              <w:pStyle w:val="Compact"/>
            </w:pPr>
          </w:p>
        </w:tc>
        <w:tc>
          <w:tcPr/>
          <w:p>
            <w:pPr>
              <w:pStyle w:val="Compact"/>
            </w:pPr>
          </w:p>
        </w:tc>
      </w:tr>
      <w:tr>
        <w:tc>
          <w:tcPr/>
          <w:p>
            <w:pPr>
              <w:pStyle w:val="Compact"/>
            </w:pPr>
            <w:r>
              <w:rPr>
                <w:rFonts w:hint="eastAsia"/>
              </w:rPr>
              <w:t xml:space="preserve">85%未満の接種率の小学校</w:t>
            </w:r>
            <w:r>
              <w:t xml:space="preserve"> 2 4</w:t>
            </w:r>
          </w:p>
        </w:tc>
        <w:tc>
          <w:tcPr/>
          <w:p>
            <w:pPr>
              <w:pStyle w:val="Compact"/>
            </w:pPr>
            <w:r>
              <w:t xml:space="preserve">6</w:t>
            </w:r>
          </w:p>
        </w:tc>
        <w:tc>
          <w:tcPr/>
          <w:p>
            <w:pPr>
              <w:pStyle w:val="Compact"/>
            </w:pPr>
            <w:r>
              <w:t xml:space="preserve">8</w:t>
            </w:r>
          </w:p>
        </w:tc>
        <w:tc>
          <w:tcPr/>
          <w:p>
            <w:pPr>
              <w:pStyle w:val="Compact"/>
              <w:jc w:val="left"/>
            </w:pPr>
            <w:r>
              <w:t xml:space="preserve">9</w:t>
            </w:r>
          </w:p>
        </w:tc>
        <w:tc>
          <w:tcPr/>
          <w:p>
            <w:pPr>
              <w:pStyle w:val="Compact"/>
            </w:pPr>
          </w:p>
        </w:tc>
        <w:tc>
          <w:tcPr/>
          <w:p>
            <w:pPr>
              <w:pStyle w:val="Compact"/>
            </w:pPr>
          </w:p>
        </w:tc>
      </w:tr>
      <w:tr>
        <w:tc>
          <w:tcPr/>
          <w:p>
            <w:pPr>
              <w:pStyle w:val="Compact"/>
            </w:pPr>
            <w:r>
              <w:rPr>
                <w:rFonts w:hint="eastAsia"/>
              </w:rPr>
              <w:t xml:space="preserve">郡クリニックによるMMR接種回数</w:t>
            </w:r>
            <w:r>
              <w:t xml:space="preserve"> 3,420</w:t>
            </w:r>
          </w:p>
        </w:tc>
        <w:tc>
          <w:tcPr/>
          <w:p>
            <w:pPr>
              <w:pStyle w:val="Compact"/>
            </w:pPr>
            <w:r>
              <w:t xml:space="preserve">3,180</w:t>
            </w:r>
          </w:p>
        </w:tc>
        <w:tc>
          <w:tcPr/>
          <w:p>
            <w:pPr>
              <w:pStyle w:val="Compact"/>
            </w:pPr>
            <w:r>
              <w:t xml:space="preserve">2,960</w:t>
            </w:r>
          </w:p>
        </w:tc>
        <w:tc>
          <w:tcPr/>
          <w:p>
            <w:pPr>
              <w:pStyle w:val="Compact"/>
              <w:jc w:val="left"/>
            </w:pPr>
            <w:r>
              <w:t xml:space="preserve">3,610</w:t>
            </w:r>
          </w:p>
        </w:tc>
        <w:tc>
          <w:tcPr/>
          <w:p>
            <w:pPr>
              <w:pStyle w:val="Compact"/>
              <w:jc w:val="right"/>
            </w:pPr>
            <w:r>
              <w:t xml:space="preserve">2,740</w:t>
            </w:r>
          </w:p>
        </w:tc>
        <w:tc>
          <w:tcPr/>
          <w:p>
            <w:pPr>
              <w:pStyle w:val="Compact"/>
            </w:pPr>
          </w:p>
        </w:tc>
      </w:tr>
    </w:tbl>
    <w:bookmarkEnd w:id="21"/>
    <w:bookmarkStart w:id="22" w:name="図表2.-郡全体の平均に隠された変動"/>
    <w:p>
      <w:pPr>
        <w:pStyle w:val="Heading1"/>
      </w:pPr>
      <w:r>
        <w:rPr>
          <w:rFonts w:hint="eastAsia"/>
        </w:rPr>
        <w:t xml:space="preserve">図表2.</w:t>
      </w:r>
      <w:r>
        <w:t xml:space="preserve"> </w:t>
      </w:r>
      <w:r>
        <w:rPr>
          <w:rFonts w:hint="eastAsia"/>
        </w:rPr>
        <w:t xml:space="preserve">郡全体の平均に隠された変動</w:t>
      </w:r>
    </w:p>
    <w:tbl>
      <w:tblPr>
        <w:tblStyle w:val="Table"/>
        <w:tblW w:type="pct" w:w="4925"/>
        <w:tblLayout w:type="fixed"/>
        <w:tblLook w:firstRow="1" w:lastRow="0" w:firstColumn="0" w:lastColumn="0" w:noHBand="0" w:noVBand="0" w:val="0020"/>
      </w:tblPr>
      <w:tblGrid>
        <w:gridCol w:w="1773"/>
        <w:gridCol w:w="650"/>
        <w:gridCol w:w="1536"/>
        <w:gridCol w:w="1004"/>
        <w:gridCol w:w="1063"/>
        <w:gridCol w:w="1773"/>
      </w:tblGrid>
      <w:tr>
        <w:trPr>
          <w:tblHeader w:val="on"/>
        </w:trPr>
        <w:tc>
          <w:tcPr/>
          <w:p>
            <w:pPr>
              <w:pStyle w:val="Compact"/>
            </w:pPr>
            <w:r>
              <w:rPr>
                <w:rFonts w:hint="eastAsia"/>
              </w:rPr>
              <w:t xml:space="preserve">学校クラスタ</w:t>
            </w:r>
            <w:r>
              <w:t xml:space="preserve"> </w:t>
            </w:r>
            <w:r>
              <w:rPr>
                <w:rFonts w:hint="eastAsia"/>
              </w:rPr>
              <w:t xml:space="preserve">生</w:t>
            </w:r>
          </w:p>
        </w:tc>
        <w:tc>
          <w:tcPr/>
          <w:p>
            <w:pPr>
              <w:pStyle w:val="Compact"/>
            </w:pPr>
            <w:r>
              <w:rPr>
                <w:rFonts w:hint="eastAsia"/>
              </w:rPr>
              <w:t xml:space="preserve">徒数</w:t>
            </w:r>
            <w:r>
              <w:t xml:space="preserve"> </w:t>
            </w:r>
            <w:r>
              <w:rPr>
                <w:rFonts w:hint="eastAsia"/>
              </w:rPr>
              <w:t xml:space="preserve">文書</w:t>
            </w:r>
          </w:p>
        </w:tc>
        <w:tc>
          <w:tcPr/>
          <w:p>
            <w:pPr>
              <w:pStyle w:val="Compact"/>
            </w:pPr>
            <w:r>
              <w:rPr>
                <w:rFonts w:hint="eastAsia"/>
              </w:rPr>
              <w:t xml:space="preserve">化されたMMR接種率</w:t>
            </w:r>
            <w:r>
              <w:t xml:space="preserve"> </w:t>
            </w:r>
            <w:r>
              <w:rPr>
                <w:rFonts w:hint="eastAsia"/>
              </w:rPr>
              <w:t xml:space="preserve">免除率</w:t>
            </w:r>
          </w:p>
        </w:tc>
        <w:tc>
          <w:tcPr/>
          <w:p>
            <w:pPr>
              <w:pStyle w:val="Compact"/>
              <w:jc w:val="right"/>
            </w:pPr>
            <w:r>
              <w:rPr>
                <w:rFonts w:hint="eastAsia"/>
              </w:rPr>
              <w:t xml:space="preserve">記録欠落</w:t>
            </w:r>
            <w:r>
              <w:t xml:space="preserve"> アク</w:t>
            </w:r>
          </w:p>
        </w:tc>
        <w:tc>
          <w:tcPr/>
          <w:p>
            <w:pPr>
              <w:pStyle w:val="Compact"/>
              <w:jc w:val="left"/>
            </w:pPr>
            <w:r>
              <w:rPr>
                <w:rFonts w:hint="eastAsia"/>
              </w:rPr>
              <w:t xml:space="preserve">セス指標</w:t>
            </w:r>
          </w:p>
        </w:tc>
        <w:tc>
          <w:tcPr/>
          <w:p>
            <w:pPr>
              <w:pStyle w:val="Compact"/>
            </w:pPr>
          </w:p>
        </w:tc>
      </w:tr>
      <w:tr>
        <w:tc>
          <w:tcPr/>
          <w:p>
            <w:pPr>
              <w:pStyle w:val="Compact"/>
            </w:pPr>
            <w:r>
              <w:rPr>
                <w:rFonts w:hint="eastAsia"/>
              </w:rPr>
              <w:t xml:space="preserve">沿岸北部</w:t>
            </w:r>
            <w:r>
              <w:t xml:space="preserve"> 8,420</w:t>
            </w:r>
          </w:p>
        </w:tc>
        <w:tc>
          <w:tcPr/>
          <w:p>
            <w:pPr>
              <w:pStyle w:val="Compact"/>
            </w:pPr>
            <w:r>
              <w:t xml:space="preserve">96.4%</w:t>
            </w:r>
          </w:p>
        </w:tc>
        <w:tc>
          <w:tcPr/>
          <w:p>
            <w:pPr>
              <w:pStyle w:val="Compact"/>
            </w:pPr>
            <w:r>
              <w:t xml:space="preserve">1.2%</w:t>
            </w:r>
          </w:p>
        </w:tc>
        <w:tc>
          <w:tcPr/>
          <w:p>
            <w:pPr>
              <w:pStyle w:val="Compact"/>
              <w:jc w:val="right"/>
            </w:pPr>
            <w:r>
              <w:t xml:space="preserve">2.4%</w:t>
            </w:r>
          </w:p>
        </w:tc>
        <w:tc>
          <w:tcPr/>
          <w:p>
            <w:pPr>
              <w:pStyle w:val="Compact"/>
              <w:jc w:val="left"/>
            </w:pPr>
            <w:r>
              <w:rPr>
                <w:rFonts w:hint="eastAsia"/>
              </w:rPr>
              <w:t xml:space="preserve">高い医</w:t>
            </w:r>
          </w:p>
        </w:tc>
        <w:tc>
          <w:tcPr/>
          <w:p>
            <w:pPr>
              <w:pStyle w:val="Compact"/>
            </w:pPr>
            <w:r>
              <w:rPr>
                <w:rFonts w:hint="eastAsia"/>
              </w:rPr>
              <w:t xml:space="preserve">療提供者密度</w:t>
            </w:r>
          </w:p>
        </w:tc>
      </w:tr>
      <w:tr>
        <w:tc>
          <w:tcPr/>
          <w:p>
            <w:pPr>
              <w:pStyle w:val="Compact"/>
            </w:pPr>
            <w:r>
              <w:rPr>
                <w:rFonts w:hint="eastAsia"/>
              </w:rPr>
              <w:t xml:space="preserve">中心市街地</w:t>
            </w:r>
            <w:r>
              <w:t xml:space="preserve"> 11</w:t>
            </w:r>
          </w:p>
        </w:tc>
        <w:tc>
          <w:tcPr/>
          <w:p>
            <w:pPr>
              <w:pStyle w:val="Compact"/>
            </w:pPr>
            <w:r>
              <w:t xml:space="preserve">,760 90</w:t>
            </w:r>
          </w:p>
        </w:tc>
        <w:tc>
          <w:tcPr/>
          <w:p>
            <w:pPr>
              <w:pStyle w:val="Compact"/>
            </w:pPr>
            <w:r>
              <w:t xml:space="preserve">.7% 2.</w:t>
            </w:r>
          </w:p>
        </w:tc>
        <w:tc>
          <w:tcPr/>
          <w:p>
            <w:pPr>
              <w:pStyle w:val="Compact"/>
              <w:jc w:val="right"/>
            </w:pPr>
            <w:r>
              <w:t xml:space="preserve">1% 7.</w:t>
            </w:r>
          </w:p>
        </w:tc>
        <w:tc>
          <w:tcPr/>
          <w:p>
            <w:pPr>
              <w:pStyle w:val="Compact"/>
              <w:jc w:val="left"/>
            </w:pPr>
            <w:r>
              <w:t xml:space="preserve">2% </w:t>
            </w:r>
            <w:r>
              <w:rPr>
                <w:rFonts w:hint="eastAsia"/>
              </w:rPr>
              <w:t xml:space="preserve">高</w:t>
            </w:r>
          </w:p>
        </w:tc>
        <w:tc>
          <w:tcPr/>
          <w:p>
            <w:pPr>
              <w:pStyle w:val="Compact"/>
            </w:pPr>
            <w:r>
              <w:rPr>
                <w:rFonts w:hint="eastAsia"/>
              </w:rPr>
              <w:t xml:space="preserve">い移動性;多言語</w:t>
            </w:r>
          </w:p>
        </w:tc>
      </w:tr>
      <w:tr>
        <w:tc>
          <w:tcPr/>
          <w:p>
            <w:pPr>
              <w:pStyle w:val="Compact"/>
            </w:pPr>
            <w:r>
              <w:rPr>
                <w:rFonts w:hint="eastAsia"/>
              </w:rPr>
              <w:t xml:space="preserve">内陸農村部</w:t>
            </w:r>
            <w:r>
              <w:t xml:space="preserve"> 6,1</w:t>
            </w:r>
          </w:p>
        </w:tc>
        <w:tc>
          <w:tcPr/>
          <w:p>
            <w:pPr>
              <w:pStyle w:val="Compact"/>
            </w:pPr>
            <w:r>
              <w:t xml:space="preserve">80 88.</w:t>
            </w:r>
          </w:p>
        </w:tc>
        <w:tc>
          <w:tcPr/>
          <w:p>
            <w:pPr>
              <w:pStyle w:val="Compact"/>
            </w:pPr>
            <w:r>
              <w:t xml:space="preserve">9% 3.4</w:t>
            </w:r>
          </w:p>
        </w:tc>
        <w:tc>
          <w:tcPr/>
          <w:p>
            <w:pPr>
              <w:pStyle w:val="Compact"/>
              <w:jc w:val="right"/>
            </w:pPr>
            <w:r>
              <w:t xml:space="preserve">% 7.7</w:t>
            </w:r>
          </w:p>
        </w:tc>
        <w:tc>
          <w:tcPr/>
          <w:p>
            <w:pPr>
              <w:pStyle w:val="Compact"/>
              <w:jc w:val="left"/>
            </w:pPr>
            <w:r>
              <w:t xml:space="preserve">% </w:t>
            </w:r>
            <w:r>
              <w:rPr>
                <w:rFonts w:hint="eastAsia"/>
              </w:rPr>
              <w:t xml:space="preserve">夜間</w:t>
            </w:r>
          </w:p>
        </w:tc>
        <w:tc>
          <w:tcPr/>
          <w:p>
            <w:pPr>
              <w:pStyle w:val="Compact"/>
            </w:pPr>
            <w:r>
              <w:rPr>
                <w:rFonts w:hint="eastAsia"/>
              </w:rPr>
              <w:t xml:space="preserve">・週末クリニックが少ない</w:t>
            </w:r>
          </w:p>
        </w:tc>
      </w:tr>
      <w:tr>
        <w:tc>
          <w:tcPr/>
          <w:p>
            <w:pPr>
              <w:pStyle w:val="Compact"/>
            </w:pPr>
            <w:r>
              <w:rPr>
                <w:rFonts w:hint="eastAsia"/>
              </w:rPr>
              <w:t xml:space="preserve">西部郊外</w:t>
            </w:r>
            <w:r>
              <w:t xml:space="preserve"> 9,540</w:t>
            </w:r>
          </w:p>
        </w:tc>
        <w:tc>
          <w:tcPr/>
          <w:p>
            <w:pPr>
              <w:pStyle w:val="Compact"/>
            </w:pPr>
            <w:r>
              <w:t xml:space="preserve">93.6%</w:t>
            </w:r>
          </w:p>
        </w:tc>
        <w:tc>
          <w:tcPr/>
          <w:p>
            <w:pPr>
              <w:pStyle w:val="Compact"/>
            </w:pPr>
            <w:r>
              <w:t xml:space="preserve">4.8%</w:t>
            </w:r>
          </w:p>
        </w:tc>
        <w:tc>
          <w:tcPr/>
          <w:p>
            <w:pPr>
              <w:pStyle w:val="Compact"/>
              <w:jc w:val="right"/>
            </w:pPr>
            <w:r>
              <w:t xml:space="preserve">1.6%</w:t>
            </w:r>
          </w:p>
        </w:tc>
        <w:tc>
          <w:tcPr/>
          <w:p>
            <w:pPr>
              <w:pStyle w:val="Compact"/>
              <w:jc w:val="left"/>
            </w:pPr>
            <w:r>
              <w:rPr>
                <w:rFonts w:hint="eastAsia"/>
              </w:rPr>
              <w:t xml:space="preserve">高い医</w:t>
            </w:r>
          </w:p>
        </w:tc>
        <w:tc>
          <w:tcPr/>
          <w:p>
            <w:pPr>
              <w:pStyle w:val="Compact"/>
            </w:pPr>
            <w:r>
              <w:rPr>
                <w:rFonts w:hint="eastAsia"/>
              </w:rPr>
              <w:t xml:space="preserve">療提供者密度</w:t>
            </w:r>
          </w:p>
        </w:tc>
      </w:tr>
      <w:tr>
        <w:tc>
          <w:tcPr/>
          <w:p>
            <w:pPr>
              <w:pStyle w:val="Compact"/>
            </w:pPr>
            <w:r>
              <w:rPr>
                <w:rFonts w:hint="eastAsia"/>
              </w:rPr>
              <w:t xml:space="preserve">独立系/私立学校</w:t>
            </w:r>
            <w:r>
              <w:t xml:space="preserve"> 4,330 84.</w:t>
            </w:r>
          </w:p>
        </w:tc>
        <w:tc>
          <w:tcPr/>
          <w:p>
            <w:pPr>
              <w:pStyle w:val="Compact"/>
            </w:pPr>
            <w:r>
              <w:t xml:space="preserve">7%</w:t>
            </w:r>
          </w:p>
        </w:tc>
        <w:tc>
          <w:tcPr/>
          <w:p>
            <w:pPr>
              <w:pStyle w:val="Compact"/>
            </w:pPr>
            <w:r>
              <w:t xml:space="preserve">11.2%</w:t>
            </w:r>
          </w:p>
        </w:tc>
        <w:tc>
          <w:tcPr/>
          <w:p>
            <w:pPr>
              <w:pStyle w:val="Compact"/>
              <w:jc w:val="right"/>
            </w:pPr>
            <w:r>
              <w:t xml:space="preserve">4.1%</w:t>
            </w:r>
          </w:p>
        </w:tc>
        <w:tc>
          <w:tcPr/>
          <w:p>
            <w:pPr>
              <w:pStyle w:val="Compact"/>
              <w:jc w:val="left"/>
            </w:pPr>
            <w:r>
              <w:rPr>
                <w:rFonts w:hint="eastAsia"/>
              </w:rPr>
              <w:t xml:space="preserve">方針と信頼はさ</w:t>
            </w:r>
          </w:p>
        </w:tc>
        <w:tc>
          <w:tcPr/>
          <w:p>
            <w:pPr>
              <w:pStyle w:val="Compact"/>
            </w:pPr>
            <w:r>
              <w:t xml:space="preserve">まざま</w:t>
            </w:r>
          </w:p>
        </w:tc>
      </w:tr>
      <w:tr>
        <w:tc>
          <w:tcPr/>
          <w:p>
            <w:pPr>
              <w:pStyle w:val="Compact"/>
            </w:pPr>
            <w:r>
              <w:rPr>
                <w:rFonts w:hint="eastAsia"/>
              </w:rPr>
              <w:t xml:space="preserve">郡全体</w:t>
            </w:r>
            <w:r>
              <w:t xml:space="preserve"> 40,</w:t>
            </w:r>
          </w:p>
        </w:tc>
        <w:tc>
          <w:tcPr/>
          <w:p>
            <w:pPr>
              <w:pStyle w:val="Compact"/>
            </w:pPr>
            <w:r>
              <w:t xml:space="preserve">230 91.</w:t>
            </w:r>
          </w:p>
        </w:tc>
        <w:tc>
          <w:tcPr/>
          <w:p>
            <w:pPr>
              <w:pStyle w:val="Compact"/>
            </w:pPr>
            <w:r>
              <w:t xml:space="preserve">8% 4.4</w:t>
            </w:r>
          </w:p>
        </w:tc>
        <w:tc>
          <w:tcPr/>
          <w:p>
            <w:pPr>
              <w:pStyle w:val="Compact"/>
              <w:jc w:val="right"/>
            </w:pPr>
            <w:r>
              <w:t xml:space="preserve">% 3.8</w:t>
            </w:r>
          </w:p>
        </w:tc>
        <w:tc>
          <w:tcPr/>
          <w:p>
            <w:pPr>
              <w:pStyle w:val="Compact"/>
              <w:jc w:val="left"/>
            </w:pPr>
            <w:r>
              <w:t xml:space="preserve">% </w:t>
            </w:r>
            <w:r>
              <w:rPr>
                <w:rFonts w:hint="eastAsia"/>
              </w:rPr>
              <w:t xml:space="preserve">平均</w:t>
            </w:r>
          </w:p>
        </w:tc>
        <w:tc>
          <w:tcPr/>
          <w:p>
            <w:pPr>
              <w:pStyle w:val="Compact"/>
            </w:pPr>
            <w:r>
              <w:rPr>
                <w:rFonts w:hint="eastAsia"/>
              </w:rPr>
              <w:t xml:space="preserve">がクラスタリングを覆い隠す</w:t>
            </w:r>
          </w:p>
        </w:tc>
      </w:tr>
    </w:tbl>
    <w:bookmarkEnd w:id="22"/>
    <w:bookmarkStart w:id="23" w:name="討論のための質問"/>
    <w:p>
      <w:pPr>
        <w:pStyle w:val="Heading1"/>
      </w:pPr>
      <w:r>
        <w:rPr>
          <w:rFonts w:hint="eastAsia"/>
        </w:rPr>
        <w:t xml:space="preserve">討論のための質問</w:t>
      </w:r>
    </w:p>
    <w:p>
      <w:pPr>
        <w:numPr>
          <w:ilvl w:val="0"/>
          <w:numId w:val="1001"/>
        </w:numPr>
      </w:pPr>
      <w:r>
        <w:rPr>
          <w:rFonts w:hint="eastAsia"/>
        </w:rPr>
        <w:t xml:space="preserve">パテルはどのような問題を解決するよう求められているのか:単一の暴露の封じ込め、アウトブレイクの防止、ワクチン接種率の向上、信頼の再構築、脆弱な住民の保護のいずれか。</w:t>
      </w:r>
    </w:p>
    <w:p>
      <w:pPr>
        <w:numPr>
          <w:ilvl w:val="0"/>
          <w:numId w:val="1001"/>
        </w:numPr>
      </w:pPr>
      <w:r>
        <w:rPr>
          <w:rFonts w:hint="eastAsia"/>
        </w:rPr>
        <w:t xml:space="preserve">午後3時30分の会議前に決定しなければならないのはどの決定であり、新しい情報を待って決められるのはどれか。</w:t>
      </w:r>
    </w:p>
    <w:p>
      <w:pPr>
        <w:numPr>
          <w:ilvl w:val="0"/>
          <w:numId w:val="1001"/>
        </w:numPr>
      </w:pPr>
      <w:r>
        <w:rPr>
          <w:rFonts w:hint="eastAsia"/>
        </w:rPr>
        <w:t xml:space="preserve">郡はワクチン未接種と記録の欠如をどのように区別すべきか。データを改善することの価値は何か。</w:t>
      </w:r>
    </w:p>
    <w:p>
      <w:pPr>
        <w:numPr>
          <w:ilvl w:val="0"/>
          <w:numId w:val="1001"/>
        </w:numPr>
      </w:pPr>
      <w:r>
        <w:rPr>
          <w:rFonts w:hint="eastAsia"/>
        </w:rPr>
        <w:t xml:space="preserve">どの成果指標が対応を統括すべきか:症例数、二次感染、接種率、確認済み記録、失われた授業日数、信頼、公平性、費用、あるいはこれらの組み合わせか。</w:t>
      </w:r>
    </w:p>
    <w:p>
      <w:pPr>
        <w:numPr>
          <w:ilvl w:val="0"/>
          <w:numId w:val="1001"/>
        </w:numPr>
      </w:pPr>
      <w:r>
        <w:rPr>
          <w:rFonts w:hint="eastAsia"/>
        </w:rPr>
        <w:t xml:space="preserve">低接種率が地域ごとに異なる原因で生じている場合、リソースをどのように配分すべきか。</w:t>
      </w:r>
    </w:p>
    <w:p>
      <w:pPr>
        <w:numPr>
          <w:ilvl w:val="0"/>
          <w:numId w:val="1001"/>
        </w:numPr>
      </w:pPr>
      <w:r>
        <w:rPr>
          <w:rFonts w:hint="eastAsia"/>
        </w:rPr>
        <w:t xml:space="preserve">汚名化、二極化、あるいは油断を増大させることなく、有用な情報を提供するコミュニケーション戦略とはどのようなものか。</w:t>
      </w:r>
    </w:p>
    <w:p>
      <w:pPr>
        <w:numPr>
          <w:ilvl w:val="0"/>
          <w:numId w:val="1001"/>
        </w:numPr>
      </w:pPr>
      <w:r>
        <w:rPr>
          <w:rFonts w:hint="eastAsia"/>
        </w:rPr>
        <w:t xml:space="preserve">予算、決定の引き金、そして戦略を拡大、縮小、または変更させる指標を含む、パテルへの90日間の提言を作成せよ。</w:t>
      </w:r>
    </w:p>
    <w:bookmarkEnd w:id="23"/>
    <w:bookmarkStart w:id="29" w:name="決定フレーミングのための質問"/>
    <w:p>
      <w:pPr>
        <w:pStyle w:val="Heading1"/>
      </w:pPr>
      <w:r>
        <w:rPr>
          <w:rFonts w:hint="eastAsia"/>
        </w:rPr>
        <w:t xml:space="preserve">決定フレーミングのための質問</w:t>
      </w:r>
    </w:p>
    <w:p>
      <w:pPr>
        <w:numPr>
          <w:ilvl w:val="0"/>
          <w:numId w:val="1002"/>
        </w:numPr>
      </w:pPr>
      <w:r>
        <w:rPr>
          <w:rFonts w:hint="eastAsia"/>
        </w:rPr>
        <w:t xml:space="preserve">意思決定者の責任を特定し、記述せよ。これにより問題の範囲が設定されるべきである。</w:t>
      </w:r>
    </w:p>
    <w:p>
      <w:pPr>
        <w:numPr>
          <w:ilvl w:val="0"/>
          <w:numId w:val="1002"/>
        </w:numPr>
      </w:pPr>
      <w:hyperlink r:id="rId24">
        <w:r>
          <w:rPr>
            <w:rStyle w:val="Hyperlink"/>
          </w:rPr>
          <w:t xml:space="preserve">メトリクス・ピラミッド・ツール</w:t>
        </w:r>
      </w:hyperlink>
      <w:r>
        <w:rPr>
          <w:rFonts w:hint="eastAsia"/>
        </w:rPr>
        <w:t xml:space="preserve">を使用して、さまざまな成果指標を特定し、優先順位を付けよ。指標を保持する楕円をクリックして、それが最大化すべき指標(緑)、最小化すべき指標(赤)、下限としての目標(薄緑)、上限としての目標(薄赤)、あるいは目標値(紫)のいずれであるかを識別せよ。</w:t>
      </w:r>
    </w:p>
    <w:p>
      <w:pPr>
        <w:numPr>
          <w:ilvl w:val="0"/>
          <w:numId w:val="1002"/>
        </w:numPr>
      </w:pPr>
      <w:hyperlink r:id="rId25">
        <w:r>
          <w:rPr>
            <w:rStyle w:val="Hyperlink"/>
            <w:rFonts w:hint="eastAsia"/>
          </w:rPr>
          <w:t xml:space="preserve">決定優先順位付けツール</w:t>
        </w:r>
      </w:hyperlink>
      <w:r>
        <w:rPr>
          <w:rFonts w:hint="eastAsia"/>
        </w:rPr>
        <w:t xml:space="preserve">を使用して、まずさまざまな種類の決定を列挙せよ(</w:t>
      </w:r>
      <w:hyperlink r:id="rId26">
        <w:r>
          <w:rPr>
            <w:rStyle w:val="Hyperlink"/>
            <w:rFonts w:hint="eastAsia"/>
          </w:rPr>
          <w:t xml:space="preserve">決定の種類</w:t>
        </w:r>
      </w:hyperlink>
      <w:r>
        <w:rPr>
          <w:rFonts w:hint="eastAsia"/>
        </w:rPr>
        <w:t xml:space="preserve">をガイドとして使用すること)。これらは右側の行列の行を構成し、列は上記のピラミッドで優先順位付けされた成果指標を左から右に並べたものとなる。各セルをクリックして、その決定が各指標に与える影響が高い(赤)、中程度(オレンジ)、低い(黄)、なし(白)のいずれであるかを示せ。</w:t>
      </w:r>
    </w:p>
    <w:p>
      <w:pPr>
        <w:numPr>
          <w:ilvl w:val="0"/>
          <w:numId w:val="1002"/>
        </w:numPr>
      </w:pPr>
      <w:r>
        <w:rPr>
          <w:rFonts w:hint="eastAsia"/>
        </w:rPr>
        <w:t xml:space="preserve">各行の最も左側にあるハンドル(3本の棒)をつかんで、上下に移動させることができる。最も重要な指標に最大の影響を与える決定が上位に来るように行を並べ替えよ。左上隅のセルには、赤とオレンジのセルが最も集中しているべきである。この時点で、あなたの研究において最も注意を払うべき決定を特定せよ。最も重要な指標に中程度または高い影響を与える決定がない場合は、決定のリストを見直すこと。</w:t>
      </w:r>
    </w:p>
    <w:p>
      <w:pPr>
        <w:numPr>
          <w:ilvl w:val="0"/>
          <w:numId w:val="1002"/>
        </w:numPr>
      </w:pPr>
      <w:hyperlink r:id="rId27">
        <w:r>
          <w:rPr>
            <w:rStyle w:val="Hyperlink"/>
            <w:rFonts w:hint="eastAsia"/>
          </w:rPr>
          <w:t xml:space="preserve">不確実性優先順位付けツール</w:t>
        </w:r>
      </w:hyperlink>
      <w:r>
        <w:rPr>
          <w:rFonts w:hint="eastAsia"/>
        </w:rPr>
        <w:t xml:space="preserve">を使用して、不確実性を列挙し優先順位を付けるプロセスを繰り返せ。</w:t>
      </w:r>
      <w:hyperlink r:id="rId28">
        <w:r>
          <w:rPr>
            <w:rStyle w:val="Hyperlink"/>
            <w:rFonts w:hint="eastAsia"/>
          </w:rPr>
          <w:t xml:space="preserve">不確実性の分類</w:t>
        </w:r>
      </w:hyperlink>
      <w:r>
        <w:rPr>
          <w:rFonts w:hint="eastAsia"/>
        </w:rPr>
        <w:t xml:space="preserve">を使用して、これらを特定する助けとせよ。</w:t>
      </w:r>
    </w:p>
    <w:p>
      <w:pPr>
        <w:numPr>
          <w:ilvl w:val="0"/>
          <w:numId w:val="1002"/>
        </w:numPr>
      </w:pPr>
      <w:r>
        <w:rPr>
          <w:rFonts w:hint="eastAsia"/>
        </w:rPr>
        <w:t xml:space="preserve">時間経過に伴う平均パフォーマンスとして評価できる不確実性と、リスクイベントとして評価すべき不確実性を区別することが重要である:</w:t>
      </w:r>
    </w:p>
    <w:p>
      <w:pPr>
        <w:numPr>
          <w:ilvl w:val="1"/>
          <w:numId w:val="1003"/>
        </w:numPr>
      </w:pPr>
      <w:r>
        <w:rPr>
          <w:rFonts w:hint="eastAsia"/>
        </w:rPr>
        <w:t xml:space="preserve">どの不確実性の源が、時間経過に伴う平均パフォーマンスを用いて捉えられるか。</w:t>
      </w:r>
    </w:p>
    <w:p>
      <w:pPr>
        <w:numPr>
          <w:ilvl w:val="1"/>
          <w:numId w:val="1003"/>
        </w:numPr>
      </w:pPr>
      <w:r>
        <w:rPr>
          <w:rFonts w:hint="eastAsia"/>
        </w:rPr>
        <w:t xml:space="preserve">どの不確実性の源が、平均値では適切に捉えられないリスクの形態を表しているか。</w:t>
      </w:r>
    </w:p>
    <w:p>
      <w:pPr>
        <w:numPr>
          <w:ilvl w:val="0"/>
          <w:numId w:val="1002"/>
        </w:numPr>
      </w:pPr>
      <w:r>
        <w:rPr>
          <w:rFonts w:hint="eastAsia"/>
        </w:rPr>
        <w:t xml:space="preserve">最も重要な指標に最も高い影響を与えると思われる単一の決定を選べ。</w:t>
      </w:r>
    </w:p>
    <w:p>
      <w:pPr>
        <w:numPr>
          <w:ilvl w:val="1"/>
          <w:numId w:val="1004"/>
        </w:numPr>
      </w:pPr>
      <w:r>
        <w:rPr>
          <w:rFonts w:hint="eastAsia"/>
        </w:rPr>
        <w:t xml:space="preserve">この決定を下すためにどのようなアプローチを用いると考えるか。</w:t>
      </w:r>
    </w:p>
    <w:p>
      <w:pPr>
        <w:numPr>
          <w:ilvl w:val="1"/>
          <w:numId w:val="1004"/>
        </w:numPr>
      </w:pPr>
      <w:r>
        <w:rPr>
          <w:rFonts w:hint="eastAsia"/>
        </w:rPr>
        <w:t xml:space="preserve">この決定を下すために必要と思われるデータは何か。決定が高いまたは中程度の影響を与える成果指標の計算を含む。</w:t>
      </w:r>
    </w:p>
    <w:p>
      <w:pPr>
        <w:numPr>
          <w:ilvl w:val="0"/>
          <w:numId w:val="1002"/>
        </w:numPr>
      </w:pPr>
      <w:r>
        <w:rPr>
          <w:rFonts w:hint="eastAsia"/>
        </w:rPr>
        <w:t xml:space="preserve">質問(7)で特定したのと同じ決定を用いて、その決定を実行するために協力する必要がある人々、部門、グループ、組織を特定せよ。</w:t>
      </w:r>
    </w:p>
    <w:bookmarkEnd w:id="29"/>
    <w:bookmarkStart w:id="30" w:name="出典と注記"/>
    <w:p>
      <w:pPr>
        <w:pStyle w:val="Heading1"/>
      </w:pPr>
      <w:r>
        <w:rPr>
          <w:rFonts w:hint="eastAsia"/>
        </w:rPr>
        <w:t xml:space="preserve">出典と注記</w:t>
      </w:r>
    </w:p>
    <w:p>
      <w:pPr>
        <w:pStyle w:val="FirstParagraph"/>
      </w:pPr>
      <w:r>
        <w:t xml:space="preserve">1. CDC,</w:t>
      </w:r>
      <w:r>
        <w:t xml:space="preserve"> </w:t>
      </w:r>
      <w:r>
        <w:t xml:space="preserve">“Measles Cases and Outbreaks,”</w:t>
      </w:r>
      <w:r>
        <w:t xml:space="preserve"> </w:t>
      </w:r>
      <w:r>
        <w:rPr>
          <w:rFonts w:hint="eastAsia"/>
        </w:rPr>
        <w:t xml:space="preserve">2026年7月24日更新。2026年7月23日時点で、米国では2,318件の確定症例が報告され、そのうち93%がアウトブレイク関連であった。同ページはまた、2025年に2,289件、2024年に285件の症例が報告されたこと、また地域社会の免疫には一般に95%を超える接種率が必要であることを述べている。</w:t>
      </w:r>
    </w:p>
    <w:p>
      <w:pPr>
        <w:pStyle w:val="BodyText"/>
      </w:pPr>
      <w:r>
        <w:t xml:space="preserve">2. CDC,</w:t>
      </w:r>
      <w:r>
        <w:t xml:space="preserve"> </w:t>
      </w:r>
      <w:r>
        <w:t xml:space="preserve">“Measles Symptoms and Complications,”</w:t>
      </w:r>
      <w:r>
        <w:t xml:space="preserve"> </w:t>
      </w:r>
      <w:r>
        <w:rPr>
          <w:rFonts w:hint="eastAsia"/>
        </w:rPr>
        <w:t xml:space="preserve">2026年4月29日。症状は一般に感染から7~14日後に始まり、ワクチン未接種の米国患者の約5人に1人が入院し、子どもの最大20人に1人が肺炎を発症し、約1000人に1人が脳炎を発症する。</w:t>
      </w:r>
    </w:p>
    <w:p>
      <w:pPr>
        <w:pStyle w:val="BodyText"/>
      </w:pPr>
      <w:r>
        <w:t xml:space="preserve">3. CDC,</w:t>
      </w:r>
      <w:r>
        <w:t xml:space="preserve"> </w:t>
      </w:r>
      <w:r>
        <w:t xml:space="preserve">“Measles Vaccination,”</w:t>
      </w:r>
      <w:r>
        <w:t xml:space="preserve"> </w:t>
      </w:r>
      <w:r>
        <w:rPr>
          <w:rFonts w:hint="eastAsia"/>
        </w:rPr>
        <w:t xml:space="preserve">2026年4月29日。CDCは子どもに対し、通常生後12</w:t>
      </w:r>
      <w:r>
        <w:rPr>
          <w:rFonts w:hint="eastAsia"/>
          <w:vertAlign w:val="subscript"/>
        </w:rPr>
        <w:t xml:space="preserve">15か月と4</w:t>
      </w:r>
      <w:r>
        <w:rPr>
          <w:rFonts w:hint="eastAsia"/>
        </w:rPr>
        <w:t xml:space="preserve">6歳の2回のMMR接種を推奨している。暴露から72時間以内のMMR接種と6日以内の免疫グロブリン投与は、適切な状況下で暴露後予防を提供する可能性がある。</w:t>
      </w:r>
    </w:p>
    <w:p>
      <w:pPr>
        <w:pStyle w:val="BodyText"/>
      </w:pPr>
      <w:r>
        <w:t xml:space="preserve">4. CDC SchoolVaxView,</w:t>
      </w:r>
      <w:r>
        <w:t xml:space="preserve"> </w:t>
      </w:r>
      <w:r>
        <w:t xml:space="preserve">“Vaccination Coverage and Exemptions among Kindergartners,”</w:t>
      </w:r>
      <w:r>
        <w:t xml:space="preserve"> </w:t>
      </w:r>
      <w:r>
        <w:rPr>
          <w:rFonts w:hint="eastAsia"/>
        </w:rPr>
        <w:t xml:space="preserve">2025年7月31日。全国のMMR接種率は2024~2025年に92.5%であった。約286,000人の幼稚園児がMMR完全接種シリーズの証明を欠いていた。1回以上のワクチンの免除は3.6%に達し、17州で5%を超えていた。</w:t>
      </w:r>
    </w:p>
    <w:bookmarkEnd w:id="30"/>
    <w:bookmarkStart w:id="33" w:name="chatgptのメモ"/>
    <w:p>
      <w:pPr>
        <w:pStyle w:val="Heading1"/>
      </w:pPr>
      <w:r>
        <w:t xml:space="preserve">ChatGPTのメモ</w:t>
      </w:r>
    </w:p>
    <w:bookmarkStart w:id="31" w:name="プロンプト"/>
    <w:p>
      <w:pPr>
        <w:pStyle w:val="Heading2"/>
      </w:pPr>
      <w:r>
        <w:t xml:space="preserve">プロンプト</w:t>
      </w:r>
    </w:p>
    <w:p>
      <w:pPr>
        <w:pStyle w:val="FirstParagraph"/>
      </w:pPr>
      <w:r>
        <w:rPr>
          <w:rFonts w:hint="eastAsia"/>
        </w:rPr>
        <w:t xml:space="preserve">ビジネスケーススタディのスタイルを用いて、統計データに裏付けられた公衆衛生問題のケーススタディを作成せよ。Wordドキュメントで3~5ページとし、よく整理されているが、問題の解決方法についての明確な考えは示さないこと。</w:t>
      </w:r>
    </w:p>
    <w:bookmarkEnd w:id="31"/>
    <w:bookmarkStart w:id="32" w:name="要約"/>
    <w:p>
      <w:pPr>
        <w:pStyle w:val="Heading2"/>
      </w:pPr>
      <w:r>
        <w:rPr>
          <w:rFonts w:hint="eastAsia"/>
        </w:rPr>
        <w:t xml:space="preserve">要約</w:t>
      </w:r>
    </w:p>
    <w:p>
      <w:pPr>
        <w:pStyle w:val="FirstParagraph"/>
      </w:pPr>
      <w:r>
        <w:rPr>
          <w:rFonts w:hint="eastAsia"/>
        </w:rPr>
        <w:t xml:space="preserve">本ケースは、子どものワクチン接種率の低下の中で確認された麻疹暴露に直面する郡を検討するものである。これは以前のケースと同じ形式に従っており、対立する関係者の見解、不完全なデータ、予算制約、介入の選択肢、定量的な図表、最新のCDC統計、討論のための質問を含むが、望ましい解決策を特定するものではない。</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2026-09-11T17:41:31Z</dcterms:created>
  <dcterms:modified xsi:type="dcterms:W3CDTF">2026-09-11T17:41:31Z</dcterms:modified>
</cp:coreProperties>
</file>

<file path=docProps/custom.xml><?xml version="1.0" encoding="utf-8"?>
<Properties xmlns="http://schemas.openxmlformats.org/officeDocument/2006/custom-properties" xmlns:vt="http://schemas.openxmlformats.org/officeDocument/2006/docPropsVTypes"/>
</file>