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ハーバービュー・ホテル</w:t>
      </w:r>
    </w:p>
    <w:p>
      <w:pPr>
        <w:pStyle w:val="BodyText"/>
      </w:pPr>
      <w:r>
        <w:rPr>
          <w:rFonts w:hint="eastAsia"/>
        </w:rPr>
        <w:t xml:space="preserve">8週間の価格決定</w:t>
      </w:r>
    </w:p>
    <w:p>
      <w:pPr>
        <w:pStyle w:val="BodyText"/>
      </w:pPr>
      <w:r>
        <w:rPr>
          <w:rFonts w:hint="eastAsia"/>
        </w:rPr>
        <w:t xml:space="preserve">このケースは架空のものであり、教育的な討論を目的としている。名称、出来事、資金、内部数値は創作されたものであるが、業界の設定は公開データに基づいている。</w:t>
      </w:r>
    </w:p>
    <w:p>
      <w:pPr>
        <w:pStyle w:val="BodyText"/>
      </w:pPr>
      <w:r>
        <w:rPr>
          <w:rFonts w:hint="eastAsia"/>
        </w:rPr>
        <w:t xml:space="preserve">9月8日月曜日午前8時10分、ハーバービュー・ホテルの総支配人エレナ・マルケスは、正反対の物語を語っているように見える2つの画面を見ていた。1つ目の画面は、7週間後に開催される全市規模のテクノロジー・カンファレンスに向けて、ホテルの客室の71%がすでに予約済みであることを示していた。2つ目の画面は、その前後の週末の予約が予測を大きく下回っていることを示していた。レベニュー・マネジメント・システムは、カンファレンス開催夜の料金を直ちに引き上げ、いくつかの割引オファーを打ち切り、遅めの予約をする法人旅行者を狙ったオンライン広告の入札額を引き上げることを推奨していた。営業部長はその逆を望んでいた。すなわち、より多くのカンファレンス団体を獲得できるだけ長く低価格を表示し続け、弱含みのショルダー・ナイト(閑散夜)を埋めるためにパッケージを活用することである。</w:t>
      </w:r>
    </w:p>
    <w:p>
      <w:pPr>
        <w:pStyle w:val="BodyText"/>
      </w:pPr>
      <w:r>
        <w:rPr>
          <w:rFonts w:hint="eastAsia"/>
        </w:rPr>
        <w:t xml:space="preserve">この意見の相違が重要だったのは、264室のハーバービューには各夜各客室を売る機会が1度しかなかったためである。10月24日に空室のまま残った部屋を、後で保存して売ることは決してできない。しかし、あまりに早く189ドルで売ってしまった部屋は、349ドルを支払う意思のあるビジネス旅行者を受け入れる機会をホテルから奪ってしまうかもしれない。マルケスには、今後8週間のホテルの価格設定、広告、パッケージプランを承認するまで正午までの時間しか残されていなかった。</w:t>
      </w:r>
    </w:p>
    <w:bookmarkStart w:id="9" w:name="ハーバービューとその市場"/>
    <w:p>
      <w:pPr>
        <w:pStyle w:val="Heading1"/>
      </w:pPr>
      <w:r>
        <w:rPr>
          <w:rFonts w:hint="eastAsia"/>
        </w:rPr>
        <w:t xml:space="preserve">ハーバービューとその市場</w:t>
      </w:r>
    </w:p>
    <w:p>
      <w:pPr>
        <w:pStyle w:val="FirstParagraph"/>
      </w:pPr>
      <w:r>
        <w:rPr>
          <w:rFonts w:hint="eastAsia"/>
        </w:rPr>
        <w:t xml:space="preserve">ハーバービューは、コンベンションホール、大学医療複合施設、ウォーターフロントのエンターテインメント地区、拡大するテクノロジー産業を擁する地域ビジネスセンターである架空の都市ポートメーソンに位置する、独立系のアッパーアップスケール・ホテルであった。ホテルには240室の標準客室と24室のスイートがあった。施設にはレストラン、小規模なクラブラウンジ、フィットネスセンター、会議室、そして空港とダウンタウンのオフィスを結ぶシャトルが含まれていた。</w:t>
      </w:r>
    </w:p>
    <w:p>
      <w:pPr>
        <w:pStyle w:val="BodyText"/>
      </w:pPr>
      <w:r>
        <w:rPr>
          <w:rFonts w:hint="eastAsia"/>
        </w:rPr>
        <w:t xml:space="preserve">ポートメーソンのホテル市場は、読み解くのがより難しくなっていた。全国的には、米国のホテル稼働率は2025年に約62.3%まで低下し、平均客室単価はわずかに上昇して約160.54ドルとなり、販売可能客室あたりの収益はおよそ100.02ドルまで落ち込んだ。この平均値は、市場、顧客セグメント、季節、イベントカレンダーによる大きな差異を隠していた。例えば2025年7月には、全国の稼働率は68.2%に達したものの、個々の主要市場は50%台半ばから85%超までの幅があった。そのためハーバービューの所有者は、現地の料金設定にあたって全国平均に頼らないよう経営陣に注意を促していた。</w:t>
      </w:r>
    </w:p>
    <w:p>
      <w:pPr>
        <w:pStyle w:val="BodyText"/>
      </w:pPr>
      <w:r>
        <w:rPr>
          <w:rFonts w:hint="eastAsia"/>
        </w:rPr>
        <w:t xml:space="preserve">ポートメーソン市場には、コンベンションセンター近くの4つの大規模ブランドホテル、いくつかのリミテッドサービス物件、そして拡大しつつある短期賃貸の供給が含まれていた。価格比較サイトにより、競合料金は即座に可視化されるようになっていた。オンライン旅行代理店(OTA)は予約を迅速にもたらすことができたが、その手数料はホテルの純収益を減少させた。直接予約はより良い経済性とより多くの顧客情報をもたらしたが、検索広告、ソーシャルメディア、メールキャンペーン、ウェブサイト改善への支出をホテルに要求した。</w:t>
      </w:r>
    </w:p>
    <w:bookmarkEnd w:id="9"/>
    <w:bookmarkStart w:id="11" w:name="需要が偏るカレンダー"/>
    <w:p>
      <w:pPr>
        <w:pStyle w:val="Heading1"/>
      </w:pPr>
      <w:r>
        <w:rPr>
          <w:rFonts w:hint="eastAsia"/>
        </w:rPr>
        <w:t xml:space="preserve">需要が偏るカレンダー</w:t>
      </w:r>
    </w:p>
    <w:p>
      <w:pPr>
        <w:pStyle w:val="FirstParagraph"/>
      </w:pPr>
      <w:r>
        <w:rPr>
          <w:rFonts w:hint="eastAsia"/>
        </w:rPr>
        <w:t xml:space="preserve">8週間の計画期間には、大学のホームカミング週末、3泊のテクノロジー・カンファレンス、ウォーターフロント・マラソン、結婚式が多い2つの土曜日、そして複数の閑散とした日曜から木曜の期間が含まれていた。テクノロジー・カンファレンスにはポートメーソンに18,000人の参加者が訪れると見込まれていたが、主催者は最終的な登録者数をまだ発表していなかった。複数の法人顧客は、到着21日前までペナルティなしで削減可能な団体ブロックを予約していた。競合ホテルの1つが90室を改装中との噂があったが、そのウェブサイトには通常通りの空室状況が表示されたままだった。</w:t>
      </w:r>
    </w:p>
    <w:p>
      <w:pPr>
        <w:pStyle w:val="BodyText"/>
      </w:pPr>
      <w:r>
        <w:rPr>
          <w:rFonts w:hint="eastAsia"/>
        </w:rPr>
        <w:t xml:space="preserve">ハーバービューは到着日の最大1年前から予約を受け付けていた。レジャー客は返金可能な料金が提示されると早期に予約することが多く、一方で法人旅行者は到着の2週間以内に予約することが多かった。一部のカンファレンス参加者は複数のホテルに予約を入れ、イベント直前に1つを除いてすべてキャンセルしていた。業界のチャネルデータによれば、キャンセルはソースによって大きく異なりうることが示唆されている。最近のある業界分析では、2025年のキャンセル率はオンライン旅行代理店経由の予約で約21.8%、直接予約で10.6%と報告されている。ハーバービュー自身の実績は、イベントと料金制限によって大きく変動していた。</w:t>
      </w:r>
    </w:p>
    <w:bookmarkStart w:id="10" w:name="表-1.-ハーバービュー営業実績"/>
    <w:p>
      <w:pPr>
        <w:pStyle w:val="Heading2"/>
      </w:pPr>
      <w:r>
        <w:rPr>
          <w:rFonts w:hint="eastAsia"/>
        </w:rPr>
        <w:t xml:space="preserve">表</w:t>
      </w:r>
      <w:r>
        <w:t xml:space="preserve"> 1. </w:t>
      </w:r>
      <w:r>
        <w:rPr>
          <w:rFonts w:hint="eastAsia"/>
        </w:rPr>
        <w:t xml:space="preserve">ハーバービュー営業実績</w:t>
      </w:r>
    </w:p>
    <w:tbl>
      <w:tblPr>
        <w:tblStyle w:val="Table"/>
        <w:tblW w:type="pct" w:w="4932"/>
        <w:tblLayout w:type="fixed"/>
        <w:tblLook w:firstRow="1" w:lastRow="0" w:firstColumn="0" w:lastColumn="0" w:noHBand="0" w:noVBand="0" w:val="0020"/>
      </w:tblPr>
      <w:tblGrid>
        <w:gridCol w:w="2033"/>
        <w:gridCol w:w="856"/>
        <w:gridCol w:w="1337"/>
        <w:gridCol w:w="1016"/>
        <w:gridCol w:w="1444"/>
        <w:gridCol w:w="1123"/>
      </w:tblGrid>
      <w:tr>
        <w:trPr>
          <w:tblHeader w:val="on"/>
        </w:trPr>
        <w:tc>
          <w:tcPr/>
          <w:p>
            <w:pPr>
              <w:pStyle w:val="Compact"/>
            </w:pPr>
            <w:r>
              <w:rPr>
                <w:rFonts w:hint="eastAsia"/>
                <w:b/>
                <w:bCs/>
              </w:rPr>
              <w:t xml:space="preserve">会計年度</w:t>
            </w:r>
            <w:r>
              <w:t xml:space="preserve"> </w:t>
            </w:r>
            <w:r>
              <w:rPr>
                <w:rFonts w:hint="eastAsia"/>
              </w:rPr>
              <w:t xml:space="preserve">**稼</w:t>
            </w:r>
          </w:p>
        </w:tc>
        <w:tc>
          <w:tcPr/>
          <w:p>
            <w:pPr>
              <w:pStyle w:val="Compact"/>
            </w:pPr>
            <w:r>
              <w:rPr>
                <w:rFonts w:hint="eastAsia"/>
              </w:rPr>
              <w:t xml:space="preserve">働率**</w:t>
            </w:r>
            <w:r>
              <w:t xml:space="preserve"> </w:t>
            </w:r>
            <w:r>
              <w:rPr>
                <w:rFonts w:hint="eastAsia"/>
              </w:rPr>
              <w:t xml:space="preserve">**平均客</w:t>
            </w:r>
          </w:p>
        </w:tc>
        <w:tc>
          <w:tcPr/>
          <w:p>
            <w:pPr>
              <w:pStyle w:val="Compact"/>
              <w:jc w:val="left"/>
            </w:pPr>
            <w:r>
              <w:rPr>
                <w:rFonts w:hint="eastAsia"/>
              </w:rPr>
              <w:t xml:space="preserve">室単価**</w:t>
            </w:r>
            <w:r>
              <w:t xml:space="preserve"> </w:t>
            </w:r>
            <w:r>
              <w:rPr>
                <w:rFonts w:hint="eastAsia"/>
                <w:b/>
                <w:bCs/>
              </w:rPr>
              <w:t xml:space="preserve">客室収益</w:t>
            </w:r>
          </w:p>
        </w:tc>
        <w:tc>
          <w:tcPr/>
          <w:p>
            <w:pPr>
              <w:pStyle w:val="Compact"/>
              <w:jc w:val="center"/>
            </w:pPr>
            <w:r>
              <w:rPr>
                <w:rFonts w:hint="eastAsia"/>
                <w:b/>
                <w:bCs/>
              </w:rPr>
              <w:t xml:space="preserve">直接予約比率</w:t>
            </w:r>
          </w:p>
        </w:tc>
        <w:tc>
          <w:tcPr/>
          <w:p>
            <w:pPr>
              <w:pStyle w:val="Compact"/>
              <w:jc w:val="center"/>
            </w:pPr>
            <w:r>
              <w:rPr>
                <w:rFonts w:hint="eastAsia"/>
                <w:b/>
                <w:bCs/>
              </w:rPr>
              <w:t xml:space="preserve">謝絶客室数</w:t>
            </w:r>
          </w:p>
        </w:tc>
        <w:tc>
          <w:tcPr/>
          <w:p>
            <w:pPr>
              <w:pStyle w:val="Compact"/>
            </w:pPr>
          </w:p>
        </w:tc>
      </w:tr>
      <w:tr>
        <w:tc>
          <w:tcPr/>
          <w:p>
            <w:pPr>
              <w:pStyle w:val="Compact"/>
            </w:pPr>
            <w:r>
              <w:t xml:space="preserve">2023</w:t>
            </w:r>
          </w:p>
        </w:tc>
        <w:tc>
          <w:tcPr/>
          <w:p>
            <w:pPr>
              <w:pStyle w:val="Compact"/>
            </w:pPr>
            <w:r>
              <w:t xml:space="preserve">68.4%</w:t>
            </w:r>
          </w:p>
        </w:tc>
        <w:tc>
          <w:tcPr/>
          <w:p>
            <w:pPr>
              <w:pStyle w:val="Compact"/>
              <w:jc w:val="left"/>
            </w:pPr>
            <w:r>
              <w:t xml:space="preserve">$181</w:t>
            </w:r>
          </w:p>
        </w:tc>
        <w:tc>
          <w:tcPr/>
          <w:p>
            <w:pPr>
              <w:pStyle w:val="Compact"/>
              <w:jc w:val="center"/>
            </w:pPr>
            <w:r>
              <w:t xml:space="preserve">$11.92 million</w:t>
            </w:r>
          </w:p>
        </w:tc>
        <w:tc>
          <w:tcPr/>
          <w:p>
            <w:pPr>
              <w:pStyle w:val="Compact"/>
              <w:jc w:val="center"/>
            </w:pPr>
            <w:r>
              <w:t xml:space="preserve">43%</w:t>
            </w:r>
          </w:p>
        </w:tc>
        <w:tc>
          <w:tcPr/>
          <w:p>
            <w:pPr>
              <w:pStyle w:val="Compact"/>
            </w:pPr>
            <w:r>
              <w:t xml:space="preserve">3,740</w:t>
            </w:r>
          </w:p>
        </w:tc>
      </w:tr>
      <w:tr>
        <w:tc>
          <w:tcPr/>
          <w:p>
            <w:pPr>
              <w:pStyle w:val="Compact"/>
            </w:pPr>
            <w:r>
              <w:t xml:space="preserve">2024</w:t>
            </w:r>
          </w:p>
        </w:tc>
        <w:tc>
          <w:tcPr/>
          <w:p>
            <w:pPr>
              <w:pStyle w:val="Compact"/>
            </w:pPr>
            <w:r>
              <w:t xml:space="preserve">70.1%</w:t>
            </w:r>
          </w:p>
        </w:tc>
        <w:tc>
          <w:tcPr/>
          <w:p>
            <w:pPr>
              <w:pStyle w:val="Compact"/>
              <w:jc w:val="left"/>
            </w:pPr>
            <w:r>
              <w:t xml:space="preserve">$188</w:t>
            </w:r>
          </w:p>
        </w:tc>
        <w:tc>
          <w:tcPr/>
          <w:p>
            <w:pPr>
              <w:pStyle w:val="Compact"/>
              <w:jc w:val="center"/>
            </w:pPr>
            <w:r>
              <w:t xml:space="preserve">$12.72 million</w:t>
            </w:r>
          </w:p>
        </w:tc>
        <w:tc>
          <w:tcPr/>
          <w:p>
            <w:pPr>
              <w:pStyle w:val="Compact"/>
              <w:jc w:val="center"/>
            </w:pPr>
            <w:r>
              <w:t xml:space="preserve">46%</w:t>
            </w:r>
          </w:p>
        </w:tc>
        <w:tc>
          <w:tcPr/>
          <w:p>
            <w:pPr>
              <w:pStyle w:val="Compact"/>
            </w:pPr>
            <w:r>
              <w:t xml:space="preserve">4,180</w:t>
            </w:r>
          </w:p>
        </w:tc>
      </w:tr>
      <w:tr>
        <w:tc>
          <w:tcPr/>
          <w:p>
            <w:pPr>
              <w:pStyle w:val="Compact"/>
            </w:pPr>
            <w:r>
              <w:t xml:space="preserve">2025</w:t>
            </w:r>
          </w:p>
        </w:tc>
        <w:tc>
          <w:tcPr/>
          <w:p>
            <w:pPr>
              <w:pStyle w:val="Compact"/>
            </w:pPr>
            <w:r>
              <w:t xml:space="preserve">67.6%</w:t>
            </w:r>
          </w:p>
        </w:tc>
        <w:tc>
          <w:tcPr/>
          <w:p>
            <w:pPr>
              <w:pStyle w:val="Compact"/>
              <w:jc w:val="left"/>
            </w:pPr>
            <w:r>
              <w:t xml:space="preserve">$193</w:t>
            </w:r>
          </w:p>
        </w:tc>
        <w:tc>
          <w:tcPr/>
          <w:p>
            <w:pPr>
              <w:pStyle w:val="Compact"/>
              <w:jc w:val="center"/>
            </w:pPr>
            <w:r>
              <w:t xml:space="preserve">$12.58 million</w:t>
            </w:r>
          </w:p>
        </w:tc>
        <w:tc>
          <w:tcPr/>
          <w:p>
            <w:pPr>
              <w:pStyle w:val="Compact"/>
              <w:jc w:val="center"/>
            </w:pPr>
            <w:r>
              <w:t xml:space="preserve">49%</w:t>
            </w:r>
          </w:p>
        </w:tc>
        <w:tc>
          <w:tcPr/>
          <w:p>
            <w:pPr>
              <w:pStyle w:val="Compact"/>
            </w:pPr>
            <w:r>
              <w:t xml:space="preserve">3,960</w:t>
            </w:r>
          </w:p>
        </w:tc>
      </w:tr>
      <w:tr>
        <w:tc>
          <w:tcPr/>
          <w:p>
            <w:pPr>
              <w:pStyle w:val="Compact"/>
            </w:pPr>
            <w:r>
              <w:rPr>
                <w:rFonts w:hint="eastAsia"/>
              </w:rPr>
              <w:t xml:space="preserve">2026年予測(今回の見直し前)</w:t>
            </w:r>
            <w:r>
              <w:t xml:space="preserve"> 69.0%</w:t>
            </w:r>
          </w:p>
        </w:tc>
        <w:tc>
          <w:tcPr/>
          <w:p>
            <w:pPr>
              <w:pStyle w:val="Compact"/>
            </w:pPr>
            <w:r>
              <w:t xml:space="preserve">$198</w:t>
            </w:r>
          </w:p>
        </w:tc>
        <w:tc>
          <w:tcPr/>
          <w:p>
            <w:pPr>
              <w:pStyle w:val="Compact"/>
              <w:jc w:val="left"/>
            </w:pPr>
            <w:r>
              <w:t xml:space="preserve">$13.18 m</w:t>
            </w:r>
          </w:p>
        </w:tc>
        <w:tc>
          <w:tcPr/>
          <w:p>
            <w:pPr>
              <w:pStyle w:val="Compact"/>
              <w:jc w:val="center"/>
            </w:pPr>
            <w:r>
              <w:t xml:space="preserve">illion 52%</w:t>
            </w:r>
          </w:p>
        </w:tc>
        <w:tc>
          <w:tcPr/>
          <w:p>
            <w:pPr>
              <w:pStyle w:val="Compact"/>
              <w:jc w:val="center"/>
            </w:pPr>
            <w:r>
              <w:t xml:space="preserve">4,300</w:t>
            </w:r>
          </w:p>
        </w:tc>
        <w:tc>
          <w:tcPr/>
          <w:p>
            <w:pPr>
              <w:pStyle w:val="Compact"/>
            </w:pPr>
          </w:p>
        </w:tc>
      </w:tr>
    </w:tbl>
    <w:bookmarkEnd w:id="10"/>
    <w:bookmarkEnd w:id="11"/>
    <w:bookmarkStart w:id="13" w:name="ブッキングカーブ予約曲線"/>
    <w:p>
      <w:pPr>
        <w:pStyle w:val="Heading1"/>
      </w:pPr>
      <w:r>
        <w:rPr>
          <w:rFonts w:hint="eastAsia"/>
        </w:rPr>
        <w:t xml:space="preserve">ブッキングカーブ(予約曲線)</w:t>
      </w:r>
    </w:p>
    <w:p>
      <w:pPr>
        <w:pStyle w:val="FirstParagraph"/>
      </w:pPr>
      <w:r>
        <w:rPr>
          <w:rFonts w:hint="eastAsia"/>
        </w:rPr>
        <w:t xml:space="preserve">レベニュー・ディレクターのマーカス・リーは、宿泊日ごとに需要を整理していた。彼は毎朝、将来の各夜に何室が販売されたか、その予約に付随する料金、キャンセル状況、競合の価格、広告成果、そして予約を開始しながら完了しなかったウェブサイト訪問者の数を確認していた。カンファレンス期間については、予約は前年に観測されたパターンを上回っていた。通常の平日については、それを下回っていた。</w:t>
      </w:r>
    </w:p>
    <w:p>
      <w:pPr>
        <w:pStyle w:val="BodyText"/>
      </w:pPr>
      <w:r>
        <w:rPr>
          <w:rFonts w:hint="eastAsia"/>
        </w:rPr>
        <w:t xml:space="preserve">リーのシステムは、カンファレンスの火曜と水曜の夜が最終的に完売すると推定していた。システムは、後になって到着し、より高い価格を支払う可能性のある顧客のために客室を確保することを推奨した。システムは、多くのカンファレンス旅行者が遅く到着したり早く出発したりする可能性がある月曜と木曜については、確信度が低かった。この4夜すべてで料金を引き上げる決定は、ピークの夜の収益を増加させる一方で、閑散夜を埋め残す可能性があった。</w:t>
      </w:r>
    </w:p>
    <w:bookmarkStart w:id="12" w:name="表-2.-到着47日前時点の予約状況"/>
    <w:p>
      <w:pPr>
        <w:pStyle w:val="Heading2"/>
      </w:pPr>
      <w:r>
        <w:rPr>
          <w:rFonts w:hint="eastAsia"/>
        </w:rPr>
        <w:t xml:space="preserve">表</w:t>
      </w:r>
      <w:r>
        <w:t xml:space="preserve"> 2. </w:t>
      </w:r>
      <w:r>
        <w:rPr>
          <w:rFonts w:hint="eastAsia"/>
        </w:rPr>
        <w:t xml:space="preserve">到着47日前時点の予約状況</w:t>
      </w:r>
    </w:p>
    <w:tbl>
      <w:tblPr>
        <w:tblStyle w:val="Table"/>
        <w:tblW w:type="pct" w:w="4945"/>
        <w:tblLayout w:type="fixed"/>
        <w:tblLook w:firstRow="1" w:lastRow="0" w:firstColumn="0" w:lastColumn="0" w:noHBand="0" w:noVBand="0" w:val="0020"/>
      </w:tblPr>
      <w:tblGrid>
        <w:gridCol w:w="1750"/>
        <w:gridCol w:w="918"/>
        <w:gridCol w:w="1137"/>
        <w:gridCol w:w="1750"/>
        <w:gridCol w:w="1268"/>
        <w:gridCol w:w="1006"/>
      </w:tblGrid>
      <w:tr>
        <w:trPr>
          <w:tblHeader w:val="on"/>
        </w:trPr>
        <w:tc>
          <w:tcPr/>
          <w:p>
            <w:pPr>
              <w:pStyle w:val="Compact"/>
              <w:jc w:val="left"/>
            </w:pPr>
            <w:r>
              <w:rPr>
                <w:rFonts w:hint="eastAsia"/>
                <w:b/>
                <w:bCs/>
              </w:rPr>
              <w:t xml:space="preserve">宿泊日</w:t>
            </w:r>
            <w:r>
              <w:rPr>
                <w:b/>
                <w:bCs/>
              </w:rPr>
              <w:t xml:space="preserve"> / イベント</w:t>
            </w:r>
          </w:p>
        </w:tc>
        <w:tc>
          <w:tcPr/>
          <w:p>
            <w:pPr>
              <w:pStyle w:val="Compact"/>
              <w:jc w:val="left"/>
            </w:pPr>
            <w:r>
              <w:rPr>
                <w:rFonts w:hint="eastAsia"/>
                <w:b/>
                <w:bCs/>
              </w:rPr>
              <w:t xml:space="preserve">予約済み客室数</w:t>
            </w:r>
          </w:p>
        </w:tc>
        <w:tc>
          <w:tcPr/>
          <w:p>
            <w:pPr>
              <w:pStyle w:val="Compact"/>
            </w:pPr>
            <w:r>
              <w:rPr>
                <w:rFonts w:hint="eastAsia"/>
                <w:b/>
                <w:bCs/>
              </w:rPr>
              <w:t xml:space="preserve">現在の公示料金</w:t>
            </w:r>
            <w:r>
              <w:t xml:space="preserve"> </w:t>
            </w:r>
            <w:r>
              <w:rPr>
                <w:rFonts w:hint="eastAsia"/>
              </w:rPr>
              <w:t xml:space="preserve">**前年</w:t>
            </w:r>
          </w:p>
        </w:tc>
        <w:tc>
          <w:tcPr/>
          <w:p>
            <w:pPr>
              <w:pStyle w:val="Compact"/>
            </w:pPr>
            <w:r>
              <w:rPr>
                <w:rFonts w:hint="eastAsia"/>
              </w:rPr>
              <w:t xml:space="preserve">同一リードタイム時の販売済み客室数**</w:t>
            </w:r>
            <w:r>
              <w:t xml:space="preserve"> *</w:t>
            </w:r>
          </w:p>
        </w:tc>
        <w:tc>
          <w:tcPr/>
          <w:p>
            <w:pPr>
              <w:pStyle w:val="Compact"/>
            </w:pPr>
            <w:r>
              <w:rPr>
                <w:rFonts w:hint="eastAsia"/>
              </w:rPr>
              <w:t xml:space="preserve">*予想キャンセル数</w:t>
            </w:r>
            <w:r>
              <w:rPr>
                <w:b/>
                <w:bCs/>
              </w:rPr>
              <w:t xml:space="preserve"> </w:t>
            </w:r>
            <w:r>
              <w:rPr>
                <w:rFonts w:hint="eastAsia"/>
              </w:rPr>
              <w:t xml:space="preserve">競合価</w:t>
            </w:r>
          </w:p>
        </w:tc>
        <w:tc>
          <w:tcPr/>
          <w:p>
            <w:pPr>
              <w:pStyle w:val="Compact"/>
              <w:jc w:val="left"/>
            </w:pPr>
            <w:r>
              <w:rPr>
                <w:rFonts w:hint="eastAsia"/>
              </w:rPr>
              <w:t xml:space="preserve">格帯**</w:t>
            </w:r>
          </w:p>
        </w:tc>
      </w:tr>
      <w:tr>
        <w:tc>
          <w:tcPr/>
          <w:p>
            <w:pPr>
              <w:pStyle w:val="Compact"/>
              <w:jc w:val="left"/>
            </w:pPr>
            <w:r>
              <w:rPr>
                <w:rFonts w:hint="eastAsia"/>
              </w:rPr>
              <w:t xml:space="preserve">金、10月17日</w:t>
            </w:r>
            <w:r>
              <w:t xml:space="preserve"> – ホームカミング</w:t>
            </w:r>
          </w:p>
        </w:tc>
        <w:tc>
          <w:tcPr/>
          <w:p>
            <w:pPr>
              <w:pStyle w:val="Compact"/>
              <w:jc w:val="left"/>
            </w:pPr>
            <w:r>
              <w:t xml:space="preserve">176</w:t>
            </w:r>
          </w:p>
        </w:tc>
        <w:tc>
          <w:tcPr/>
          <w:p>
            <w:pPr>
              <w:pStyle w:val="Compact"/>
            </w:pPr>
            <w:r>
              <w:t xml:space="preserve">$239</w:t>
            </w:r>
          </w:p>
        </w:tc>
        <w:tc>
          <w:tcPr/>
          <w:p>
            <w:pPr>
              <w:pStyle w:val="Compact"/>
            </w:pPr>
            <w:r>
              <w:t xml:space="preserve">163</w:t>
            </w:r>
          </w:p>
        </w:tc>
        <w:tc>
          <w:tcPr/>
          <w:p>
            <w:pPr>
              <w:pStyle w:val="Compact"/>
            </w:pPr>
            <w:r>
              <w:t xml:space="preserve">14–25</w:t>
            </w:r>
          </w:p>
        </w:tc>
        <w:tc>
          <w:tcPr/>
          <w:p>
            <w:pPr>
              <w:pStyle w:val="Compact"/>
              <w:jc w:val="left"/>
            </w:pPr>
            <w:r>
              <w:t xml:space="preserve">$219–$279</w:t>
            </w:r>
          </w:p>
        </w:tc>
      </w:tr>
      <w:tr>
        <w:tc>
          <w:tcPr/>
          <w:p>
            <w:pPr>
              <w:pStyle w:val="Compact"/>
              <w:jc w:val="left"/>
            </w:pPr>
            <w:r>
              <w:rPr>
                <w:rFonts w:hint="eastAsia"/>
              </w:rPr>
              <w:t xml:space="preserve">日、10月19日</w:t>
            </w:r>
            <w:r>
              <w:t xml:space="preserve"> – </w:t>
            </w:r>
            <w:r>
              <w:rPr>
                <w:rFonts w:hint="eastAsia"/>
              </w:rPr>
              <w:t xml:space="preserve">閑散夜</w:t>
            </w:r>
            <w:r>
              <w:t xml:space="preserve"> 91</w:t>
            </w:r>
          </w:p>
        </w:tc>
        <w:tc>
          <w:tcPr/>
          <w:p>
            <w:pPr>
              <w:pStyle w:val="Compact"/>
              <w:jc w:val="left"/>
            </w:pPr>
            <w:r>
              <w:t xml:space="preserve">$169</w:t>
            </w:r>
          </w:p>
        </w:tc>
        <w:tc>
          <w:tcPr/>
          <w:p>
            <w:pPr>
              <w:pStyle w:val="Compact"/>
            </w:pPr>
            <w:r>
              <w:t xml:space="preserve">108</w:t>
            </w:r>
          </w:p>
        </w:tc>
        <w:tc>
          <w:tcPr/>
          <w:p>
            <w:pPr>
              <w:pStyle w:val="Compact"/>
            </w:pPr>
            <w:r>
              <w:t xml:space="preserve">7–12</w:t>
            </w:r>
          </w:p>
        </w:tc>
        <w:tc>
          <w:tcPr/>
          <w:p>
            <w:pPr>
              <w:pStyle w:val="Compact"/>
            </w:pPr>
            <w:r>
              <w:t xml:space="preserve">$149</w:t>
            </w:r>
          </w:p>
        </w:tc>
        <w:tc>
          <w:tcPr/>
          <w:p>
            <w:pPr>
              <w:pStyle w:val="Compact"/>
              <w:jc w:val="left"/>
            </w:pPr>
            <w:r>
              <w:t xml:space="preserve">–$189</w:t>
            </w:r>
          </w:p>
        </w:tc>
      </w:tr>
      <w:tr>
        <w:tc>
          <w:tcPr/>
          <w:p>
            <w:pPr>
              <w:pStyle w:val="Compact"/>
              <w:jc w:val="left"/>
            </w:pPr>
            <w:r>
              <w:rPr>
                <w:rFonts w:hint="eastAsia"/>
              </w:rPr>
              <w:t xml:space="preserve">月、10月20日</w:t>
            </w:r>
            <w:r>
              <w:t xml:space="preserve"> – </w:t>
            </w:r>
            <w:r>
              <w:rPr>
                <w:rFonts w:hint="eastAsia"/>
              </w:rPr>
              <w:t xml:space="preserve">カンファレンス到着日</w:t>
            </w:r>
          </w:p>
        </w:tc>
        <w:tc>
          <w:tcPr/>
          <w:p>
            <w:pPr>
              <w:pStyle w:val="Compact"/>
              <w:jc w:val="left"/>
            </w:pPr>
            <w:r>
              <w:t xml:space="preserve">154</w:t>
            </w:r>
          </w:p>
        </w:tc>
        <w:tc>
          <w:tcPr/>
          <w:p>
            <w:pPr>
              <w:pStyle w:val="Compact"/>
            </w:pPr>
            <w:r>
              <w:t xml:space="preserve">$229</w:t>
            </w:r>
          </w:p>
        </w:tc>
        <w:tc>
          <w:tcPr/>
          <w:p>
            <w:pPr>
              <w:pStyle w:val="Compact"/>
            </w:pPr>
            <w:r>
              <w:t xml:space="preserve">127</w:t>
            </w:r>
          </w:p>
        </w:tc>
        <w:tc>
          <w:tcPr/>
          <w:p>
            <w:pPr>
              <w:pStyle w:val="Compact"/>
            </w:pPr>
            <w:r>
              <w:t xml:space="preserve">18–31</w:t>
            </w:r>
          </w:p>
        </w:tc>
        <w:tc>
          <w:tcPr/>
          <w:p>
            <w:pPr>
              <w:pStyle w:val="Compact"/>
              <w:jc w:val="left"/>
            </w:pPr>
            <w:r>
              <w:t xml:space="preserve">$209–$259</w:t>
            </w:r>
          </w:p>
        </w:tc>
      </w:tr>
      <w:tr>
        <w:tc>
          <w:tcPr/>
          <w:p>
            <w:pPr>
              <w:pStyle w:val="Compact"/>
              <w:jc w:val="left"/>
            </w:pPr>
            <w:r>
              <w:rPr>
                <w:rFonts w:hint="eastAsia"/>
              </w:rPr>
              <w:t xml:space="preserve">火、10月21日</w:t>
            </w:r>
            <w:r>
              <w:t xml:space="preserve"> – カンファレンス</w:t>
            </w:r>
          </w:p>
        </w:tc>
        <w:tc>
          <w:tcPr/>
          <w:p>
            <w:pPr>
              <w:pStyle w:val="Compact"/>
              <w:jc w:val="left"/>
            </w:pPr>
            <w:r>
              <w:t xml:space="preserve">188</w:t>
            </w:r>
          </w:p>
        </w:tc>
        <w:tc>
          <w:tcPr/>
          <w:p>
            <w:pPr>
              <w:pStyle w:val="Compact"/>
            </w:pPr>
            <w:r>
              <w:t xml:space="preserve">$279</w:t>
            </w:r>
          </w:p>
        </w:tc>
        <w:tc>
          <w:tcPr/>
          <w:p>
            <w:pPr>
              <w:pStyle w:val="Compact"/>
            </w:pPr>
            <w:r>
              <w:t xml:space="preserve">146</w:t>
            </w:r>
          </w:p>
        </w:tc>
        <w:tc>
          <w:tcPr/>
          <w:p>
            <w:pPr>
              <w:pStyle w:val="Compact"/>
            </w:pPr>
            <w:r>
              <w:t xml:space="preserve">24–43</w:t>
            </w:r>
          </w:p>
        </w:tc>
        <w:tc>
          <w:tcPr/>
          <w:p>
            <w:pPr>
              <w:pStyle w:val="Compact"/>
              <w:jc w:val="left"/>
            </w:pPr>
            <w:r>
              <w:t xml:space="preserve">$259–$329</w:t>
            </w:r>
          </w:p>
        </w:tc>
      </w:tr>
      <w:tr>
        <w:tc>
          <w:tcPr/>
          <w:p>
            <w:pPr>
              <w:pStyle w:val="Compact"/>
              <w:jc w:val="left"/>
            </w:pPr>
            <w:r>
              <w:rPr>
                <w:rFonts w:hint="eastAsia"/>
              </w:rPr>
              <w:t xml:space="preserve">水、10月22日</w:t>
            </w:r>
            <w:r>
              <w:t xml:space="preserve"> – カンファレンス</w:t>
            </w:r>
          </w:p>
        </w:tc>
        <w:tc>
          <w:tcPr/>
          <w:p>
            <w:pPr>
              <w:pStyle w:val="Compact"/>
              <w:jc w:val="left"/>
            </w:pPr>
            <w:r>
              <w:t xml:space="preserve">192</w:t>
            </w:r>
          </w:p>
        </w:tc>
        <w:tc>
          <w:tcPr/>
          <w:p>
            <w:pPr>
              <w:pStyle w:val="Compact"/>
            </w:pPr>
            <w:r>
              <w:t xml:space="preserve">$289</w:t>
            </w:r>
          </w:p>
        </w:tc>
        <w:tc>
          <w:tcPr/>
          <w:p>
            <w:pPr>
              <w:pStyle w:val="Compact"/>
            </w:pPr>
            <w:r>
              <w:t xml:space="preserve">151</w:t>
            </w:r>
          </w:p>
        </w:tc>
        <w:tc>
          <w:tcPr/>
          <w:p>
            <w:pPr>
              <w:pStyle w:val="Compact"/>
            </w:pPr>
            <w:r>
              <w:t xml:space="preserve">25–45</w:t>
            </w:r>
          </w:p>
        </w:tc>
        <w:tc>
          <w:tcPr/>
          <w:p>
            <w:pPr>
              <w:pStyle w:val="Compact"/>
              <w:jc w:val="left"/>
            </w:pPr>
            <w:r>
              <w:t xml:space="preserve">$269–$339</w:t>
            </w:r>
          </w:p>
        </w:tc>
      </w:tr>
      <w:tr>
        <w:tc>
          <w:tcPr/>
          <w:p>
            <w:pPr>
              <w:pStyle w:val="Compact"/>
              <w:jc w:val="left"/>
            </w:pPr>
            <w:r>
              <w:rPr>
                <w:rFonts w:hint="eastAsia"/>
              </w:rPr>
              <w:t xml:space="preserve">木、10月23日</w:t>
            </w:r>
            <w:r>
              <w:t xml:space="preserve"> – </w:t>
            </w:r>
            <w:r>
              <w:rPr>
                <w:rFonts w:hint="eastAsia"/>
              </w:rPr>
              <w:t xml:space="preserve">カンファレンス出発日</w:t>
            </w:r>
            <w:r>
              <w:t xml:space="preserve"> 1</w:t>
            </w:r>
          </w:p>
        </w:tc>
        <w:tc>
          <w:tcPr/>
          <w:p>
            <w:pPr>
              <w:pStyle w:val="Compact"/>
              <w:jc w:val="left"/>
            </w:pPr>
            <w:r>
              <w:t xml:space="preserve">39</w:t>
            </w:r>
            <w:r>
              <w:br/>
            </w:r>
          </w:p>
        </w:tc>
        <w:tc>
          <w:tcPr/>
          <w:p>
            <w:pPr>
              <w:pStyle w:val="Compact"/>
            </w:pPr>
            <w:r>
              <w:t xml:space="preserve">$219 1</w:t>
            </w:r>
          </w:p>
        </w:tc>
        <w:tc>
          <w:tcPr/>
          <w:p>
            <w:pPr>
              <w:pStyle w:val="Compact"/>
            </w:pPr>
            <w:r>
              <w:t xml:space="preserve">18 1</w:t>
            </w:r>
          </w:p>
        </w:tc>
        <w:tc>
          <w:tcPr/>
          <w:p>
            <w:pPr>
              <w:pStyle w:val="Compact"/>
            </w:pPr>
            <w:r>
              <w:t xml:space="preserve">6–28</w:t>
            </w:r>
            <w:r>
              <w:br/>
            </w:r>
          </w:p>
        </w:tc>
        <w:tc>
          <w:tcPr/>
          <w:p>
            <w:pPr>
              <w:pStyle w:val="Compact"/>
              <w:jc w:val="left"/>
            </w:pPr>
            <w:r>
              <w:t xml:space="preserve">$199–$249</w:t>
            </w:r>
          </w:p>
        </w:tc>
      </w:tr>
      <w:tr>
        <w:tc>
          <w:tcPr/>
          <w:p>
            <w:pPr>
              <w:pStyle w:val="Compact"/>
              <w:jc w:val="left"/>
            </w:pPr>
            <w:r>
              <w:rPr>
                <w:rFonts w:hint="eastAsia"/>
              </w:rPr>
              <w:t xml:space="preserve">日、10月26日</w:t>
            </w:r>
            <w:r>
              <w:t xml:space="preserve"> – </w:t>
            </w:r>
            <w:r>
              <w:rPr>
                <w:rFonts w:hint="eastAsia"/>
              </w:rPr>
              <w:t xml:space="preserve">閑散夜</w:t>
            </w:r>
            <w:r>
              <w:t xml:space="preserve"> 72</w:t>
            </w:r>
          </w:p>
        </w:tc>
        <w:tc>
          <w:tcPr/>
          <w:p>
            <w:pPr>
              <w:pStyle w:val="Compact"/>
              <w:jc w:val="left"/>
            </w:pPr>
            <w:r>
              <w:t xml:space="preserve">$159</w:t>
            </w:r>
          </w:p>
        </w:tc>
        <w:tc>
          <w:tcPr/>
          <w:p>
            <w:pPr>
              <w:pStyle w:val="Compact"/>
            </w:pPr>
            <w:r>
              <w:t xml:space="preserve">99</w:t>
            </w:r>
          </w:p>
        </w:tc>
        <w:tc>
          <w:tcPr/>
          <w:p>
            <w:pPr>
              <w:pStyle w:val="Compact"/>
            </w:pPr>
            <w:r>
              <w:t xml:space="preserve">5–10</w:t>
            </w:r>
          </w:p>
        </w:tc>
        <w:tc>
          <w:tcPr/>
          <w:p>
            <w:pPr>
              <w:pStyle w:val="Compact"/>
            </w:pPr>
            <w:r>
              <w:t xml:space="preserve">$139</w:t>
            </w:r>
          </w:p>
        </w:tc>
        <w:tc>
          <w:tcPr/>
          <w:p>
            <w:pPr>
              <w:pStyle w:val="Compact"/>
              <w:jc w:val="left"/>
            </w:pPr>
            <w:r>
              <w:t xml:space="preserve">–$179</w:t>
            </w:r>
          </w:p>
        </w:tc>
      </w:tr>
    </w:tbl>
    <w:bookmarkEnd w:id="12"/>
    <w:bookmarkEnd w:id="13"/>
    <w:bookmarkStart w:id="14" w:name="料金制限およびサービス"/>
    <w:p>
      <w:pPr>
        <w:pStyle w:val="Heading1"/>
      </w:pPr>
      <w:r>
        <w:rPr>
          <w:rFonts w:hint="eastAsia"/>
        </w:rPr>
        <w:t xml:space="preserve">料金、制限、およびサービス</w:t>
      </w:r>
    </w:p>
    <w:p>
      <w:pPr>
        <w:pStyle w:val="FirstParagraph"/>
      </w:pPr>
      <w:r>
        <w:rPr>
          <w:rFonts w:hint="eastAsia"/>
        </w:rPr>
        <w:t xml:space="preserve">ハーバービューは単一の均質な製品を販売しているわけではなかった。顧客はフレキシブル(変更可能)な客室、より低い返金不可の料金、朝食付きパッケージ、駐車場付きパッケージ、カンファレンス・バンドル、スイート、クラブフロアの客室を選ぶことができた。一部の法人顧客は上限料金を交渉していた。ロイヤルティ会員は直接予約特典を受けていた。ホテルはまた、繁忙期には2泊以上の滞在を要求したり、低価格カテゴリーを閉鎖したり、特定チャネルを通じて配分される客室数を制限したりすることもできた。</w:t>
      </w:r>
    </w:p>
    <w:p>
      <w:pPr>
        <w:pStyle w:val="BodyText"/>
      </w:pPr>
      <w:r>
        <w:rPr>
          <w:rFonts w:hint="eastAsia"/>
        </w:rPr>
        <w:t xml:space="preserve">各サービスにはコストがあり、コンバージョン(予約成立)に影響を与えうるものであった。朝食はホテルにとって稼働客室あたり推定14ドルのコストであったが、多くのゲストからは25ドルから35ドルの価値があると評価されていた。駐車場は容量に余裕がある場合に魅力的な利益率を生み出したが、コンベンション時にはガレージがしばしば満車になった。柔軟なキャンセルポリシーは早期予約を促す一方で、見かけ上の需要が消失するリスクを高めた。返金不可の料金はキャンセルのリスクを低減させたが、時に顧客を競合他社へ押しやってしまった。</w:t>
      </w:r>
    </w:p>
    <w:p>
      <w:pPr>
        <w:pStyle w:val="BodyText"/>
      </w:pPr>
      <w:r>
        <w:rPr>
          <w:rFonts w:hint="eastAsia"/>
        </w:rPr>
        <w:t xml:space="preserve">営業部長のプリヤ・シャーは、ホテルの目的を最高の客室料金だけに還元すべきではないと主張した。団体客はケータリング収益をもたらし、会議室を埋め、将来の年にも再訪しうる。レジャー向けパッケージはレストランと駐車場での支出を生み出す。高料金で1泊のみの客は、より低い料金で3泊滞在する顧客よりも総利益への貢献が少ない場合がある。彼女はまた、ハーバービューが手が届かないと感じたことを覚えている顧客を遠ざけてしまうことも懸念していた。</w:t>
      </w:r>
    </w:p>
    <w:bookmarkEnd w:id="14"/>
    <w:bookmarkStart w:id="16" w:name="到着するかどうか分からない予約のための広告"/>
    <w:p>
      <w:pPr>
        <w:pStyle w:val="Heading1"/>
      </w:pPr>
      <w:r>
        <w:rPr>
          <w:rFonts w:hint="eastAsia"/>
        </w:rPr>
        <w:t xml:space="preserve">到着するかどうか分からない予約のための広告</w:t>
      </w:r>
    </w:p>
    <w:p>
      <w:pPr>
        <w:pStyle w:val="FirstParagraph"/>
      </w:pPr>
      <w:r>
        <w:rPr>
          <w:rFonts w:hint="eastAsia"/>
        </w:rPr>
        <w:t xml:space="preserve">ホテルはデジタルおよび伝統的マーケティングに年間およそ115万ドルを支出していた。ペイド検索(有料検索広告)は最大の柔軟なカテゴリーであった。見込みの旅行者が「ポートメーソン</w:t>
      </w:r>
      <w:r>
        <w:t xml:space="preserve"> カンファレンス </w:t>
      </w:r>
      <w:r>
        <w:rPr>
          <w:rFonts w:hint="eastAsia"/>
        </w:rPr>
        <w:t xml:space="preserve">ホテル」といったフレーズを検索すると、ハーバービューとその競合はスポンサー掲載枠を巡って入札した。入札額を上げると、ホテルのリンクが表示される確率は上がったが、クリックや予約が保証されるわけではなかった。ホテルは、価格を比較した末に他所で予約する多くの顧客からのクリックにも料金を支払っていた。</w:t>
      </w:r>
    </w:p>
    <w:p>
      <w:pPr>
        <w:pStyle w:val="BodyText"/>
      </w:pPr>
      <w:r>
        <w:rPr>
          <w:rFonts w:hint="eastAsia"/>
        </w:rPr>
        <w:t xml:space="preserve">リーは、カンファレンス期間の日程についてペイド検索の入札額を引き上げる一方、広範なソーシャルメディア支出を削減することを提案した。マーケティング部長のシモーヌ・カーターは反対した。検索広告はすでに客室を探している顧客を捕捉するものであり、ソーシャルメディアとメールは週末の需要を創出し、パッケージを販売できるというのが彼女の考えであった。カーターはまた、無料朝食と柔軟なキャンセルを強調した再設計の予約ページのテストも望んでいた。以前のウェブサイトテストではモバイル端末での予約完了数が増加したが、そのテストは休暇期間中に実施されたものであり、チームはその改善が持続するかどうか確信が持てずにいた。</w:t>
      </w:r>
    </w:p>
    <w:bookmarkStart w:id="15" w:name="表-3.-直近の顧客獲得実績"/>
    <w:p>
      <w:pPr>
        <w:pStyle w:val="Heading2"/>
      </w:pPr>
      <w:r>
        <w:rPr>
          <w:rFonts w:hint="eastAsia"/>
        </w:rPr>
        <w:t xml:space="preserve">表</w:t>
      </w:r>
      <w:r>
        <w:t xml:space="preserve"> 3. </w:t>
      </w:r>
      <w:r>
        <w:rPr>
          <w:rFonts w:hint="eastAsia"/>
        </w:rPr>
        <w:t xml:space="preserve">直近の顧客獲得実績</w:t>
      </w:r>
    </w:p>
    <w:tbl>
      <w:tblPr>
        <w:tblStyle w:val="Table"/>
        <w:tblW w:type="pct" w:w="4946"/>
        <w:tblLayout w:type="fixed"/>
        <w:tblLook w:firstRow="1" w:lastRow="0" w:firstColumn="0" w:lastColumn="0" w:noHBand="0" w:noVBand="0" w:val="0020"/>
      </w:tblPr>
      <w:tblGrid>
        <w:gridCol w:w="1119"/>
        <w:gridCol w:w="990"/>
        <w:gridCol w:w="1291"/>
        <w:gridCol w:w="1463"/>
        <w:gridCol w:w="1936"/>
        <w:gridCol w:w="1033"/>
      </w:tblGrid>
      <w:tr>
        <w:trPr>
          <w:tblHeader w:val="on"/>
        </w:trPr>
        <w:tc>
          <w:tcPr/>
          <w:p>
            <w:pPr>
              <w:pStyle w:val="Compact"/>
              <w:jc w:val="left"/>
            </w:pPr>
            <w:r>
              <w:rPr>
                <w:b/>
                <w:bCs/>
              </w:rPr>
              <w:t xml:space="preserve">チャネル</w:t>
            </w:r>
          </w:p>
        </w:tc>
        <w:tc>
          <w:tcPr/>
          <w:p>
            <w:pPr>
              <w:pStyle w:val="Compact"/>
              <w:jc w:val="right"/>
            </w:pPr>
            <w:r>
              <w:rPr>
                <w:rFonts w:hint="eastAsia"/>
                <w:b/>
                <w:bCs/>
              </w:rPr>
              <w:t xml:space="preserve">月間支出</w:t>
            </w:r>
            <w:r>
              <w:t xml:space="preserve"> </w:t>
            </w:r>
            <w:r>
              <w:rPr>
                <w:rFonts w:hint="eastAsia"/>
              </w:rPr>
              <w:t xml:space="preserve">**帰属す</w:t>
            </w:r>
          </w:p>
        </w:tc>
        <w:tc>
          <w:tcPr/>
          <w:p>
            <w:pPr>
              <w:pStyle w:val="Compact"/>
            </w:pPr>
            <w:r>
              <w:rPr>
                <w:rFonts w:hint="eastAsia"/>
              </w:rPr>
              <w:t xml:space="preserve">る予約数**</w:t>
            </w:r>
            <w:r>
              <w:t xml:space="preserve"> </w:t>
            </w:r>
            <w:r>
              <w:rPr>
                <w:rFonts w:hint="eastAsia"/>
              </w:rPr>
              <w:t xml:space="preserve">**平均予約客室収益</w:t>
            </w:r>
          </w:p>
        </w:tc>
        <w:tc>
          <w:tcPr/>
          <w:p>
            <w:pPr>
              <w:pStyle w:val="Compact"/>
            </w:pPr>
            <w:r>
              <w:t xml:space="preserve">** </w:t>
            </w:r>
            <w:r>
              <w:rPr>
                <w:rFonts w:hint="eastAsia"/>
              </w:rPr>
              <w:t xml:space="preserve">**予約1件あたり推定チャネルコ</w:t>
            </w:r>
          </w:p>
        </w:tc>
        <w:tc>
          <w:tcPr/>
          <w:p>
            <w:pPr>
              <w:pStyle w:val="Compact"/>
              <w:jc w:val="left"/>
            </w:pPr>
            <w:r>
              <w:t xml:space="preserve">スト**</w:t>
            </w:r>
            <w:r>
              <w:t xml:space="preserve"> </w:t>
            </w:r>
            <w:r>
              <w:rPr>
                <w:rFonts w:hint="eastAsia"/>
                <w:b/>
                <w:bCs/>
              </w:rPr>
              <w:t xml:space="preserve">キャンセル率</w:t>
            </w:r>
          </w:p>
        </w:tc>
        <w:tc>
          <w:tcPr/>
          <w:p>
            <w:pPr>
              <w:pStyle w:val="Compact"/>
            </w:pPr>
          </w:p>
        </w:tc>
      </w:tr>
      <w:tr>
        <w:tc>
          <w:tcPr/>
          <w:p>
            <w:pPr>
              <w:pStyle w:val="Compact"/>
              <w:jc w:val="left"/>
            </w:pPr>
            <w:r>
              <w:t xml:space="preserve">ホテルウェブサイト / </w:t>
            </w:r>
            <w:r>
              <w:rPr>
                <w:rFonts w:hint="eastAsia"/>
              </w:rPr>
              <w:t xml:space="preserve">無料</w:t>
            </w:r>
          </w:p>
        </w:tc>
        <w:tc>
          <w:tcPr/>
          <w:p>
            <w:pPr>
              <w:pStyle w:val="Compact"/>
              <w:jc w:val="right"/>
            </w:pPr>
            <w:r>
              <w:t xml:space="preserve">$38,000</w:t>
            </w:r>
          </w:p>
        </w:tc>
        <w:tc>
          <w:tcPr/>
          <w:p>
            <w:pPr>
              <w:pStyle w:val="Compact"/>
            </w:pPr>
            <w:r>
              <w:t xml:space="preserve">1,040</w:t>
            </w:r>
          </w:p>
        </w:tc>
        <w:tc>
          <w:tcPr/>
          <w:p>
            <w:pPr>
              <w:pStyle w:val="Compact"/>
            </w:pPr>
            <w:r>
              <w:t xml:space="preserve">$462</w:t>
            </w:r>
          </w:p>
        </w:tc>
        <w:tc>
          <w:tcPr/>
          <w:p>
            <w:pPr>
              <w:pStyle w:val="Compact"/>
              <w:jc w:val="left"/>
            </w:pPr>
            <w:r>
              <w:t xml:space="preserve">$37</w:t>
            </w:r>
          </w:p>
        </w:tc>
        <w:tc>
          <w:tcPr/>
          <w:p>
            <w:pPr>
              <w:pStyle w:val="Compact"/>
            </w:pPr>
            <w:r>
              <w:t xml:space="preserve">9%</w:t>
            </w:r>
          </w:p>
        </w:tc>
      </w:tr>
      <w:tr>
        <w:tc>
          <w:tcPr/>
          <w:p>
            <w:pPr>
              <w:pStyle w:val="Compact"/>
              <w:jc w:val="left"/>
            </w:pPr>
            <w:r>
              <w:rPr>
                <w:rFonts w:hint="eastAsia"/>
              </w:rPr>
              <w:t xml:space="preserve">ペイド検索</w:t>
            </w:r>
            <w:r>
              <w:br/>
            </w:r>
          </w:p>
        </w:tc>
        <w:tc>
          <w:tcPr/>
          <w:p>
            <w:pPr>
              <w:pStyle w:val="Compact"/>
              <w:jc w:val="right"/>
            </w:pPr>
            <w:r>
              <w:t xml:space="preserve">$112,000 1</w:t>
            </w:r>
          </w:p>
        </w:tc>
        <w:tc>
          <w:tcPr/>
          <w:p>
            <w:pPr>
              <w:pStyle w:val="Compact"/>
            </w:pPr>
            <w:r>
              <w:t xml:space="preserve">,380</w:t>
            </w:r>
            <w:r>
              <w:br/>
            </w:r>
          </w:p>
        </w:tc>
        <w:tc>
          <w:tcPr/>
          <w:p>
            <w:pPr>
              <w:pStyle w:val="Compact"/>
            </w:pPr>
            <w:r>
              <w:t xml:space="preserve">$438</w:t>
            </w:r>
            <w:r>
              <w:br/>
            </w:r>
          </w:p>
        </w:tc>
        <w:tc>
          <w:tcPr/>
          <w:p>
            <w:pPr>
              <w:pStyle w:val="Compact"/>
              <w:jc w:val="left"/>
            </w:pPr>
            <w:r>
              <w:t xml:space="preserve">$81 1</w:t>
            </w:r>
          </w:p>
        </w:tc>
        <w:tc>
          <w:tcPr/>
          <w:p>
            <w:pPr>
              <w:pStyle w:val="Compact"/>
            </w:pPr>
            <w:r>
              <w:t xml:space="preserve">3%</w:t>
            </w:r>
          </w:p>
        </w:tc>
      </w:tr>
      <w:tr>
        <w:tc>
          <w:tcPr/>
          <w:p>
            <w:pPr>
              <w:pStyle w:val="Compact"/>
              <w:jc w:val="left"/>
            </w:pPr>
            <w:r>
              <w:t xml:space="preserve">ソーシャルメディア</w:t>
            </w:r>
          </w:p>
        </w:tc>
        <w:tc>
          <w:tcPr/>
          <w:p>
            <w:pPr>
              <w:pStyle w:val="Compact"/>
              <w:jc w:val="right"/>
            </w:pPr>
            <w:r>
              <w:t xml:space="preserve">$54,000</w:t>
            </w:r>
          </w:p>
        </w:tc>
        <w:tc>
          <w:tcPr/>
          <w:p>
            <w:pPr>
              <w:pStyle w:val="Compact"/>
            </w:pPr>
            <w:r>
              <w:t xml:space="preserve">410</w:t>
            </w:r>
          </w:p>
        </w:tc>
        <w:tc>
          <w:tcPr/>
          <w:p>
            <w:pPr>
              <w:pStyle w:val="Compact"/>
            </w:pPr>
            <w:r>
              <w:t xml:space="preserve">$496</w:t>
            </w:r>
          </w:p>
        </w:tc>
        <w:tc>
          <w:tcPr/>
          <w:p>
            <w:pPr>
              <w:pStyle w:val="Compact"/>
              <w:jc w:val="left"/>
            </w:pPr>
            <w:r>
              <w:t xml:space="preserve">$132</w:t>
            </w:r>
          </w:p>
        </w:tc>
        <w:tc>
          <w:tcPr/>
          <w:p>
            <w:pPr>
              <w:pStyle w:val="Compact"/>
            </w:pPr>
            <w:r>
              <w:t xml:space="preserve">15%</w:t>
            </w:r>
          </w:p>
        </w:tc>
      </w:tr>
      <w:tr>
        <w:tc>
          <w:tcPr/>
          <w:p>
            <w:pPr>
              <w:pStyle w:val="Compact"/>
              <w:jc w:val="left"/>
            </w:pPr>
            <w:r>
              <w:rPr>
                <w:rFonts w:hint="eastAsia"/>
              </w:rPr>
              <w:t xml:space="preserve">オンライン旅行代理店</w:t>
            </w:r>
            <w:r>
              <w:t xml:space="preserve"> コ</w:t>
            </w:r>
          </w:p>
        </w:tc>
        <w:tc>
          <w:tcPr/>
          <w:p>
            <w:pPr>
              <w:pStyle w:val="Compact"/>
              <w:jc w:val="right"/>
            </w:pPr>
            <w:r>
              <w:t xml:space="preserve">ミッションベース</w:t>
            </w:r>
          </w:p>
        </w:tc>
        <w:tc>
          <w:tcPr/>
          <w:p>
            <w:pPr>
              <w:pStyle w:val="Compact"/>
            </w:pPr>
            <w:r>
              <w:t xml:space="preserve">Commission-based</w:t>
            </w:r>
          </w:p>
        </w:tc>
        <w:tc>
          <w:tcPr/>
          <w:p>
            <w:pPr>
              <w:pStyle w:val="Compact"/>
            </w:pPr>
            <w:r>
              <w:t xml:space="preserve">1,720</w:t>
            </w:r>
          </w:p>
        </w:tc>
        <w:tc>
          <w:tcPr/>
          <w:p>
            <w:pPr>
              <w:pStyle w:val="Compact"/>
              <w:jc w:val="left"/>
            </w:pPr>
            <w:r>
              <w:t xml:space="preserve">$331 $58</w:t>
            </w:r>
          </w:p>
        </w:tc>
        <w:tc>
          <w:tcPr/>
          <w:p>
            <w:pPr>
              <w:pStyle w:val="Compact"/>
            </w:pPr>
            <w:r>
              <w:rPr>
                <w:rFonts w:hint="eastAsia"/>
              </w:rPr>
              <w:t xml:space="preserve">コミッション相当</w:t>
            </w:r>
            <w:r>
              <w:t xml:space="preserve"> 22%</w:t>
            </w:r>
          </w:p>
        </w:tc>
      </w:tr>
      <w:tr>
        <w:tc>
          <w:tcPr/>
          <w:p>
            <w:pPr>
              <w:pStyle w:val="Compact"/>
              <w:jc w:val="left"/>
            </w:pPr>
            <w:r>
              <w:rPr>
                <w:rFonts w:hint="eastAsia"/>
              </w:rPr>
              <w:t xml:space="preserve">法人</w:t>
            </w:r>
            <w:r>
              <w:t xml:space="preserve"> / </w:t>
            </w:r>
            <w:r>
              <w:rPr>
                <w:rFonts w:hint="eastAsia"/>
              </w:rPr>
              <w:t xml:space="preserve">団体営業</w:t>
            </w:r>
            <w:r>
              <w:t xml:space="preserve"> $96,000</w:t>
            </w:r>
          </w:p>
        </w:tc>
        <w:tc>
          <w:tcPr/>
          <w:p>
            <w:pPr>
              <w:pStyle w:val="Compact"/>
              <w:jc w:val="right"/>
            </w:pPr>
            <w:r>
              <w:t xml:space="preserve">1,260</w:t>
            </w:r>
          </w:p>
        </w:tc>
        <w:tc>
          <w:tcPr/>
          <w:p>
            <w:pPr>
              <w:pStyle w:val="Compact"/>
            </w:pPr>
            <w:r>
              <w:t xml:space="preserve">$574</w:t>
            </w:r>
          </w:p>
        </w:tc>
        <w:tc>
          <w:tcPr/>
          <w:p>
            <w:pPr>
              <w:pStyle w:val="Compact"/>
            </w:pPr>
            <w:r>
              <w:t xml:space="preserve">$76</w:t>
            </w:r>
          </w:p>
        </w:tc>
        <w:tc>
          <w:tcPr/>
          <w:p>
            <w:pPr>
              <w:pStyle w:val="Compact"/>
              <w:jc w:val="left"/>
            </w:pPr>
            <w:r>
              <w:t xml:space="preserve">12%</w:t>
            </w:r>
          </w:p>
        </w:tc>
        <w:tc>
          <w:tcPr/>
          <w:p>
            <w:pPr>
              <w:pStyle w:val="Compact"/>
            </w:pPr>
          </w:p>
        </w:tc>
      </w:tr>
      <w:tr>
        <w:tc>
          <w:tcPr/>
          <w:p>
            <w:pPr>
              <w:pStyle w:val="Compact"/>
              <w:jc w:val="left"/>
            </w:pPr>
            <w:r>
              <w:t xml:space="preserve">メール / ロイヤルティ</w:t>
            </w:r>
          </w:p>
        </w:tc>
        <w:tc>
          <w:tcPr/>
          <w:p>
            <w:pPr>
              <w:pStyle w:val="Compact"/>
              <w:jc w:val="right"/>
            </w:pPr>
            <w:r>
              <w:t xml:space="preserve">$21,000</w:t>
            </w:r>
          </w:p>
        </w:tc>
        <w:tc>
          <w:tcPr/>
          <w:p>
            <w:pPr>
              <w:pStyle w:val="Compact"/>
            </w:pPr>
            <w:r>
              <w:t xml:space="preserve">590</w:t>
            </w:r>
          </w:p>
        </w:tc>
        <w:tc>
          <w:tcPr/>
          <w:p>
            <w:pPr>
              <w:pStyle w:val="Compact"/>
            </w:pPr>
            <w:r>
              <w:t xml:space="preserve">$521</w:t>
            </w:r>
          </w:p>
        </w:tc>
        <w:tc>
          <w:tcPr/>
          <w:p>
            <w:pPr>
              <w:pStyle w:val="Compact"/>
              <w:jc w:val="left"/>
            </w:pPr>
            <w:r>
              <w:t xml:space="preserve">$36</w:t>
            </w:r>
          </w:p>
        </w:tc>
        <w:tc>
          <w:tcPr/>
          <w:p>
            <w:pPr>
              <w:pStyle w:val="Compact"/>
            </w:pPr>
            <w:r>
              <w:t xml:space="preserve">8%</w:t>
            </w:r>
          </w:p>
        </w:tc>
      </w:tr>
    </w:tbl>
    <w:bookmarkEnd w:id="15"/>
    <w:bookmarkEnd w:id="16"/>
    <w:bookmarkStart w:id="18" w:name="いくつもの可動部分を持つ提案"/>
    <w:p>
      <w:pPr>
        <w:pStyle w:val="Heading1"/>
      </w:pPr>
      <w:r>
        <w:rPr>
          <w:rFonts w:hint="eastAsia"/>
        </w:rPr>
        <w:t xml:space="preserve">いくつもの可動部分を持つ提案</w:t>
      </w:r>
    </w:p>
    <w:p>
      <w:pPr>
        <w:pStyle w:val="FirstParagraph"/>
      </w:pPr>
      <w:r>
        <w:rPr>
          <w:rFonts w:hint="eastAsia"/>
        </w:rPr>
        <w:t xml:space="preserve">リーが推奨するプランは複数の施策を組み合わせたものであった。ピークとなるカンファレンスの2夜については、フレキシブルな標準客室料金を279~289ドルから329ドルに引き上げ、最も深い割引を打ち切り、到着14日以内の予約向けに少なくとも38室を確保する。月曜と木曜については、朝食付きの実質1泊239ドルの3泊パッケージを提供する。高いコンバージョン意図を持つカンファレンス関連の検索語句への入札を35%引き上げ、ホテルが埋まるにつれてオンライン旅行代理店経由の在庫を減らし、既存のウェブサイトはそのまま維持する。</w:t>
      </w:r>
    </w:p>
    <w:p>
      <w:pPr>
        <w:pStyle w:val="BodyText"/>
      </w:pPr>
      <w:r>
        <w:rPr>
          <w:rFonts w:hint="eastAsia"/>
        </w:rPr>
        <w:t xml:space="preserve">シャーは異なるパッケージを提案した。ピーク夜の料金をあと2週間299ドルに上限設定し、224ドルで追加60室の法人ブロックを受け入れ、水曜夜のレセプション会場を含める。彼女は、このブロックが4夜すべてにわたって稼働率を安定させ、飲食収益をもたらすと考えていた。当該法人は柔軟な減室(アトリション)条項を要求し、到着14日前までゲスト氏名を提供しないとしていた。</w:t>
      </w:r>
    </w:p>
    <w:p>
      <w:pPr>
        <w:pStyle w:val="BodyText"/>
      </w:pPr>
      <w:r>
        <w:rPr>
          <w:rFonts w:hint="eastAsia"/>
        </w:rPr>
        <w:t xml:space="preserve">カーターは法人ブロックを一時的に保持することを支持しつつも、より広範なテストを望んでいた。彼女は、2種類のウェブページデザイン、異なる朝食オファー、選定された地理的市場における3段階の広告水準を提案した。彼女は、ホテルが価格、サービス、ウェブページの見せ方に対する旅行者の反応について知っていることがあまりに少ないと主張した。リーは、実験はトラフィックを消費し、年間で最も価値のある週の収益を犠牲にしかねないと反論した。</w:t>
      </w:r>
    </w:p>
    <w:bookmarkStart w:id="17" w:name="表-4.-検討中の代替案"/>
    <w:p>
      <w:pPr>
        <w:pStyle w:val="Heading2"/>
      </w:pPr>
      <w:r>
        <w:rPr>
          <w:rFonts w:hint="eastAsia"/>
        </w:rPr>
        <w:t xml:space="preserve">表</w:t>
      </w:r>
      <w:r>
        <w:t xml:space="preserve"> 4. </w:t>
      </w:r>
      <w:r>
        <w:rPr>
          <w:rFonts w:hint="eastAsia"/>
        </w:rPr>
        <w:t xml:space="preserve">検討中の代替案</w:t>
      </w:r>
    </w:p>
    <w:tbl>
      <w:tblPr>
        <w:tblStyle w:val="Table"/>
        <w:tblW w:type="pct" w:w="4951"/>
        <w:tblLayout w:type="fixed"/>
        <w:tblLook w:firstRow="1" w:lastRow="0" w:firstColumn="0" w:lastColumn="0" w:noHBand="0" w:noVBand="0" w:val="0020"/>
      </w:tblPr>
      <w:tblGrid>
        <w:gridCol w:w="975"/>
        <w:gridCol w:w="1677"/>
        <w:gridCol w:w="1443"/>
        <w:gridCol w:w="1677"/>
        <w:gridCol w:w="2067"/>
      </w:tblGrid>
      <w:tr>
        <w:trPr>
          <w:tblHeader w:val="on"/>
        </w:trPr>
        <w:tc>
          <w:tcPr/>
          <w:p>
            <w:pPr>
              <w:pStyle w:val="Compact"/>
            </w:pPr>
            <w:r>
              <w:rPr>
                <w:rFonts w:hint="eastAsia"/>
                <w:b/>
                <w:bCs/>
              </w:rPr>
              <w:t xml:space="preserve">代替案</w:t>
            </w:r>
            <w:r>
              <w:t xml:space="preserve"> </w:t>
            </w:r>
            <w:r>
              <w:t xml:space="preserve">**ピー</w:t>
            </w:r>
          </w:p>
        </w:tc>
        <w:tc>
          <w:tcPr/>
          <w:p>
            <w:pPr>
              <w:pStyle w:val="Compact"/>
            </w:pPr>
            <w:r>
              <w:rPr>
                <w:rFonts w:hint="eastAsia"/>
              </w:rPr>
              <w:t xml:space="preserve">ク夜のアプローチ**</w:t>
            </w:r>
            <w:r>
              <w:t xml:space="preserve"> </w:t>
            </w:r>
            <w:r>
              <w:rPr>
                <w:rFonts w:hint="eastAsia"/>
              </w:rPr>
              <w:t xml:space="preserve">**閑散</w:t>
            </w:r>
          </w:p>
        </w:tc>
        <w:tc>
          <w:tcPr/>
          <w:p>
            <w:pPr>
              <w:pStyle w:val="Compact"/>
            </w:pPr>
            <w:r>
              <w:rPr>
                <w:rFonts w:hint="eastAsia"/>
              </w:rPr>
              <w:t xml:space="preserve">夜のアプローチ**</w:t>
            </w:r>
            <w:r>
              <w:t xml:space="preserve"> </w:t>
            </w:r>
            <w:r>
              <w:rPr>
                <w:rFonts w:hint="eastAsia"/>
              </w:rPr>
              <w:t xml:space="preserve">**広告</w:t>
            </w:r>
            <w:r>
              <w:t xml:space="preserve"> / チ</w:t>
            </w:r>
          </w:p>
        </w:tc>
        <w:tc>
          <w:tcPr/>
          <w:p>
            <w:pPr>
              <w:pStyle w:val="Compact"/>
            </w:pPr>
            <w:r>
              <w:t xml:space="preserve">ャネルのアプローチ** </w:t>
            </w:r>
            <w:r>
              <w:rPr>
                <w:rFonts w:hint="eastAsia"/>
              </w:rPr>
              <w:t xml:space="preserve">**主な懸念事項</w:t>
            </w:r>
          </w:p>
        </w:tc>
        <w:tc>
          <w:tcPr/>
          <w:p>
            <w:pPr>
              <w:pStyle w:val="Compact"/>
              <w:jc w:val="left"/>
            </w:pPr>
            <w:r>
              <w:t xml:space="preserve">**</w:t>
            </w:r>
          </w:p>
        </w:tc>
      </w:tr>
      <w:tr>
        <w:tc>
          <w:tcPr/>
          <w:p>
            <w:pPr>
              <w:pStyle w:val="Compact"/>
            </w:pPr>
            <w:r>
              <w:t xml:space="preserve">A. </w:t>
            </w:r>
            <w:r>
              <w:rPr>
                <w:rFonts w:hint="eastAsia"/>
              </w:rPr>
              <w:t xml:space="preserve">後発需要を守る</w:t>
            </w:r>
            <w:r>
              <w:t xml:space="preserve"> 329ド</w:t>
            </w:r>
          </w:p>
        </w:tc>
        <w:tc>
          <w:tcPr/>
          <w:p>
            <w:pPr>
              <w:pStyle w:val="Compact"/>
            </w:pPr>
            <w:r>
              <w:rPr>
                <w:rFonts w:hint="eastAsia"/>
              </w:rPr>
              <w:t xml:space="preserve">ルに引き上げ、38室を確保</w:t>
            </w:r>
            <w:r>
              <w:t xml:space="preserve"> </w:t>
            </w:r>
            <w:r>
              <w:rPr>
                <w:rFonts w:hint="eastAsia"/>
              </w:rPr>
              <w:t xml:space="preserve">3泊朝</w:t>
            </w:r>
          </w:p>
        </w:tc>
        <w:tc>
          <w:tcPr/>
          <w:p>
            <w:pPr>
              <w:pStyle w:val="Compact"/>
            </w:pPr>
            <w:r>
              <w:rPr>
                <w:rFonts w:hint="eastAsia"/>
              </w:rPr>
              <w:t xml:space="preserve">食付きパッケージ</w:t>
            </w:r>
            <w:r>
              <w:t xml:space="preserve"> </w:t>
            </w:r>
            <w:r>
              <w:rPr>
                <w:rFonts w:hint="eastAsia"/>
              </w:rPr>
              <w:t xml:space="preserve">検索入札を</w:t>
            </w:r>
          </w:p>
        </w:tc>
        <w:tc>
          <w:tcPr/>
          <w:p>
            <w:pPr>
              <w:pStyle w:val="Compact"/>
            </w:pPr>
            <w:r>
              <w:rPr>
                <w:rFonts w:hint="eastAsia"/>
              </w:rPr>
              <w:t xml:space="preserve">引き上げ、OTA在庫を削減</w:t>
            </w:r>
            <w:r>
              <w:t xml:space="preserve"> </w:t>
            </w:r>
            <w:r>
              <w:rPr>
                <w:rFonts w:hint="eastAsia"/>
              </w:rPr>
              <w:t xml:space="preserve">後発の高料金需要が</w:t>
            </w:r>
          </w:p>
        </w:tc>
        <w:tc>
          <w:tcPr/>
          <w:p>
            <w:pPr>
              <w:pStyle w:val="Compact"/>
              <w:jc w:val="left"/>
            </w:pPr>
            <w:r>
              <w:rPr>
                <w:rFonts w:hint="eastAsia"/>
              </w:rPr>
              <w:t xml:space="preserve">到着しないおそれ</w:t>
            </w:r>
          </w:p>
        </w:tc>
      </w:tr>
      <w:tr>
        <w:tc>
          <w:tcPr/>
          <w:p>
            <w:pPr>
              <w:pStyle w:val="Compact"/>
            </w:pPr>
            <w:r>
              <w:t xml:space="preserve">B. </w:t>
            </w:r>
            <w:r>
              <w:rPr>
                <w:rFonts w:hint="eastAsia"/>
              </w:rPr>
              <w:t xml:space="preserve">団体を確保する</w:t>
            </w:r>
            <w:r>
              <w:t xml:space="preserve"> 29</w:t>
            </w:r>
          </w:p>
        </w:tc>
        <w:tc>
          <w:tcPr/>
          <w:p>
            <w:pPr>
              <w:pStyle w:val="Compact"/>
            </w:pPr>
            <w:r>
              <w:rPr>
                <w:rFonts w:hint="eastAsia"/>
              </w:rPr>
              <w:t xml:space="preserve">9ドルに上限設定、224ドルで60室のブロックを追</w:t>
            </w:r>
          </w:p>
        </w:tc>
        <w:tc>
          <w:tcPr/>
          <w:p>
            <w:pPr>
              <w:pStyle w:val="Compact"/>
            </w:pPr>
            <w:r>
              <w:rPr>
                <w:rFonts w:hint="eastAsia"/>
              </w:rPr>
              <w:t xml:space="preserve">加</w:t>
            </w:r>
            <w:r>
              <w:t xml:space="preserve"> </w:t>
            </w:r>
            <w:r>
              <w:rPr>
                <w:rFonts w:hint="eastAsia"/>
              </w:rPr>
              <w:t xml:space="preserve">団体が4夜すべてにまたがる</w:t>
            </w:r>
          </w:p>
        </w:tc>
        <w:tc>
          <w:tcPr/>
          <w:p>
            <w:pPr>
              <w:pStyle w:val="Compact"/>
            </w:pPr>
            <w:r>
              <w:rPr>
                <w:rFonts w:hint="eastAsia"/>
              </w:rPr>
              <w:t xml:space="preserve">法人営業、通常の広告</w:t>
            </w:r>
          </w:p>
        </w:tc>
        <w:tc>
          <w:tcPr/>
          <w:p>
            <w:pPr>
              <w:pStyle w:val="Compact"/>
              <w:jc w:val="left"/>
            </w:pPr>
            <w:r>
              <w:rPr>
                <w:rFonts w:hint="eastAsia"/>
              </w:rPr>
              <w:t xml:space="preserve">ブロックが縮小したり、より高い料金の顧客を締め出したりするおそれ</w:t>
            </w:r>
          </w:p>
        </w:tc>
      </w:tr>
      <w:tr>
        <w:tc>
          <w:tcPr/>
          <w:p>
            <w:pPr>
              <w:pStyle w:val="Compact"/>
            </w:pPr>
            <w:r>
              <w:t xml:space="preserve">C. </w:t>
            </w:r>
            <w:r>
              <w:rPr>
                <w:rFonts w:hint="eastAsia"/>
              </w:rPr>
              <w:t xml:space="preserve">テストして適応する</w:t>
            </w:r>
          </w:p>
        </w:tc>
        <w:tc>
          <w:tcPr/>
          <w:p>
            <w:pPr>
              <w:pStyle w:val="Compact"/>
            </w:pPr>
            <w:r>
              <w:rPr>
                <w:rFonts w:hint="eastAsia"/>
              </w:rPr>
              <w:t xml:space="preserve">市場ごとに299~319ドルの範囲を使用</w:t>
            </w:r>
            <w:r>
              <w:t xml:space="preserve"> パッ</w:t>
            </w:r>
          </w:p>
        </w:tc>
        <w:tc>
          <w:tcPr/>
          <w:p>
            <w:pPr>
              <w:pStyle w:val="Compact"/>
            </w:pPr>
            <w:r>
              <w:rPr>
                <w:rFonts w:hint="eastAsia"/>
              </w:rPr>
              <w:t xml:space="preserve">ケージとウェブページの変種をテスト</w:t>
            </w:r>
          </w:p>
        </w:tc>
        <w:tc>
          <w:tcPr/>
          <w:p>
            <w:pPr>
              <w:pStyle w:val="Compact"/>
            </w:pPr>
            <w:r>
              <w:rPr>
                <w:rFonts w:hint="eastAsia"/>
              </w:rPr>
              <w:t xml:space="preserve">統制された取れたチャネル実験を実施</w:t>
            </w:r>
          </w:p>
        </w:tc>
        <w:tc>
          <w:tcPr/>
          <w:p>
            <w:pPr>
              <w:pStyle w:val="Compact"/>
              <w:jc w:val="left"/>
            </w:pPr>
            <w:r>
              <w:rPr>
                <w:rFonts w:hint="eastAsia"/>
              </w:rPr>
              <w:t xml:space="preserve">学習にコストがかかり、結果が遅れて得られる可能性</w:t>
            </w:r>
          </w:p>
        </w:tc>
      </w:tr>
      <w:tr>
        <w:tc>
          <w:tcPr/>
          <w:p>
            <w:pPr>
              <w:pStyle w:val="Compact"/>
            </w:pPr>
            <w:r>
              <w:t xml:space="preserve">D. </w:t>
            </w:r>
            <w:r>
              <w:rPr>
                <w:rFonts w:hint="eastAsia"/>
              </w:rPr>
              <w:t xml:space="preserve">早期に埋める</w:t>
            </w:r>
          </w:p>
        </w:tc>
        <w:tc>
          <w:tcPr/>
          <w:p>
            <w:pPr>
              <w:pStyle w:val="Compact"/>
            </w:pPr>
            <w:r>
              <w:rPr>
                <w:rFonts w:hint="eastAsia"/>
              </w:rPr>
              <w:t xml:space="preserve">279~289ドルを維持、割引を拡大</w:t>
            </w:r>
            <w:r>
              <w:t xml:space="preserve"> </w:t>
            </w:r>
            <w:r>
              <w:rPr>
                <w:rFonts w:hint="eastAsia"/>
              </w:rPr>
              <w:t xml:space="preserve">積極的</w:t>
            </w:r>
          </w:p>
        </w:tc>
        <w:tc>
          <w:tcPr/>
          <w:p>
            <w:pPr>
              <w:pStyle w:val="Compact"/>
            </w:pPr>
            <w:r>
              <w:rPr>
                <w:rFonts w:hint="eastAsia"/>
              </w:rPr>
              <w:t xml:space="preserve">な日曜/木曜オファー</w:t>
            </w:r>
            <w:r>
              <w:t xml:space="preserve"> OTAとソーシ</w:t>
            </w:r>
          </w:p>
        </w:tc>
        <w:tc>
          <w:tcPr/>
          <w:p>
            <w:pPr>
              <w:pStyle w:val="Compact"/>
            </w:pPr>
            <w:r>
              <w:rPr>
                <w:rFonts w:hint="eastAsia"/>
              </w:rPr>
              <w:t xml:space="preserve">ャルへの幅広い流通</w:t>
            </w:r>
            <w:r>
              <w:t xml:space="preserve"> </w:t>
            </w:r>
            <w:r>
              <w:rPr>
                <w:rFonts w:hint="eastAsia"/>
              </w:rPr>
              <w:t xml:space="preserve">希少な客室を安</w:t>
            </w:r>
          </w:p>
        </w:tc>
        <w:tc>
          <w:tcPr/>
          <w:p>
            <w:pPr>
              <w:pStyle w:val="Compact"/>
              <w:jc w:val="left"/>
            </w:pPr>
            <w:r>
              <w:rPr>
                <w:rFonts w:hint="eastAsia"/>
              </w:rPr>
              <w:t xml:space="preserve">く売りすぎるおそれ</w:t>
            </w:r>
          </w:p>
        </w:tc>
      </w:tr>
    </w:tbl>
    <w:bookmarkEnd w:id="17"/>
    <w:bookmarkEnd w:id="18"/>
    <w:bookmarkStart w:id="20" w:name="予測の限界"/>
    <w:p>
      <w:pPr>
        <w:pStyle w:val="Heading1"/>
      </w:pPr>
      <w:r>
        <w:rPr>
          <w:rFonts w:hint="eastAsia"/>
        </w:rPr>
        <w:t xml:space="preserve">予測の限界</w:t>
      </w:r>
    </w:p>
    <w:p>
      <w:pPr>
        <w:pStyle w:val="FirstParagraph"/>
      </w:pPr>
      <w:r>
        <w:rPr>
          <w:rFonts w:hint="eastAsia"/>
        </w:rPr>
        <w:t xml:space="preserve">予測チームは3つのシナリオを作成した。強需要シナリオでは、カンファレンス登録者数が予想を上回り、競合ホテルの改装により市場から客室が減少し、後発の法人需要が堅調であった。弱需要シナリオでは、カンファレンスの一部セッションがオンラインに移行し、競合ホテルが全在庫を再開し、旅行者が滞在期間を短縮した。中間シナリオは、予約が最近のパターンに沿って推移すると想定していたが、キャンセルは依然として最も推定が難しい要素であった。</w:t>
      </w:r>
    </w:p>
    <w:bookmarkStart w:id="19" w:name="表-5.-カンファレンス期間シナリオ推計"/>
    <w:p>
      <w:pPr>
        <w:pStyle w:val="Heading2"/>
      </w:pPr>
      <w:r>
        <w:rPr>
          <w:rFonts w:hint="eastAsia"/>
        </w:rPr>
        <w:t xml:space="preserve">表</w:t>
      </w:r>
      <w:r>
        <w:t xml:space="preserve"> 5. </w:t>
      </w:r>
      <w:r>
        <w:rPr>
          <w:rFonts w:hint="eastAsia"/>
        </w:rPr>
        <w:t xml:space="preserve">カンファレンス期間シナリオ推計</w:t>
      </w:r>
    </w:p>
    <w:tbl>
      <w:tblPr>
        <w:tblStyle w:val="Table"/>
        <w:tblW w:type="pct" w:w="4947"/>
        <w:tblLayout w:type="fixed"/>
        <w:tblLook w:firstRow="1" w:lastRow="0" w:firstColumn="0" w:lastColumn="0" w:noHBand="0" w:noVBand="0" w:val="0020"/>
      </w:tblPr>
      <w:tblGrid>
        <w:gridCol w:w="625"/>
        <w:gridCol w:w="1417"/>
        <w:gridCol w:w="1458"/>
        <w:gridCol w:w="1250"/>
        <w:gridCol w:w="1250"/>
        <w:gridCol w:w="1834"/>
      </w:tblGrid>
      <w:tr>
        <w:trPr>
          <w:tblHeader w:val="on"/>
        </w:trPr>
        <w:tc>
          <w:tcPr/>
          <w:p>
            <w:pPr>
              <w:pStyle w:val="Compact"/>
              <w:jc w:val="left"/>
            </w:pPr>
            <w:r>
              <w:rPr>
                <w:b/>
                <w:bCs/>
              </w:rPr>
              <w:t xml:space="preserve">シナリオ</w:t>
            </w:r>
          </w:p>
        </w:tc>
        <w:tc>
          <w:tcPr/>
          <w:p>
            <w:pPr>
              <w:pStyle w:val="Compact"/>
            </w:pPr>
            <w:r>
              <w:rPr>
                <w:rFonts w:hint="eastAsia"/>
                <w:b/>
                <w:bCs/>
              </w:rPr>
              <w:t xml:space="preserve">社内で使用される確率</w:t>
            </w:r>
            <w:r>
              <w:t xml:space="preserve"> </w:t>
            </w:r>
            <w:r>
              <w:rPr>
                <w:rFonts w:hint="eastAsia"/>
              </w:rPr>
              <w:t xml:space="preserve">**潜在的</w:t>
            </w:r>
          </w:p>
        </w:tc>
        <w:tc>
          <w:tcPr/>
          <w:p>
            <w:pPr>
              <w:pStyle w:val="Compact"/>
            </w:pPr>
            <w:r>
              <w:rPr>
                <w:rFonts w:hint="eastAsia"/>
              </w:rPr>
              <w:t xml:space="preserve">な客室リクエスト数**</w:t>
            </w:r>
            <w:r>
              <w:t xml:space="preserve"> </w:t>
            </w:r>
            <w:r>
              <w:rPr>
                <w:rFonts w:hint="eastAsia"/>
              </w:rPr>
              <w:t xml:space="preserve">**推定キャン</w:t>
            </w:r>
          </w:p>
        </w:tc>
        <w:tc>
          <w:tcPr/>
          <w:p>
            <w:pPr>
              <w:pStyle w:val="Compact"/>
            </w:pPr>
            <w:r>
              <w:rPr>
                <w:rFonts w:hint="eastAsia"/>
              </w:rPr>
              <w:t xml:space="preserve">セル数**</w:t>
            </w:r>
            <w:r>
              <w:t xml:space="preserve"> </w:t>
            </w:r>
            <w:r>
              <w:rPr>
                <w:rFonts w:hint="eastAsia"/>
              </w:rPr>
              <w:t xml:space="preserve">**予想される市場のピ</w:t>
            </w:r>
          </w:p>
        </w:tc>
        <w:tc>
          <w:tcPr/>
          <w:p>
            <w:pPr>
              <w:pStyle w:val="Compact"/>
              <w:jc w:val="left"/>
            </w:pPr>
            <w:r>
              <w:rPr>
                <w:rFonts w:hint="eastAsia"/>
              </w:rPr>
              <w:t xml:space="preserve">ーク料金**</w:t>
            </w:r>
            <w:r>
              <w:t xml:space="preserve"> </w:t>
            </w:r>
            <w:r>
              <w:rPr>
                <w:rFonts w:hint="eastAsia"/>
                <w:b/>
                <w:bCs/>
              </w:rPr>
              <w:t xml:space="preserve">解釈</w:t>
            </w:r>
          </w:p>
        </w:tc>
        <w:tc>
          <w:tcPr/>
          <w:p>
            <w:pPr>
              <w:pStyle w:val="Compact"/>
            </w:pPr>
          </w:p>
        </w:tc>
      </w:tr>
      <w:tr>
        <w:tc>
          <w:tcPr/>
          <w:p>
            <w:pPr>
              <w:pStyle w:val="Compact"/>
              <w:jc w:val="left"/>
            </w:pPr>
            <w:r>
              <w:rPr>
                <w:rFonts w:hint="eastAsia"/>
              </w:rPr>
              <w:t xml:space="preserve">弱い</w:t>
            </w:r>
          </w:p>
        </w:tc>
        <w:tc>
          <w:tcPr/>
          <w:p>
            <w:pPr>
              <w:pStyle w:val="Compact"/>
            </w:pPr>
            <w:r>
              <w:t xml:space="preserve">25%</w:t>
            </w:r>
          </w:p>
        </w:tc>
        <w:tc>
          <w:tcPr/>
          <w:p>
            <w:pPr>
              <w:pStyle w:val="Compact"/>
            </w:pPr>
            <w:r>
              <w:t xml:space="preserve">760</w:t>
            </w:r>
          </w:p>
        </w:tc>
        <w:tc>
          <w:tcPr/>
          <w:p>
            <w:pPr>
              <w:pStyle w:val="Compact"/>
            </w:pPr>
            <w:r>
              <w:t xml:space="preserve">115–145</w:t>
            </w:r>
          </w:p>
        </w:tc>
        <w:tc>
          <w:tcPr/>
          <w:p>
            <w:pPr>
              <w:pStyle w:val="Compact"/>
              <w:jc w:val="left"/>
            </w:pPr>
            <w:r>
              <w:t xml:space="preserve">$245–$285</w:t>
            </w:r>
          </w:p>
        </w:tc>
        <w:tc>
          <w:tcPr/>
          <w:p>
            <w:pPr>
              <w:pStyle w:val="Compact"/>
            </w:pPr>
            <w:r>
              <w:rPr>
                <w:rFonts w:hint="eastAsia"/>
              </w:rPr>
              <w:t xml:space="preserve">閑散夜が空室のままとなる相当なリスク</w:t>
            </w:r>
          </w:p>
        </w:tc>
      </w:tr>
      <w:tr>
        <w:tc>
          <w:tcPr/>
          <w:p>
            <w:pPr>
              <w:pStyle w:val="Compact"/>
              <w:jc w:val="left"/>
            </w:pPr>
            <w:r>
              <w:rPr>
                <w:rFonts w:hint="eastAsia"/>
              </w:rPr>
              <w:t xml:space="preserve">想定通り</w:t>
            </w:r>
          </w:p>
        </w:tc>
        <w:tc>
          <w:tcPr/>
          <w:p>
            <w:pPr>
              <w:pStyle w:val="Compact"/>
            </w:pPr>
            <w:r>
              <w:t xml:space="preserve">50%</w:t>
            </w:r>
          </w:p>
        </w:tc>
        <w:tc>
          <w:tcPr/>
          <w:p>
            <w:pPr>
              <w:pStyle w:val="Compact"/>
            </w:pPr>
            <w:r>
              <w:t xml:space="preserve">915</w:t>
            </w:r>
          </w:p>
        </w:tc>
        <w:tc>
          <w:tcPr/>
          <w:p>
            <w:pPr>
              <w:pStyle w:val="Compact"/>
            </w:pPr>
            <w:r>
              <w:t xml:space="preserve">130–170</w:t>
            </w:r>
          </w:p>
        </w:tc>
        <w:tc>
          <w:tcPr/>
          <w:p>
            <w:pPr>
              <w:pStyle w:val="Compact"/>
              <w:jc w:val="left"/>
            </w:pPr>
            <w:r>
              <w:t xml:space="preserve">$285–$325</w:t>
            </w:r>
          </w:p>
        </w:tc>
        <w:tc>
          <w:tcPr/>
          <w:p>
            <w:pPr>
              <w:pStyle w:val="Compact"/>
            </w:pPr>
            <w:r>
              <w:rPr>
                <w:rFonts w:hint="eastAsia"/>
              </w:rPr>
              <w:t xml:space="preserve">火曜と水曜はほぼ完売</w:t>
            </w:r>
          </w:p>
        </w:tc>
      </w:tr>
      <w:tr>
        <w:tc>
          <w:tcPr/>
          <w:p>
            <w:pPr>
              <w:pStyle w:val="Compact"/>
              <w:jc w:val="left"/>
            </w:pPr>
            <w:r>
              <w:rPr>
                <w:rFonts w:hint="eastAsia"/>
              </w:rPr>
              <w:t xml:space="preserve">強い</w:t>
            </w:r>
          </w:p>
        </w:tc>
        <w:tc>
          <w:tcPr/>
          <w:p>
            <w:pPr>
              <w:pStyle w:val="Compact"/>
            </w:pPr>
            <w:r>
              <w:t xml:space="preserve">25%</w:t>
            </w:r>
          </w:p>
        </w:tc>
        <w:tc>
          <w:tcPr/>
          <w:p>
            <w:pPr>
              <w:pStyle w:val="Compact"/>
            </w:pPr>
            <w:r>
              <w:t xml:space="preserve">1,080</w:t>
            </w:r>
          </w:p>
        </w:tc>
        <w:tc>
          <w:tcPr/>
          <w:p>
            <w:pPr>
              <w:pStyle w:val="Compact"/>
            </w:pPr>
            <w:r>
              <w:t xml:space="preserve">145–195</w:t>
            </w:r>
          </w:p>
        </w:tc>
        <w:tc>
          <w:tcPr/>
          <w:p>
            <w:pPr>
              <w:pStyle w:val="Compact"/>
              <w:jc w:val="left"/>
            </w:pPr>
            <w:r>
              <w:t xml:space="preserve">$335–$425</w:t>
            </w:r>
          </w:p>
        </w:tc>
        <w:tc>
          <w:tcPr/>
          <w:p>
            <w:pPr>
              <w:pStyle w:val="Compact"/>
            </w:pPr>
            <w:r>
              <w:rPr>
                <w:rFonts w:hint="eastAsia"/>
              </w:rPr>
              <w:t xml:space="preserve">後発需要が残存客室数を上回る可能性</w:t>
            </w:r>
          </w:p>
        </w:tc>
      </w:tr>
    </w:tbl>
    <w:p>
      <w:pPr>
        <w:pStyle w:val="BodyText"/>
      </w:pPr>
      <w:r>
        <w:rPr>
          <w:rFonts w:hint="eastAsia"/>
        </w:rPr>
        <w:t xml:space="preserve">シナリオの確率が正確なものだと考える者は誰もいなかった。競合の料金は数時間のうちに変わりうる。基調講演の発表後にカンファレンスの登録が加速する可能性もある。嵐がフライトを混乱させる可能性もある。主要な法人顧客がキャンセルする一方で、航空便の混乱が予想外に需要を生み出す可能性もある。ホテル自身の行動もまた市場の反応を変化させる。すなわち、価格の引き上げは予約を減少させ、広告は追加の顧客を惹きつけ、パッケージはある日程から別の日程へと需要をシフトさせる可能性がある。</w:t>
      </w:r>
    </w:p>
    <w:p>
      <w:pPr>
        <w:pStyle w:val="BodyText"/>
      </w:pPr>
      <w:r>
        <w:rPr>
          <w:rFonts w:hint="eastAsia"/>
        </w:rPr>
        <w:t xml:space="preserve">マルケスは実行面についても考慮しなければならなかった。フロントデスクの従業員は、ますます複雑化する料金規則の説明に苦労していた。レストランは午前7時から9時の間に快適に提供できる朝食は180食までであった。ガレージには196台分のスペースしかなかった。ハウスキーピングは完売期間中は契約労働者に依存しており、1泊滞在が圧縮されたパターンになることで清掃コストが増加した。サービス品質が低下しオンラインレビューが悪化するのであれば、最後の1室を売り切ることが必ずしも望ましいとは限らなかった。</w:t>
      </w:r>
    </w:p>
    <w:bookmarkEnd w:id="19"/>
    <w:bookmarkEnd w:id="20"/>
    <w:bookmarkStart w:id="21" w:name="正午のミーティング"/>
    <w:p>
      <w:pPr>
        <w:pStyle w:val="Heading1"/>
      </w:pPr>
      <w:r>
        <w:rPr>
          <w:rFonts w:hint="eastAsia"/>
        </w:rPr>
        <w:t xml:space="preserve">正午のミーティング</w:t>
      </w:r>
    </w:p>
    <w:p>
      <w:pPr>
        <w:pStyle w:val="FirstParagraph"/>
      </w:pPr>
      <w:r>
        <w:rPr>
          <w:rFonts w:hint="eastAsia"/>
        </w:rPr>
        <w:t xml:space="preserve">午前11時40分、マルケスはオーナー代表者に対して選択肢を要約した。ホテルは今すぐ客室を確定させることも、後になって到着するかもしれない顧客のために客室を確保しておくことも、新たな予約が入るたびに価格を繰り返し調整することも、どの顧客がホテルを目にするかに影響を与えるためにより多く支出することも、あるいは今後数週間を顧客行動についてより深く学ぶために活用することもできた。それぞれの行動は、客室収益だけでなく、手数料、サービスコスト、付帯支出、キャンセル、顧客満足度、そして将来の予約を受け入れる能力にも影響を与えるものであった。</w:t>
      </w:r>
    </w:p>
    <w:p>
      <w:pPr>
        <w:pStyle w:val="BodyText"/>
      </w:pPr>
      <w:r>
        <w:rPr>
          <w:rFonts w:hint="eastAsia"/>
        </w:rPr>
        <w:t xml:space="preserve">オーナー代表者は、一見単純な質問を投げかけた。「今日、どの客室を、どの価格で、どのチャネルを通じて、どのような約束を付けて販売すべきか?」マルケスは予約レポートを再度見つめた。料金更新が公開される予定の時刻まで、あと20分しか残されていなかった。</w:t>
      </w:r>
    </w:p>
    <w:bookmarkEnd w:id="21"/>
    <w:bookmarkStart w:id="22" w:name="討論設問"/>
    <w:p>
      <w:pPr>
        <w:pStyle w:val="Heading1"/>
      </w:pPr>
      <w:r>
        <w:rPr>
          <w:rFonts w:hint="eastAsia"/>
        </w:rPr>
        <w:t xml:space="preserve">討論設問</w:t>
      </w:r>
    </w:p>
    <w:p>
      <w:pPr>
        <w:numPr>
          <w:ilvl w:val="0"/>
          <w:numId w:val="1001"/>
        </w:numPr>
      </w:pPr>
      <w:r>
        <w:rPr>
          <w:rFonts w:hint="eastAsia"/>
        </w:rPr>
        <w:t xml:space="preserve">ハーバービューは8週間の期間における成功をどのように定義すべきか。</w:t>
      </w:r>
    </w:p>
    <w:p>
      <w:pPr>
        <w:numPr>
          <w:ilvl w:val="0"/>
          <w:numId w:val="1001"/>
        </w:numPr>
      </w:pPr>
      <w:r>
        <w:rPr>
          <w:rFonts w:hint="eastAsia"/>
        </w:rPr>
        <w:t xml:space="preserve">どの宿泊日が最も経営陣の注意を必要とするか、その理由は何か。</w:t>
      </w:r>
    </w:p>
    <w:p>
      <w:pPr>
        <w:numPr>
          <w:ilvl w:val="0"/>
          <w:numId w:val="1001"/>
        </w:numPr>
      </w:pPr>
      <w:r>
        <w:rPr>
          <w:rFonts w:hint="eastAsia"/>
        </w:rPr>
        <w:t xml:space="preserve">提案されている法人ブロックを受け入れることの利点と欠点は何か。</w:t>
      </w:r>
    </w:p>
    <w:p>
      <w:pPr>
        <w:numPr>
          <w:ilvl w:val="0"/>
          <w:numId w:val="1001"/>
        </w:numPr>
      </w:pPr>
      <w:r>
        <w:rPr>
          <w:rFonts w:hint="eastAsia"/>
        </w:rPr>
        <w:t xml:space="preserve">ホテルは、将来の潜在的な顧客のために確保しておく客室にどのような価値を置くべきか。</w:t>
      </w:r>
    </w:p>
    <w:p>
      <w:pPr>
        <w:numPr>
          <w:ilvl w:val="0"/>
          <w:numId w:val="1001"/>
        </w:numPr>
      </w:pPr>
      <w:r>
        <w:rPr>
          <w:rFonts w:hint="eastAsia"/>
        </w:rPr>
        <w:t xml:space="preserve">キャンセル行動は、料金、制限、チャネルの利用可能性にどのように影響すべきか。</w:t>
      </w:r>
    </w:p>
    <w:p>
      <w:pPr>
        <w:numPr>
          <w:ilvl w:val="0"/>
          <w:numId w:val="1001"/>
        </w:numPr>
      </w:pPr>
      <w:r>
        <w:rPr>
          <w:rFonts w:hint="eastAsia"/>
        </w:rPr>
        <w:t xml:space="preserve">どのサービスを客室と組み合わせるべきか、また、そのバンドルが価値を生むのではなくむしろ破壊してしまうのはどのような場合か。</w:t>
      </w:r>
    </w:p>
    <w:p>
      <w:pPr>
        <w:numPr>
          <w:ilvl w:val="0"/>
          <w:numId w:val="1001"/>
        </w:numPr>
      </w:pPr>
      <w:r>
        <w:rPr>
          <w:rFonts w:hint="eastAsia"/>
        </w:rPr>
        <w:t xml:space="preserve">ハーバービューは、ペイド検索、ソーシャルメディア、直接チャネル、オンライン旅行代理店、法人営業の間で広告予算をどのように配分すべきか。</w:t>
      </w:r>
    </w:p>
    <w:p>
      <w:pPr>
        <w:numPr>
          <w:ilvl w:val="0"/>
          <w:numId w:val="1001"/>
        </w:numPr>
      </w:pPr>
      <w:r>
        <w:rPr>
          <w:rFonts w:hint="eastAsia"/>
        </w:rPr>
        <w:t xml:space="preserve">正午までに最も価値のある情報は何か、また今後数週間にわたって現実的に学び得る情報は何か。</w:t>
      </w:r>
    </w:p>
    <w:p>
      <w:pPr>
        <w:numPr>
          <w:ilvl w:val="0"/>
          <w:numId w:val="1001"/>
        </w:numPr>
      </w:pPr>
      <w:r>
        <w:rPr>
          <w:rFonts w:hint="eastAsia"/>
        </w:rPr>
        <w:t xml:space="preserve">カンファレンスの予約期間中に、ウェブページとパッケージの実験を実施するか。実験の設計とリスクを説明せよ。</w:t>
      </w:r>
    </w:p>
    <w:p>
      <w:pPr>
        <w:numPr>
          <w:ilvl w:val="0"/>
          <w:numId w:val="1001"/>
        </w:numPr>
      </w:pPr>
      <w:r>
        <w:rPr>
          <w:rFonts w:hint="eastAsia"/>
        </w:rPr>
        <w:t xml:space="preserve">マルケスはどのプランを承認すべきか、また、そのプランの変更を促すべき将来の観測は何か。</w:t>
      </w:r>
    </w:p>
    <w:bookmarkEnd w:id="22"/>
    <w:bookmarkStart w:id="28" w:name="決定のフレーミングに関する設問"/>
    <w:p>
      <w:pPr>
        <w:pStyle w:val="Heading1"/>
      </w:pPr>
      <w:r>
        <w:rPr>
          <w:rFonts w:hint="eastAsia"/>
        </w:rPr>
        <w:t xml:space="preserve">決定のフレーミングに関する設問</w:t>
      </w:r>
    </w:p>
    <w:p>
      <w:pPr>
        <w:numPr>
          <w:ilvl w:val="0"/>
          <w:numId w:val="1002"/>
        </w:numPr>
      </w:pPr>
      <w:r>
        <w:rPr>
          <w:rFonts w:hint="eastAsia"/>
        </w:rPr>
        <w:t xml:space="preserve">意思決定者の責任を特定し、記述せよ。これによって問題の範囲を設定する。</w:t>
      </w:r>
    </w:p>
    <w:p>
      <w:pPr>
        <w:numPr>
          <w:ilvl w:val="0"/>
          <w:numId w:val="1002"/>
        </w:numPr>
      </w:pPr>
      <w:hyperlink r:id="rId23">
        <w:r>
          <w:rPr>
            <w:rStyle w:val="Hyperlink"/>
          </w:rPr>
          <w:t xml:space="preserve">メトリクス・ピラミッドツール</w:t>
        </w:r>
      </w:hyperlink>
      <w:r>
        <w:rPr>
          <w:rFonts w:hint="eastAsia"/>
        </w:rPr>
        <w:t xml:space="preserve">を用いて、さまざまなパフォーマンス指標を特定し、優先順位付けせよ。指標を保持する楕円をクリックして、それが最大化すべき指標(緑)か、最小化すべき指標(赤)か、下限としての目標値(薄緑)か、上限としての目標値(薄赤)か、あるいは目標値(紫)かを識別する。</w:t>
      </w:r>
    </w:p>
    <w:p>
      <w:pPr>
        <w:numPr>
          <w:ilvl w:val="0"/>
          <w:numId w:val="1002"/>
        </w:numPr>
      </w:pPr>
      <w:hyperlink r:id="rId24">
        <w:r>
          <w:rPr>
            <w:rStyle w:val="Hyperlink"/>
            <w:rFonts w:hint="eastAsia"/>
          </w:rPr>
          <w:t xml:space="preserve">決定優先順位付けツール</w:t>
        </w:r>
      </w:hyperlink>
      <w:r>
        <w:rPr>
          <w:rFonts w:hint="eastAsia"/>
        </w:rPr>
        <w:t xml:space="preserve">を用いて、まずさまざまな種類の決定を列挙せよ(</w:t>
      </w:r>
      <w:hyperlink r:id="rId25">
        <w:r>
          <w:rPr>
            <w:rStyle w:val="Hyperlink"/>
            <w:rFonts w:hint="eastAsia"/>
          </w:rPr>
          <w:t xml:space="preserve">決定の種類</w:t>
        </w:r>
      </w:hyperlink>
      <w:r>
        <w:rPr>
          <w:rFonts w:hint="eastAsia"/>
        </w:rPr>
        <w:t xml:space="preserve">をガイドとして利用すること)。これらは、右側にあるマトリクスの行を構成し、その列は上記ピラミッドにおける優先順位に従って左から右にソートされたパフォーマンス指標となる。各セルをクリックして、各指標に対するその決定の影響が高い(赤)、中程度(オレンジ)、低い(黄色)、なし(白)のいずれであるかを示せ。</w:t>
      </w:r>
    </w:p>
    <w:p>
      <w:pPr>
        <w:numPr>
          <w:ilvl w:val="0"/>
          <w:numId w:val="1002"/>
        </w:numPr>
      </w:pPr>
      <w:r>
        <w:rPr>
          <w:rFonts w:hint="eastAsia"/>
        </w:rPr>
        <w:t xml:space="preserve">各行の一番左にあるハンドル(3本線)をつかんで、上下に移動させることができる。最も重要な指標に最大の影響を与える決定が上部に来るように行を並べ替える。左上隅のセルは、赤とオレンジのセルが最も集中しているはずである。この時点で、この研究において最も注意を払うべき決定を特定する。最も重要な指標に対して中程度または高い影響を与える決定がない場合は、決定のリストを見直すこと。</w:t>
      </w:r>
    </w:p>
    <w:p>
      <w:pPr>
        <w:numPr>
          <w:ilvl w:val="0"/>
          <w:numId w:val="1002"/>
        </w:numPr>
      </w:pPr>
      <w:hyperlink r:id="rId26">
        <w:r>
          <w:rPr>
            <w:rStyle w:val="Hyperlink"/>
            <w:rFonts w:hint="eastAsia"/>
          </w:rPr>
          <w:t xml:space="preserve">不確実性優先順位付けツール</w:t>
        </w:r>
      </w:hyperlink>
      <w:r>
        <w:rPr>
          <w:rFonts w:hint="eastAsia"/>
        </w:rPr>
        <w:t xml:space="preserve">を用いて、不確実性についても同様のプロセスを繰り返し、リスト化と優先順位付けを行う。</w:t>
      </w:r>
      <w:hyperlink r:id="rId27">
        <w:r>
          <w:rPr>
            <w:rStyle w:val="Hyperlink"/>
            <w:rFonts w:hint="eastAsia"/>
          </w:rPr>
          <w:t xml:space="preserve">不確実性のカテゴリー</w:t>
        </w:r>
      </w:hyperlink>
      <w:r>
        <w:rPr>
          <w:rFonts w:hint="eastAsia"/>
        </w:rPr>
        <w:t xml:space="preserve">を参考にしてこれらを特定すること。</w:t>
      </w:r>
    </w:p>
    <w:p>
      <w:pPr>
        <w:numPr>
          <w:ilvl w:val="0"/>
          <w:numId w:val="1002"/>
        </w:numPr>
      </w:pPr>
      <w:r>
        <w:rPr>
          <w:rFonts w:hint="eastAsia"/>
        </w:rPr>
        <w:t xml:space="preserve">平均として評価できる不確実性と、リスクイベントとして評価すべき不確実性を区別することが重要である。</w:t>
      </w:r>
    </w:p>
    <w:p>
      <w:pPr>
        <w:numPr>
          <w:ilvl w:val="1"/>
          <w:numId w:val="1003"/>
        </w:numPr>
      </w:pPr>
      <w:r>
        <w:rPr>
          <w:rFonts w:hint="eastAsia"/>
        </w:rPr>
        <w:t xml:space="preserve">どの不確実性の源泉が、時間の経過に伴う平均的なパフォーマンスによって捉えられるか。</w:t>
      </w:r>
    </w:p>
    <w:p>
      <w:pPr>
        <w:numPr>
          <w:ilvl w:val="1"/>
          <w:numId w:val="1003"/>
        </w:numPr>
      </w:pPr>
      <w:r>
        <w:rPr>
          <w:rFonts w:hint="eastAsia"/>
        </w:rPr>
        <w:t xml:space="preserve">どの不確実性の源泉が、平均によっては適切に捉えられないリスクの形態を表すか。</w:t>
      </w:r>
    </w:p>
    <w:p>
      <w:pPr>
        <w:numPr>
          <w:ilvl w:val="0"/>
          <w:numId w:val="1002"/>
        </w:numPr>
      </w:pPr>
      <w:r>
        <w:rPr>
          <w:rFonts w:hint="eastAsia"/>
        </w:rPr>
        <w:t xml:space="preserve">最も重要な指標に対して最も高い影響を与えると思われる、単一の決定を選べ。</w:t>
      </w:r>
    </w:p>
    <w:p>
      <w:pPr>
        <w:numPr>
          <w:ilvl w:val="1"/>
          <w:numId w:val="1004"/>
        </w:numPr>
      </w:pPr>
      <w:r>
        <w:rPr>
          <w:rFonts w:hint="eastAsia"/>
        </w:rPr>
        <w:t xml:space="preserve">この決定を行うために、どのようなアプローチを用いると思うか。</w:t>
      </w:r>
    </w:p>
    <w:p>
      <w:pPr>
        <w:numPr>
          <w:ilvl w:val="1"/>
          <w:numId w:val="1004"/>
        </w:numPr>
      </w:pPr>
      <w:r>
        <w:rPr>
          <w:rFonts w:hint="eastAsia"/>
        </w:rPr>
        <w:t xml:space="preserve">この決定を行うために必要と思われるデータは何か。決定が高いまたは中程度の影響を与えるパフォーマンス指標の算出も含めること。</w:t>
      </w:r>
    </w:p>
    <w:p>
      <w:pPr>
        <w:numPr>
          <w:ilvl w:val="0"/>
          <w:numId w:val="1002"/>
        </w:numPr>
      </w:pPr>
      <w:r>
        <w:rPr>
          <w:rFonts w:hint="eastAsia"/>
        </w:rPr>
        <w:t xml:space="preserve">(7)で特定したのと同じ決定について、その決定を実行するために協働する必要のある人々、部署、グループ、または組織を特定せよ。</w:t>
      </w:r>
    </w:p>
    <w:bookmarkEnd w:id="28"/>
    <w:bookmarkStart w:id="29" w:name="データと出典についての注記"/>
    <w:p>
      <w:pPr>
        <w:pStyle w:val="Heading1"/>
      </w:pPr>
      <w:r>
        <w:rPr>
          <w:rFonts w:hint="eastAsia"/>
        </w:rPr>
        <w:t xml:space="preserve">データと出典についての注記</w:t>
      </w:r>
    </w:p>
    <w:p>
      <w:pPr>
        <w:pStyle w:val="FirstParagraph"/>
      </w:pPr>
      <w:r>
        <w:rPr>
          <w:rFonts w:hint="eastAsia"/>
        </w:rPr>
        <w:t xml:space="preserve">このケースに登場するすべての企業、人物、出来事、予約記録、財務数値、および経営上の代替案は架空のものである。業界の文脈は、Warren</w:t>
      </w:r>
      <w:r>
        <w:t xml:space="preserve"> B. Powell </w:t>
      </w:r>
      <w:r>
        <w:rPr>
          <w:rFonts w:hint="eastAsia"/>
        </w:rPr>
        <w:t xml:space="preserve">著</w:t>
      </w:r>
      <w:r>
        <w:t xml:space="preserve"> </w:t>
      </w:r>
      <w:r>
        <w:rPr>
          <w:i/>
          <w:iCs/>
        </w:rPr>
        <w:t xml:space="preserve">Bridging Decision Problems</w:t>
      </w:r>
      <w:r>
        <w:t xml:space="preserve">, Volume I, </w:t>
      </w:r>
      <w:r>
        <w:rPr>
          <w:rFonts w:hint="eastAsia"/>
        </w:rPr>
        <w:t xml:space="preserve">第2章「ホテル・レベニュー・マネジメント」、2025年の米国ホテル稼働率・平均客室単価・販売可能客室あたり収益に関するCoStar/STRの報告、American</w:t>
      </w:r>
      <w:r>
        <w:t xml:space="preserve"> Hotel &amp; Lodging Association </w:t>
      </w:r>
      <w:r>
        <w:rPr>
          <w:rFonts w:hint="eastAsia"/>
        </w:rPr>
        <w:t xml:space="preserve">の2025年版</w:t>
      </w:r>
      <w:r>
        <w:t xml:space="preserve"> State of the Industry </w:t>
      </w:r>
      <w:r>
        <w:rPr>
          <w:rFonts w:hint="eastAsia"/>
        </w:rPr>
        <w:t xml:space="preserve">レポート、および2025年に公表されたチャネル別キャンセル率の推計に基づいて構成されている。このケースは討論を目的として設計されており、望ましい解決策を提示するものではない。</w:t>
      </w:r>
    </w:p>
    <w:bookmarkEnd w:id="29"/>
    <w:bookmarkStart w:id="32" w:name="chatgpt-ノート"/>
    <w:p>
      <w:pPr>
        <w:pStyle w:val="Heading1"/>
      </w:pPr>
      <w:r>
        <w:t xml:space="preserve">ChatGPT ノート</w:t>
      </w:r>
    </w:p>
    <w:bookmarkStart w:id="30" w:name="プロンプト"/>
    <w:p>
      <w:pPr>
        <w:pStyle w:val="Heading2"/>
      </w:pPr>
      <w:r>
        <w:t xml:space="preserve">プロンプト</w:t>
      </w:r>
    </w:p>
    <w:p>
      <w:pPr>
        <w:pStyle w:val="FirstParagraph"/>
      </w:pPr>
      <w:r>
        <w:t xml:space="preserve">https://warrenpowell.org/bridging-vol1/chapter-2/#hotel-revenue-management </w:t>
      </w:r>
      <w:r>
        <w:rPr>
          <w:rFonts w:hint="eastAsia"/>
        </w:rPr>
        <w:t xml:space="preserve">のセクションにある資料に基づき、4~6ページのケーススタディを作成せよ。当該セクションにおける指標、決定、および不確実性に基づいて文脈を作成するが、それらを明示的に取り上げることはしない。データによって、ケースの問題に動機付けを与えること。</w:t>
      </w:r>
    </w:p>
    <w:bookmarkEnd w:id="30"/>
    <w:bookmarkStart w:id="31" w:name="要約"/>
    <w:p>
      <w:pPr>
        <w:pStyle w:val="Heading2"/>
      </w:pPr>
      <w:r>
        <w:rPr>
          <w:rFonts w:hint="eastAsia"/>
        </w:rPr>
        <w:t xml:space="preserve">要約</w:t>
      </w:r>
    </w:p>
    <w:p>
      <w:pPr>
        <w:pStyle w:val="FirstParagraph"/>
      </w:pPr>
      <w:r>
        <w:rPr>
          <w:rFonts w:hint="eastAsia"/>
        </w:rPr>
        <w:t xml:space="preserve">8週間の計画期間にわたる事前予約</w:t>
      </w:r>
    </w:p>
    <w:p>
      <w:pPr>
        <w:pStyle w:val="BodyText"/>
      </w:pPr>
      <w:r>
        <w:rPr>
          <w:rFonts w:hint="eastAsia"/>
        </w:rPr>
        <w:t xml:space="preserve">動的な客室価格設定と割引料金の制限</w:t>
      </w:r>
    </w:p>
    <w:p>
      <w:pPr>
        <w:pStyle w:val="BodyText"/>
      </w:pPr>
      <w:r>
        <w:rPr>
          <w:rFonts w:hint="eastAsia"/>
        </w:rPr>
        <w:t xml:space="preserve">ビジネス客、レジャー客、カンファレンス参加者、団体客</w:t>
      </w:r>
    </w:p>
    <w:p>
      <w:pPr>
        <w:pStyle w:val="BodyText"/>
      </w:pPr>
      <w:r>
        <w:rPr>
          <w:rFonts w:hint="eastAsia"/>
        </w:rPr>
        <w:t xml:space="preserve">直接予約、オンライン旅行代理店、法人営業、ペイド検索、ソーシャルメディア、ロイヤルティ・マーケティング</w:t>
      </w:r>
    </w:p>
    <w:p>
      <w:pPr>
        <w:pStyle w:val="BodyText"/>
      </w:pPr>
      <w:r>
        <w:rPr>
          <w:rFonts w:hint="eastAsia"/>
        </w:rPr>
        <w:t xml:space="preserve">朝食、駐車場、柔軟なキャンセル、会議スペースを含むサービスパッケージ</w:t>
      </w:r>
    </w:p>
    <w:p>
      <w:pPr>
        <w:pStyle w:val="BodyText"/>
      </w:pPr>
      <w:r>
        <w:rPr>
          <w:rFonts w:hint="eastAsia"/>
        </w:rPr>
        <w:t xml:space="preserve">予約キャンセル、競合の行動、不確実なイベント参加者数、後発の需要</w:t>
      </w:r>
    </w:p>
    <w:p>
      <w:pPr>
        <w:pStyle w:val="BodyText"/>
      </w:pPr>
      <w:r>
        <w:rPr>
          <w:rFonts w:hint="eastAsia"/>
        </w:rPr>
        <w:t xml:space="preserve">5つの定量的な図表と10の討論設問</w:t>
      </w:r>
    </w:p>
    <w:p>
      <w:pPr>
        <w:pStyle w:val="BodyText"/>
      </w:pPr>
      <w:r>
        <w:rPr>
          <w:rFonts w:hint="eastAsia"/>
        </w:rPr>
        <w:t xml:space="preserve">望ましい解決策を提示しない未解決の経営上の決定</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2026-09-11T17:43:27Z</dcterms:created>
  <dcterms:modified xsi:type="dcterms:W3CDTF">2026-09-11T17:43:27Z</dcterms:modified>
</cp:coreProperties>
</file>

<file path=docProps/custom.xml><?xml version="1.0" encoding="utf-8"?>
<Properties xmlns="http://schemas.openxmlformats.org/officeDocument/2006/custom-properties" xmlns:vt="http://schemas.openxmlformats.org/officeDocument/2006/docPropsVTypes"/>
</file>