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Hearthline Home</w:t>
      </w:r>
    </w:p>
    <w:p>
      <w:pPr>
        <w:pStyle w:val="BodyText"/>
      </w:pPr>
      <w:r>
        <w:rPr>
          <w:rFonts w:hint="eastAsia"/>
        </w:rPr>
        <w:t xml:space="preserve">需要バランシング問題</w:t>
      </w:r>
    </w:p>
    <w:p>
      <w:pPr>
        <w:pStyle w:val="BodyText"/>
      </w:pPr>
      <w:r>
        <w:rPr>
          <w:rFonts w:hint="eastAsia"/>
        </w:rPr>
        <w:t xml:space="preserve">品揃え、価格設定、プロモーション、デジタルマーケティング、そして顧客対応に関するビジネスケース</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2026年9月、ある地域の家具小売業者は、人気スタイルの品切れや、顧客がもはや欲しがらない製品への大幅な値引きを生むことなく、ホリデーシーズン前にどれだけ積極的に需要を刺激すべきかを決めなければならない。</w:t>
            </w:r>
          </w:p>
        </w:tc>
      </w:tr>
    </w:tbl>
    <w:p>
      <w:r>
        <w:pict>
          <v:rect style="width:0;height:1.5pt" o:hralign="center" o:hrstd="t" o:hr="t"/>
        </w:pict>
      </w:r>
    </w:p>
    <w:p>
      <w:pPr>
        <w:pStyle w:val="FirstParagraph"/>
      </w:pPr>
      <w:r>
        <w:rPr>
          <w:rFonts w:hint="eastAsia"/>
        </w:rPr>
        <w:t xml:space="preserve">このケースはフィクションであり、教育的議論を目的としている。名称、出来事、資金、社内数値はすべて架空のものであるが、業界設定は公開データに基づいている。</w:t>
      </w:r>
    </w:p>
    <w:bookmarkStart w:id="9" w:name="月曜日の会議"/>
    <w:p>
      <w:pPr>
        <w:pStyle w:val="Heading1"/>
      </w:pPr>
      <w:r>
        <w:rPr>
          <w:rFonts w:hint="eastAsia"/>
        </w:rPr>
        <w:t xml:space="preserve">月曜日の会議</w:t>
      </w:r>
    </w:p>
    <w:p>
      <w:pPr>
        <w:pStyle w:val="FirstParagraph"/>
      </w:pPr>
      <w:r>
        <w:rPr>
          <w:rFonts w:hint="eastAsia"/>
        </w:rPr>
        <w:t xml:space="preserve">月曜朝8時10分、Hearthline</w:t>
      </w:r>
      <w:r>
        <w:t xml:space="preserve"> </w:t>
      </w:r>
      <w:r>
        <w:rPr>
          <w:rFonts w:hint="eastAsia"/>
        </w:rPr>
        <w:t xml:space="preserve">Homeの最高商業責任者であるElena</w:t>
      </w:r>
      <w:r>
        <w:t xml:space="preserve"> </w:t>
      </w:r>
      <w:r>
        <w:rPr>
          <w:rFonts w:hint="eastAsia"/>
        </w:rPr>
        <w:t xml:space="preserve">Marquezは、週末の売上ダッシュボードが三度目のリフレッシュをするのを見つめていた。有料ソーシャルキャンペーンの後、ウェブサイトのトラフィックは24パーセント増加していたが、購入完了は5パーセントしか増えていなかった。店舗では、新しいSolaceモジュラーセクショナルが2つの大都市市場では予想を上回る売れ行きを見せていたが、それ以外の地域ではほとんど動いていなかった。一方で、同社は季節の勝ち組と予測されていた伝統的なダイニングコレクションで、ほぼ4ヶ月分の在庫を抱えていた。</w:t>
      </w:r>
    </w:p>
    <w:p>
      <w:pPr>
        <w:pStyle w:val="BodyText"/>
      </w:pPr>
      <w:r>
        <w:rPr>
          <w:rFonts w:hint="eastAsia"/>
        </w:rPr>
        <w:t xml:space="preserve">Hearthlineは中西部および中部大西洋岸の8州にわたって31店舗とeコマースサイトを運営していた。ソファ、ベッドルームセット、ダイニング家具、ホームオフィス家具、アクセサリーを販売していた。ほとんどの張り地製品は輸入されたフレームと生地から国内で組み立てられており、ケースグッズ(箱型家具)は主にアジアとヨーロッパから到着していた。標準的な補充には10週から18週かかり、特注品はさらに時間がかかることもあった。</w:t>
      </w:r>
    </w:p>
    <w:p>
      <w:pPr>
        <w:pStyle w:val="BodyText"/>
      </w:pPr>
      <w:r>
        <w:rPr>
          <w:rFonts w:hint="eastAsia"/>
        </w:rPr>
        <w:t xml:space="preserve">経営執行委員会は、年末最後の4ヶ月間のために680万ドルのマーケティング・プロモーション予算を承認していた。この資金はテレビ、有料検索、ソーシャルメディア、ダイレクトメール、地域イベント、インフルエンサー提携、ウェブサイト再設計実験、または値引きに充てることができた。それぞれの選択肢は売上だけでなく、販売される顧客層や製品構成も変える可能性があった。Marquezには計画を提言するまで6日間の猶予があった。</w:t>
      </w:r>
    </w:p>
    <w:bookmarkEnd w:id="9"/>
    <w:bookmarkStart w:id="11" w:name="従順にならない市場"/>
    <w:p>
      <w:pPr>
        <w:pStyle w:val="Heading1"/>
      </w:pPr>
      <w:r>
        <w:rPr>
          <w:rFonts w:hint="eastAsia"/>
        </w:rPr>
        <w:t xml:space="preserve">従順にならない市場</w:t>
      </w:r>
    </w:p>
    <w:p>
      <w:pPr>
        <w:pStyle w:val="FirstParagraph"/>
      </w:pPr>
      <w:r>
        <w:rPr>
          <w:rFonts w:hint="eastAsia"/>
        </w:rPr>
        <w:t xml:space="preserve">家具需要は常に予測が難しかった。購入が高額で頻度が低く、しばしば人生の出来事と結びついていたためである。住宅購入や引っ越しは家具需要を生み出したが、金利、インフレ、雇用見通しによって顧客が慎重になると、購入を先延ばしにすることもあった。スタイルの好みは、オンライン動画に製品が登場したり、競合他社がより低価格の類似デザインを投入したりすると、急速に変化することがあった。</w:t>
      </w:r>
    </w:p>
    <w:p>
      <w:pPr>
        <w:pStyle w:val="BodyText"/>
      </w:pPr>
      <w:r>
        <w:rPr>
          <w:rFonts w:hint="eastAsia"/>
        </w:rPr>
        <w:t xml:space="preserve">全国的な状況はHearthlineにとって何の慰めにもならなかった。米国国勢調査局のデータによれば、2025年12月の家具・住宅装飾品店の売上は2024年12月と比べて5.5パーセント下回っていた。新規一戸建て住宅販売は2025年に推定679,000戸で、2024年をわずかに下回った。同時に、eコマースは小売活動の中で依然として大きく成長し続ける割合を占めており、2026年第1四半期の米国eコマース売上は推定3,267億ドルであった。これらの統計は大きな市場を示していたが、予測可能な市場ではなかった。</w:t>
      </w:r>
    </w:p>
    <w:bookmarkStart w:id="10" w:name="図-1.-hearthlineの業績2026年1月8月"/>
    <w:p>
      <w:pPr>
        <w:pStyle w:val="Heading2"/>
      </w:pPr>
      <w:r>
        <w:rPr>
          <w:rFonts w:hint="eastAsia"/>
        </w:rPr>
        <w:t xml:space="preserve">図</w:t>
      </w:r>
      <w:r>
        <w:t xml:space="preserve"> 1. </w:t>
      </w:r>
      <w:r>
        <w:rPr>
          <w:rFonts w:hint="eastAsia"/>
        </w:rPr>
        <w:t xml:space="preserve">Hearthlineの業績、2026年1月～8月</w:t>
      </w:r>
    </w:p>
    <w:tbl>
      <w:tblPr>
        <w:tblStyle w:val="Table"/>
        <w:tblW w:type="pct" w:w="4870"/>
        <w:tblLayout w:type="fixed"/>
        <w:tblLook w:firstRow="1" w:lastRow="0" w:firstColumn="0" w:lastColumn="0" w:noHBand="0" w:noVBand="0" w:val="0020"/>
      </w:tblPr>
      <w:tblGrid>
        <w:gridCol w:w="2674"/>
        <w:gridCol w:w="1851"/>
        <w:gridCol w:w="1851"/>
        <w:gridCol w:w="1337"/>
      </w:tblGrid>
      <w:tr>
        <w:trPr>
          <w:tblHeader w:val="on"/>
        </w:trPr>
        <w:tc>
          <w:tcPr/>
          <w:p>
            <w:pPr>
              <w:pStyle w:val="Compact"/>
              <w:jc w:val="left"/>
            </w:pPr>
            <w:r>
              <w:rPr>
                <w:rFonts w:hint="eastAsia"/>
              </w:rPr>
              <w:t xml:space="preserve">指標</w:t>
            </w:r>
          </w:p>
        </w:tc>
        <w:tc>
          <w:tcPr/>
          <w:p>
            <w:pPr>
              <w:pStyle w:val="Compact"/>
              <w:jc w:val="center"/>
            </w:pPr>
            <w:r>
              <w:rPr>
                <w:rFonts w:hint="eastAsia"/>
              </w:rPr>
              <w:t xml:space="preserve">2025年比較</w:t>
            </w:r>
          </w:p>
        </w:tc>
        <w:tc>
          <w:tcPr/>
          <w:p>
            <w:pPr>
              <w:pStyle w:val="Compact"/>
              <w:jc w:val="center"/>
            </w:pPr>
            <w:r>
              <w:rPr>
                <w:rFonts w:hint="eastAsia"/>
              </w:rPr>
              <w:t xml:space="preserve">2026年実績</w:t>
            </w:r>
          </w:p>
        </w:tc>
        <w:tc>
          <w:tcPr/>
          <w:p>
            <w:pPr>
              <w:pStyle w:val="Compact"/>
              <w:jc w:val="center"/>
            </w:pPr>
            <w:r>
              <w:rPr>
                <w:rFonts w:hint="eastAsia"/>
              </w:rPr>
              <w:t xml:space="preserve">変化</w:t>
            </w:r>
          </w:p>
        </w:tc>
      </w:tr>
      <w:tr>
        <w:tc>
          <w:tcPr/>
          <w:p>
            <w:pPr>
              <w:pStyle w:val="Compact"/>
              <w:jc w:val="left"/>
            </w:pPr>
            <w:r>
              <w:rPr>
                <w:rFonts w:hint="eastAsia"/>
              </w:rPr>
              <w:t xml:space="preserve">純売上高</w:t>
            </w:r>
          </w:p>
        </w:tc>
        <w:tc>
          <w:tcPr/>
          <w:p>
            <w:pPr>
              <w:pStyle w:val="Compact"/>
              <w:jc w:val="center"/>
            </w:pPr>
            <w:r>
              <w:rPr>
                <w:rFonts w:hint="eastAsia"/>
              </w:rPr>
              <w:t xml:space="preserve">2億8,640万ドル</w:t>
            </w:r>
          </w:p>
        </w:tc>
        <w:tc>
          <w:tcPr/>
          <w:p>
            <w:pPr>
              <w:pStyle w:val="Compact"/>
              <w:jc w:val="center"/>
            </w:pPr>
            <w:r>
              <w:rPr>
                <w:rFonts w:hint="eastAsia"/>
              </w:rPr>
              <w:t xml:space="preserve">2億7,910万ドル</w:t>
            </w:r>
          </w:p>
        </w:tc>
        <w:tc>
          <w:tcPr/>
          <w:p>
            <w:pPr>
              <w:pStyle w:val="Compact"/>
              <w:jc w:val="center"/>
            </w:pPr>
            <w:r>
              <w:t xml:space="preserve">-2.5%</w:t>
            </w:r>
          </w:p>
        </w:tc>
      </w:tr>
      <w:tr>
        <w:tc>
          <w:tcPr/>
          <w:p>
            <w:pPr>
              <w:pStyle w:val="Compact"/>
              <w:jc w:val="left"/>
            </w:pPr>
            <w:r>
              <w:rPr>
                <w:rFonts w:hint="eastAsia"/>
              </w:rPr>
              <w:t xml:space="preserve">粗利益率</w:t>
            </w:r>
          </w:p>
        </w:tc>
        <w:tc>
          <w:tcPr/>
          <w:p>
            <w:pPr>
              <w:pStyle w:val="Compact"/>
              <w:jc w:val="center"/>
            </w:pPr>
            <w:r>
              <w:t xml:space="preserve">46.1%</w:t>
            </w:r>
          </w:p>
        </w:tc>
        <w:tc>
          <w:tcPr/>
          <w:p>
            <w:pPr>
              <w:pStyle w:val="Compact"/>
              <w:jc w:val="center"/>
            </w:pPr>
            <w:r>
              <w:t xml:space="preserve">43.8%</w:t>
            </w:r>
          </w:p>
        </w:tc>
        <w:tc>
          <w:tcPr/>
          <w:p>
            <w:pPr>
              <w:pStyle w:val="Compact"/>
              <w:jc w:val="center"/>
            </w:pPr>
            <w:r>
              <w:t xml:space="preserve">-2.3ポイント</w:t>
            </w:r>
          </w:p>
        </w:tc>
      </w:tr>
      <w:tr>
        <w:tc>
          <w:tcPr/>
          <w:p>
            <w:pPr>
              <w:pStyle w:val="Compact"/>
              <w:jc w:val="left"/>
            </w:pPr>
            <w:r>
              <w:rPr>
                <w:rFonts w:hint="eastAsia"/>
              </w:rPr>
              <w:t xml:space="preserve">平均注文金額</w:t>
            </w:r>
          </w:p>
        </w:tc>
        <w:tc>
          <w:tcPr/>
          <w:p>
            <w:pPr>
              <w:pStyle w:val="Compact"/>
              <w:jc w:val="center"/>
            </w:pPr>
            <w:r>
              <w:t xml:space="preserve">1,486ドル</w:t>
            </w:r>
          </w:p>
        </w:tc>
        <w:tc>
          <w:tcPr/>
          <w:p>
            <w:pPr>
              <w:pStyle w:val="Compact"/>
              <w:jc w:val="center"/>
            </w:pPr>
            <w:r>
              <w:t xml:space="preserve">1,552ドル</w:t>
            </w:r>
          </w:p>
        </w:tc>
        <w:tc>
          <w:tcPr/>
          <w:p>
            <w:pPr>
              <w:pStyle w:val="Compact"/>
              <w:jc w:val="center"/>
            </w:pPr>
            <w:r>
              <w:t xml:space="preserve">+4.4%</w:t>
            </w:r>
          </w:p>
        </w:tc>
      </w:tr>
      <w:tr>
        <w:tc>
          <w:tcPr/>
          <w:p>
            <w:pPr>
              <w:pStyle w:val="Compact"/>
              <w:jc w:val="left"/>
            </w:pPr>
            <w:r>
              <w:rPr>
                <w:rFonts w:hint="eastAsia"/>
              </w:rPr>
              <w:t xml:space="preserve">店舗コンバージョン率</w:t>
            </w:r>
          </w:p>
        </w:tc>
        <w:tc>
          <w:tcPr/>
          <w:p>
            <w:pPr>
              <w:pStyle w:val="Compact"/>
              <w:jc w:val="center"/>
            </w:pPr>
            <w:r>
              <w:t xml:space="preserve">22.8%</w:t>
            </w:r>
          </w:p>
        </w:tc>
        <w:tc>
          <w:tcPr/>
          <w:p>
            <w:pPr>
              <w:pStyle w:val="Compact"/>
              <w:jc w:val="center"/>
            </w:pPr>
            <w:r>
              <w:t xml:space="preserve">20.6%</w:t>
            </w:r>
          </w:p>
        </w:tc>
        <w:tc>
          <w:tcPr/>
          <w:p>
            <w:pPr>
              <w:pStyle w:val="Compact"/>
              <w:jc w:val="center"/>
            </w:pPr>
            <w:r>
              <w:t xml:space="preserve">-2.2ポイント</w:t>
            </w:r>
          </w:p>
        </w:tc>
      </w:tr>
      <w:tr>
        <w:tc>
          <w:tcPr/>
          <w:p>
            <w:pPr>
              <w:pStyle w:val="Compact"/>
              <w:jc w:val="left"/>
            </w:pPr>
            <w:r>
              <w:t xml:space="preserve">ウェブサイトコンバージョン</w:t>
            </w:r>
          </w:p>
        </w:tc>
        <w:tc>
          <w:tcPr/>
          <w:p>
            <w:pPr>
              <w:pStyle w:val="Compact"/>
              <w:jc w:val="center"/>
            </w:pPr>
            <w:r>
              <w:rPr>
                <w:rFonts w:hint="eastAsia"/>
              </w:rPr>
              <w:t xml:space="preserve">率</w:t>
            </w:r>
            <w:r>
              <w:t xml:space="preserve"> 1.82%</w:t>
            </w:r>
          </w:p>
        </w:tc>
        <w:tc>
          <w:tcPr/>
          <w:p>
            <w:pPr>
              <w:pStyle w:val="Compact"/>
              <w:jc w:val="center"/>
            </w:pPr>
            <w:r>
              <w:t xml:space="preserve">1.54%</w:t>
            </w:r>
          </w:p>
        </w:tc>
        <w:tc>
          <w:tcPr/>
          <w:p>
            <w:pPr>
              <w:pStyle w:val="Compact"/>
              <w:jc w:val="center"/>
            </w:pPr>
            <w:r>
              <w:t xml:space="preserve">-0.28ポイント</w:t>
            </w:r>
          </w:p>
        </w:tc>
      </w:tr>
      <w:tr>
        <w:tc>
          <w:tcPr/>
          <w:p>
            <w:pPr>
              <w:pStyle w:val="Compact"/>
              <w:jc w:val="left"/>
            </w:pPr>
            <w:r>
              <w:rPr>
                <w:rFonts w:hint="eastAsia"/>
              </w:rPr>
              <w:t xml:space="preserve">遅延配送注文</w:t>
            </w:r>
          </w:p>
        </w:tc>
        <w:tc>
          <w:tcPr/>
          <w:p>
            <w:pPr>
              <w:pStyle w:val="Compact"/>
              <w:jc w:val="center"/>
            </w:pPr>
            <w:r>
              <w:t xml:space="preserve">8.7%</w:t>
            </w:r>
          </w:p>
        </w:tc>
        <w:tc>
          <w:tcPr/>
          <w:p>
            <w:pPr>
              <w:pStyle w:val="Compact"/>
              <w:jc w:val="center"/>
            </w:pPr>
            <w:r>
              <w:t xml:space="preserve">13.9%</w:t>
            </w:r>
          </w:p>
        </w:tc>
        <w:tc>
          <w:tcPr/>
          <w:p>
            <w:pPr>
              <w:pStyle w:val="Compact"/>
              <w:jc w:val="center"/>
            </w:pPr>
            <w:r>
              <w:t xml:space="preserve">+5.2ポイント</w:t>
            </w:r>
          </w:p>
        </w:tc>
      </w:tr>
      <w:tr>
        <w:tc>
          <w:tcPr/>
          <w:p>
            <w:pPr>
              <w:pStyle w:val="Compact"/>
              <w:jc w:val="left"/>
            </w:pPr>
            <w:r>
              <w:rPr>
                <w:rFonts w:hint="eastAsia"/>
              </w:rPr>
              <w:t xml:space="preserve">原価ベース在庫</w:t>
            </w:r>
          </w:p>
        </w:tc>
        <w:tc>
          <w:tcPr/>
          <w:p>
            <w:pPr>
              <w:pStyle w:val="Compact"/>
              <w:jc w:val="center"/>
            </w:pPr>
            <w:r>
              <w:rPr>
                <w:rFonts w:hint="eastAsia"/>
              </w:rPr>
              <w:t xml:space="preserve">8,260万ドル</w:t>
            </w:r>
          </w:p>
        </w:tc>
        <w:tc>
          <w:tcPr/>
          <w:p>
            <w:pPr>
              <w:pStyle w:val="Compact"/>
              <w:jc w:val="center"/>
            </w:pPr>
            <w:r>
              <w:rPr>
                <w:rFonts w:hint="eastAsia"/>
              </w:rPr>
              <w:t xml:space="preserve">1億340万ドル</w:t>
            </w:r>
          </w:p>
        </w:tc>
        <w:tc>
          <w:tcPr/>
          <w:p>
            <w:pPr>
              <w:pStyle w:val="Compact"/>
              <w:jc w:val="center"/>
            </w:pPr>
            <w:r>
              <w:t xml:space="preserve">+25.2%</w:t>
            </w:r>
          </w:p>
        </w:tc>
      </w:tr>
      <w:tr>
        <w:tc>
          <w:tcPr/>
          <w:p>
            <w:pPr>
              <w:pStyle w:val="Compact"/>
              <w:jc w:val="left"/>
            </w:pPr>
            <w:r>
              <w:rPr>
                <w:rFonts w:hint="eastAsia"/>
              </w:rPr>
              <w:t xml:space="preserve">広告費</w:t>
            </w:r>
          </w:p>
        </w:tc>
        <w:tc>
          <w:tcPr/>
          <w:p>
            <w:pPr>
              <w:pStyle w:val="Compact"/>
              <w:jc w:val="center"/>
            </w:pPr>
            <w:r>
              <w:rPr>
                <w:rFonts w:hint="eastAsia"/>
              </w:rPr>
              <w:t xml:space="preserve">1,210万ドル</w:t>
            </w:r>
          </w:p>
        </w:tc>
        <w:tc>
          <w:tcPr/>
          <w:p>
            <w:pPr>
              <w:pStyle w:val="Compact"/>
              <w:jc w:val="center"/>
            </w:pPr>
            <w:r>
              <w:rPr>
                <w:rFonts w:hint="eastAsia"/>
              </w:rPr>
              <w:t xml:space="preserve">1,480万ドル</w:t>
            </w:r>
          </w:p>
        </w:tc>
        <w:tc>
          <w:tcPr/>
          <w:p>
            <w:pPr>
              <w:pStyle w:val="Compact"/>
              <w:jc w:val="center"/>
            </w:pPr>
            <w:r>
              <w:t xml:space="preserve">+22.3%</w:t>
            </w:r>
          </w:p>
        </w:tc>
      </w:tr>
    </w:tbl>
    <w:p>
      <w:pPr>
        <w:pStyle w:val="BodyText"/>
      </w:pPr>
      <w:r>
        <w:rPr>
          <w:rFonts w:hint="eastAsia"/>
        </w:rPr>
        <w:t xml:space="preserve">財務チームは、Hearthlineは収益性の高い需要ではなく単なるトラフィックを購入していると主張した。デジタル広告費は増加していたが、コンバージョンは低下していた。マーチャンダイジングチームは、問題はトラフィックではなく在庫の有無だと反論した。人気の構成をクリックした顧客は、しばしば10週から14週の配送見積もりに直面していた。店舗マネージャーは別の説明を提示した――顧客は大きな買い物を実際に見て触りたいのだが、人員削減により週末に経験豊富な販売員が足りていない、というものだった。</w:t>
      </w:r>
    </w:p>
    <w:bookmarkEnd w:id="10"/>
    <w:bookmarkEnd w:id="11"/>
    <w:bookmarkStart w:id="13" w:name="品揃えの問題"/>
    <w:p>
      <w:pPr>
        <w:pStyle w:val="Heading1"/>
      </w:pPr>
      <w:r>
        <w:rPr>
          <w:rFonts w:hint="eastAsia"/>
        </w:rPr>
        <w:t xml:space="preserve">品揃えの問題</w:t>
      </w:r>
    </w:p>
    <w:p>
      <w:pPr>
        <w:pStyle w:val="FirstParagraph"/>
      </w:pPr>
      <w:r>
        <w:rPr>
          <w:rFonts w:hint="eastAsia"/>
        </w:rPr>
        <w:t xml:space="preserve">Hearthlineは約4,800のアクティブなSKU(在庫管理単位)を取り扱っていたが、420製品が売上の61パーセントを生み出していた。経営陣は検索エンジンでの可視性を高め、顧客により多くの選択肢を提供するために品揃えを拡大していた。その結果、動きの遅い製品のロングテール、複雑な陳列、そして分散した在庫が生じていた。あるソファは6種類の生地と3種類の構成で提供されることがあったが、顧客が好む組み合わせは地域によって大きく異なっていた。</w:t>
      </w:r>
    </w:p>
    <w:bookmarkStart w:id="12" w:name="図-2.-選定された製品ファミリー"/>
    <w:p>
      <w:pPr>
        <w:pStyle w:val="Heading2"/>
      </w:pPr>
      <w:r>
        <w:rPr>
          <w:rFonts w:hint="eastAsia"/>
        </w:rPr>
        <w:t xml:space="preserve">図</w:t>
      </w:r>
      <w:r>
        <w:t xml:space="preserve"> 2. </w:t>
      </w:r>
      <w:r>
        <w:rPr>
          <w:rFonts w:hint="eastAsia"/>
        </w:rPr>
        <w:t xml:space="preserve">選定された製品ファミリー</w:t>
      </w:r>
    </w:p>
    <w:tbl>
      <w:tblPr>
        <w:tblStyle w:val="Table"/>
        <w:tblW w:type="pct" w:w="4924"/>
        <w:tblLayout w:type="fixed"/>
        <w:tblLook w:firstRow="1" w:lastRow="0" w:firstColumn="0" w:lastColumn="0" w:noHBand="0" w:noVBand="0" w:val="0020"/>
      </w:tblPr>
      <w:tblGrid>
        <w:gridCol w:w="1632"/>
        <w:gridCol w:w="906"/>
        <w:gridCol w:w="1088"/>
        <w:gridCol w:w="846"/>
        <w:gridCol w:w="3325"/>
      </w:tblGrid>
      <w:tr>
        <w:trPr>
          <w:tblHeader w:val="on"/>
        </w:trPr>
        <w:tc>
          <w:tcPr/>
          <w:p>
            <w:pPr>
              <w:pStyle w:val="Compact"/>
              <w:jc w:val="left"/>
            </w:pPr>
            <w:r>
              <w:rPr>
                <w:rFonts w:hint="eastAsia"/>
              </w:rPr>
              <w:t xml:space="preserve">製品ファミリー</w:t>
            </w:r>
          </w:p>
        </w:tc>
        <w:tc>
          <w:tcPr/>
          <w:p>
            <w:pPr>
              <w:pStyle w:val="Compact"/>
              <w:jc w:val="center"/>
            </w:pPr>
            <w:r>
              <w:rPr>
                <w:rFonts w:hint="eastAsia"/>
              </w:rPr>
              <w:t xml:space="preserve">粗利益率</w:t>
            </w:r>
          </w:p>
        </w:tc>
        <w:tc>
          <w:tcPr/>
          <w:p>
            <w:pPr>
              <w:pStyle w:val="Compact"/>
              <w:jc w:val="center"/>
            </w:pPr>
            <w:r>
              <w:rPr>
                <w:rFonts w:hint="eastAsia"/>
              </w:rPr>
              <w:t xml:space="preserve">在庫週数</w:t>
            </w:r>
          </w:p>
        </w:tc>
        <w:tc>
          <w:tcPr/>
          <w:p>
            <w:pPr>
              <w:pStyle w:val="Compact"/>
              <w:jc w:val="center"/>
            </w:pPr>
            <w:r>
              <w:rPr>
                <w:rFonts w:hint="eastAsia"/>
              </w:rPr>
              <w:t xml:space="preserve">遅延注文</w:t>
            </w:r>
          </w:p>
        </w:tc>
        <w:tc>
          <w:tcPr/>
          <w:p>
            <w:pPr>
              <w:pStyle w:val="Compact"/>
              <w:jc w:val="center"/>
            </w:pPr>
            <w:r>
              <w:rPr>
                <w:rFonts w:hint="eastAsia"/>
              </w:rPr>
              <w:t xml:space="preserve">最近の需要シグナル</w:t>
            </w:r>
          </w:p>
        </w:tc>
      </w:tr>
      <w:tr>
        <w:tc>
          <w:tcPr/>
          <w:p>
            <w:pPr>
              <w:pStyle w:val="Compact"/>
              <w:jc w:val="left"/>
            </w:pPr>
            <w:r>
              <w:t xml:space="preserve">Solaceモジュラーシーティング</w:t>
            </w:r>
          </w:p>
        </w:tc>
        <w:tc>
          <w:tcPr/>
          <w:p>
            <w:pPr>
              <w:pStyle w:val="Compact"/>
              <w:jc w:val="center"/>
            </w:pPr>
            <w:r>
              <w:t xml:space="preserve">49%</w:t>
            </w:r>
          </w:p>
        </w:tc>
        <w:tc>
          <w:tcPr/>
          <w:p>
            <w:pPr>
              <w:pStyle w:val="Compact"/>
              <w:jc w:val="center"/>
            </w:pPr>
            <w:r>
              <w:t xml:space="preserve">5.2</w:t>
            </w:r>
          </w:p>
        </w:tc>
        <w:tc>
          <w:tcPr/>
          <w:p>
            <w:pPr>
              <w:pStyle w:val="Compact"/>
              <w:jc w:val="center"/>
            </w:pPr>
            <w:r>
              <w:t xml:space="preserve">28%</w:t>
            </w:r>
          </w:p>
        </w:tc>
        <w:tc>
          <w:tcPr/>
          <w:p>
            <w:pPr>
              <w:pStyle w:val="Compact"/>
              <w:jc w:val="center"/>
            </w:pPr>
            <w:r>
              <w:rPr>
                <w:rFonts w:hint="eastAsia"/>
              </w:rPr>
              <w:t xml:space="preserve">ソーシャルメディアでの強い関心;地域的偏り</w:t>
            </w:r>
          </w:p>
        </w:tc>
      </w:tr>
      <w:tr>
        <w:tc>
          <w:tcPr/>
          <w:p>
            <w:pPr>
              <w:pStyle w:val="Compact"/>
              <w:jc w:val="left"/>
            </w:pPr>
            <w:r>
              <w:t xml:space="preserve">Harborパフォーマンスソファ</w:t>
            </w:r>
          </w:p>
        </w:tc>
        <w:tc>
          <w:tcPr/>
          <w:p>
            <w:pPr>
              <w:pStyle w:val="Compact"/>
              <w:jc w:val="center"/>
            </w:pPr>
            <w:r>
              <w:t xml:space="preserve">44%</w:t>
            </w:r>
          </w:p>
        </w:tc>
        <w:tc>
          <w:tcPr/>
          <w:p>
            <w:pPr>
              <w:pStyle w:val="Compact"/>
              <w:jc w:val="center"/>
            </w:pPr>
            <w:r>
              <w:t xml:space="preserve">9.1</w:t>
            </w:r>
          </w:p>
        </w:tc>
        <w:tc>
          <w:tcPr/>
          <w:p>
            <w:pPr>
              <w:pStyle w:val="Compact"/>
              <w:jc w:val="center"/>
            </w:pPr>
            <w:r>
              <w:t xml:space="preserve">14%</w:t>
            </w:r>
          </w:p>
        </w:tc>
        <w:tc>
          <w:tcPr/>
          <w:p>
            <w:pPr>
              <w:pStyle w:val="Compact"/>
              <w:jc w:val="center"/>
            </w:pPr>
            <w:r>
              <w:rPr>
                <w:rFonts w:hint="eastAsia"/>
              </w:rPr>
              <w:t xml:space="preserve">安定したリピート需要;価格比較の増加</w:t>
            </w:r>
          </w:p>
        </w:tc>
      </w:tr>
      <w:tr>
        <w:tc>
          <w:tcPr/>
          <w:p>
            <w:pPr>
              <w:pStyle w:val="Compact"/>
              <w:jc w:val="left"/>
            </w:pPr>
            <w:r>
              <w:t xml:space="preserve">Aldenダイニングコレクション</w:t>
            </w:r>
          </w:p>
        </w:tc>
        <w:tc>
          <w:tcPr/>
          <w:p>
            <w:pPr>
              <w:pStyle w:val="Compact"/>
              <w:jc w:val="center"/>
            </w:pPr>
            <w:r>
              <w:t xml:space="preserve">51%</w:t>
            </w:r>
          </w:p>
        </w:tc>
        <w:tc>
          <w:tcPr/>
          <w:p>
            <w:pPr>
              <w:pStyle w:val="Compact"/>
              <w:jc w:val="center"/>
            </w:pPr>
            <w:r>
              <w:t xml:space="preserve">17.8</w:t>
            </w:r>
          </w:p>
        </w:tc>
        <w:tc>
          <w:tcPr/>
          <w:p>
            <w:pPr>
              <w:pStyle w:val="Compact"/>
              <w:jc w:val="center"/>
            </w:pPr>
            <w:r>
              <w:t xml:space="preserve">3%</w:t>
            </w:r>
          </w:p>
        </w:tc>
        <w:tc>
          <w:tcPr/>
          <w:p>
            <w:pPr>
              <w:pStyle w:val="Compact"/>
              <w:jc w:val="center"/>
            </w:pPr>
            <w:r>
              <w:rPr>
                <w:rFonts w:hint="eastAsia"/>
              </w:rPr>
              <w:t xml:space="preserve">ウェブサイトトラフィックは強いがコンバージョンは弱い</w:t>
            </w:r>
          </w:p>
        </w:tc>
      </w:tr>
      <w:tr>
        <w:tc>
          <w:tcPr/>
          <w:p>
            <w:pPr>
              <w:pStyle w:val="Compact"/>
              <w:jc w:val="left"/>
            </w:pPr>
            <w:r>
              <w:t xml:space="preserve">Lumaベッドルームコレクション</w:t>
            </w:r>
          </w:p>
        </w:tc>
        <w:tc>
          <w:tcPr/>
          <w:p>
            <w:pPr>
              <w:pStyle w:val="Compact"/>
              <w:jc w:val="center"/>
            </w:pPr>
            <w:r>
              <w:t xml:space="preserve">47%</w:t>
            </w:r>
          </w:p>
        </w:tc>
        <w:tc>
          <w:tcPr/>
          <w:p>
            <w:pPr>
              <w:pStyle w:val="Compact"/>
              <w:jc w:val="center"/>
            </w:pPr>
            <w:r>
              <w:t xml:space="preserve">11.6</w:t>
            </w:r>
          </w:p>
        </w:tc>
        <w:tc>
          <w:tcPr/>
          <w:p>
            <w:pPr>
              <w:pStyle w:val="Compact"/>
              <w:jc w:val="center"/>
            </w:pPr>
            <w:r>
              <w:t xml:space="preserve">9%</w:t>
            </w:r>
          </w:p>
        </w:tc>
        <w:tc>
          <w:tcPr/>
          <w:p>
            <w:pPr>
              <w:pStyle w:val="Compact"/>
              <w:jc w:val="center"/>
            </w:pPr>
            <w:r>
              <w:rPr>
                <w:rFonts w:hint="eastAsia"/>
              </w:rPr>
              <w:t xml:space="preserve">初めての住宅購入者の間で需要増加</w:t>
            </w:r>
          </w:p>
        </w:tc>
      </w:tr>
      <w:tr>
        <w:tc>
          <w:tcPr/>
          <w:p>
            <w:pPr>
              <w:pStyle w:val="Compact"/>
              <w:jc w:val="left"/>
            </w:pPr>
            <w:r>
              <w:t xml:space="preserve">Studioホームオフィス</w:t>
            </w:r>
          </w:p>
        </w:tc>
        <w:tc>
          <w:tcPr/>
          <w:p>
            <w:pPr>
              <w:pStyle w:val="Compact"/>
              <w:jc w:val="center"/>
            </w:pPr>
            <w:r>
              <w:t xml:space="preserve">42%</w:t>
            </w:r>
          </w:p>
        </w:tc>
        <w:tc>
          <w:tcPr/>
          <w:p>
            <w:pPr>
              <w:pStyle w:val="Compact"/>
              <w:jc w:val="center"/>
            </w:pPr>
            <w:r>
              <w:t xml:space="preserve">15.4</w:t>
            </w:r>
          </w:p>
        </w:tc>
        <w:tc>
          <w:tcPr/>
          <w:p>
            <w:pPr>
              <w:pStyle w:val="Compact"/>
              <w:jc w:val="center"/>
            </w:pPr>
            <w:r>
              <w:t xml:space="preserve">5%</w:t>
            </w:r>
          </w:p>
        </w:tc>
        <w:tc>
          <w:tcPr/>
          <w:p>
            <w:pPr>
              <w:pStyle w:val="Compact"/>
              <w:jc w:val="center"/>
            </w:pPr>
            <w:r>
              <w:rPr>
                <w:rFonts w:hint="eastAsia"/>
              </w:rPr>
              <w:t xml:space="preserve">2年間の好調の後に売上減少</w:t>
            </w:r>
          </w:p>
        </w:tc>
      </w:tr>
      <w:tr>
        <w:tc>
          <w:tcPr/>
          <w:p>
            <w:pPr>
              <w:pStyle w:val="Compact"/>
              <w:jc w:val="left"/>
            </w:pPr>
            <w:r>
              <w:rPr>
                <w:rFonts w:hint="eastAsia"/>
              </w:rPr>
              <w:t xml:space="preserve">アクセサリー・装飾品</w:t>
            </w:r>
          </w:p>
        </w:tc>
        <w:tc>
          <w:tcPr/>
          <w:p>
            <w:pPr>
              <w:pStyle w:val="Compact"/>
              <w:jc w:val="center"/>
            </w:pPr>
            <w:r>
              <w:t xml:space="preserve">58%</w:t>
            </w:r>
          </w:p>
        </w:tc>
        <w:tc>
          <w:tcPr/>
          <w:p>
            <w:pPr>
              <w:pStyle w:val="Compact"/>
              <w:jc w:val="center"/>
            </w:pPr>
            <w:r>
              <w:t xml:space="preserve">7.0</w:t>
            </w:r>
          </w:p>
        </w:tc>
        <w:tc>
          <w:tcPr/>
          <w:p>
            <w:pPr>
              <w:pStyle w:val="Compact"/>
              <w:jc w:val="center"/>
            </w:pPr>
            <w:r>
              <w:t xml:space="preserve">2%</w:t>
            </w:r>
          </w:p>
        </w:tc>
        <w:tc>
          <w:tcPr/>
          <w:p>
            <w:pPr>
              <w:pStyle w:val="Compact"/>
              <w:jc w:val="center"/>
            </w:pPr>
            <w:r>
              <w:rPr>
                <w:rFonts w:hint="eastAsia"/>
              </w:rPr>
              <w:t xml:space="preserve">高い付帯購入マージン;陳列に一貫性なし</w:t>
            </w:r>
          </w:p>
        </w:tc>
      </w:tr>
    </w:tbl>
    <w:p>
      <w:pPr>
        <w:pStyle w:val="BodyText"/>
      </w:pPr>
      <w:r>
        <w:rPr>
          <w:rFonts w:hint="eastAsia"/>
        </w:rPr>
        <w:t xml:space="preserve">マーチャンダイジンググループは、ウェブサイトと店舗から低回転の900製品を削除し、マーケティングを12の「ヒーロー」コレクションに集中させることを提案した。eコマースグループはこの案に反対した。幅広い品揃えは検索トラフィックを引き寄せ、訪問者がすぐに購入しなくても、Hearthlineが新たな嗜好について学ぶことを可能にしていた。店舗組織は、品揃えの標準化が地域の住宅スタイル、人口構成、所得水準を無視することになると懸念した。</w:t>
      </w:r>
    </w:p>
    <w:bookmarkEnd w:id="12"/>
    <w:bookmarkEnd w:id="13"/>
    <w:bookmarkStart w:id="15" w:name="価格プロモーションそして顧客を調教してしまうリスク"/>
    <w:p>
      <w:pPr>
        <w:pStyle w:val="Heading1"/>
      </w:pPr>
      <w:r>
        <w:rPr>
          <w:rFonts w:hint="eastAsia"/>
        </w:rPr>
        <w:t xml:space="preserve">価格、プロモーション、そして顧客を「調教」してしまうリスク</w:t>
      </w:r>
    </w:p>
    <w:p>
      <w:pPr>
        <w:pStyle w:val="FirstParagraph"/>
      </w:pPr>
      <w:r>
        <w:rPr>
          <w:rFonts w:hint="eastAsia"/>
        </w:rPr>
        <w:t xml:space="preserve">Hearthlineの過去のプロモーションカレンダーには、ホリデー値引き、ファイナンシング特典、ルームパッケージのバンドル販売、時折のクリアランスイベントが含まれていた。競合他社はより積極的になり、「40パーセントオフ」セールを広告していたが、定価や製品仕様が異なるため比較が困難だった。Hearthlineの顧客調査によれば、多くの買い物客はプロモーションが現れるまで購入を先延ばしにしていた。</w:t>
      </w:r>
    </w:p>
    <w:p>
      <w:pPr>
        <w:pStyle w:val="BodyText"/>
      </w:pPr>
      <w:r>
        <w:rPr>
          <w:rFonts w:hint="eastAsia"/>
        </w:rPr>
        <w:t xml:space="preserve">Marquezは全社的な「Furnish</w:t>
      </w:r>
      <w:r>
        <w:t xml:space="preserve"> the </w:t>
      </w:r>
      <w:r>
        <w:rPr>
          <w:rFonts w:hint="eastAsia"/>
        </w:rPr>
        <w:t xml:space="preserve">Room」イベントを検討していた。ソファと補完的な2点を購入する顧客には15パーセントのパッケージ割引と送料無料が提供されるというものだった。この施策は平均注文金額を増やし、アクセサリーの販売を後押しする可能性があった。しかし、割引なしでも売れたかもしれない製品のマージンを低下させ、ホリデー直前に配送の混雑を引き起こす可能性もあった。</w:t>
      </w:r>
    </w:p>
    <w:bookmarkStart w:id="14" w:name="図-3.-提案された需要施策"/>
    <w:p>
      <w:pPr>
        <w:pStyle w:val="Heading2"/>
      </w:pPr>
      <w:r>
        <w:rPr>
          <w:rFonts w:hint="eastAsia"/>
        </w:rPr>
        <w:t xml:space="preserve">図</w:t>
      </w:r>
      <w:r>
        <w:t xml:space="preserve"> 3. </w:t>
      </w:r>
      <w:r>
        <w:rPr>
          <w:rFonts w:hint="eastAsia"/>
        </w:rPr>
        <w:t xml:space="preserve">提案された需要施策</w:t>
      </w:r>
    </w:p>
    <w:tbl>
      <w:tblPr>
        <w:tblStyle w:val="Table"/>
        <w:tblW w:type="pct" w:w="4918"/>
        <w:tblLayout w:type="fixed"/>
        <w:tblLook w:firstRow="1" w:lastRow="0" w:firstColumn="0" w:lastColumn="0" w:noHBand="0" w:noVBand="0" w:val="0020"/>
      </w:tblPr>
      <w:tblGrid>
        <w:gridCol w:w="1882"/>
        <w:gridCol w:w="1233"/>
        <w:gridCol w:w="2012"/>
        <w:gridCol w:w="2661"/>
      </w:tblGrid>
      <w:tr>
        <w:trPr>
          <w:tblHeader w:val="on"/>
        </w:trPr>
        <w:tc>
          <w:tcPr/>
          <w:p>
            <w:pPr>
              <w:pStyle w:val="Compact"/>
              <w:jc w:val="left"/>
            </w:pPr>
            <w:r>
              <w:rPr>
                <w:rFonts w:hint="eastAsia"/>
              </w:rPr>
              <w:t xml:space="preserve">施策</w:t>
            </w:r>
          </w:p>
        </w:tc>
        <w:tc>
          <w:tcPr/>
          <w:p>
            <w:pPr>
              <w:pStyle w:val="Compact"/>
              <w:jc w:val="center"/>
            </w:pPr>
            <w:r>
              <w:rPr>
                <w:rFonts w:hint="eastAsia"/>
              </w:rPr>
              <w:t xml:space="preserve">4ヶ月間のコスト</w:t>
            </w:r>
          </w:p>
        </w:tc>
        <w:tc>
          <w:tcPr/>
          <w:p>
            <w:pPr>
              <w:pStyle w:val="Compact"/>
              <w:jc w:val="center"/>
            </w:pPr>
            <w:r>
              <w:rPr>
                <w:rFonts w:hint="eastAsia"/>
              </w:rPr>
              <w:t xml:space="preserve">想定リーチ</w:t>
            </w:r>
          </w:p>
        </w:tc>
        <w:tc>
          <w:tcPr/>
          <w:p>
            <w:pPr>
              <w:pStyle w:val="Compact"/>
              <w:jc w:val="center"/>
            </w:pPr>
            <w:r>
              <w:rPr>
                <w:rFonts w:hint="eastAsia"/>
              </w:rPr>
              <w:t xml:space="preserve">主な懸念事項</w:t>
            </w:r>
          </w:p>
        </w:tc>
      </w:tr>
      <w:tr>
        <w:tc>
          <w:tcPr/>
          <w:p>
            <w:pPr>
              <w:pStyle w:val="Compact"/>
              <w:jc w:val="left"/>
            </w:pPr>
            <w:r>
              <w:rPr>
                <w:rFonts w:hint="eastAsia"/>
              </w:rPr>
              <w:t xml:space="preserve">有料検索の拡大</w:t>
            </w:r>
          </w:p>
        </w:tc>
        <w:tc>
          <w:tcPr/>
          <w:p>
            <w:pPr>
              <w:pStyle w:val="Compact"/>
              <w:jc w:val="center"/>
            </w:pPr>
            <w:r>
              <w:rPr>
                <w:rFonts w:hint="eastAsia"/>
              </w:rPr>
              <w:t xml:space="preserve">160万ドル</w:t>
            </w:r>
          </w:p>
        </w:tc>
        <w:tc>
          <w:tcPr/>
          <w:p>
            <w:pPr>
              <w:pStyle w:val="Compact"/>
              <w:jc w:val="center"/>
            </w:pPr>
            <w:r>
              <w:rPr>
                <w:rFonts w:hint="eastAsia"/>
              </w:rPr>
              <w:t xml:space="preserve">購買意欲の高い買い物客</w:t>
            </w:r>
          </w:p>
        </w:tc>
        <w:tc>
          <w:tcPr/>
          <w:p>
            <w:pPr>
              <w:pStyle w:val="Compact"/>
              <w:jc w:val="center"/>
            </w:pPr>
            <w:r>
              <w:rPr>
                <w:rFonts w:hint="eastAsia"/>
              </w:rPr>
              <w:t xml:space="preserve">オークションコストと競合の対応</w:t>
            </w:r>
          </w:p>
        </w:tc>
      </w:tr>
      <w:tr>
        <w:tc>
          <w:tcPr/>
          <w:p>
            <w:pPr>
              <w:pStyle w:val="Compact"/>
              <w:jc w:val="left"/>
            </w:pPr>
            <w:r>
              <w:rPr>
                <w:rFonts w:hint="eastAsia"/>
              </w:rPr>
              <w:t xml:space="preserve">ソーシャル動画+インフルエンサ</w:t>
            </w:r>
          </w:p>
        </w:tc>
        <w:tc>
          <w:tcPr/>
          <w:p>
            <w:pPr>
              <w:pStyle w:val="Compact"/>
              <w:jc w:val="center"/>
            </w:pPr>
            <w:r>
              <w:t xml:space="preserve">ー </w:t>
            </w:r>
            <w:r>
              <w:rPr>
                <w:rFonts w:hint="eastAsia"/>
              </w:rPr>
              <w:t xml:space="preserve">120万ドル</w:t>
            </w:r>
          </w:p>
        </w:tc>
        <w:tc>
          <w:tcPr/>
          <w:p>
            <w:pPr>
              <w:pStyle w:val="Compact"/>
              <w:jc w:val="center"/>
            </w:pPr>
            <w:r>
              <w:rPr>
                <w:rFonts w:hint="eastAsia"/>
              </w:rPr>
              <w:t xml:space="preserve">スタイル志向の高い世帯</w:t>
            </w:r>
          </w:p>
        </w:tc>
        <w:tc>
          <w:tcPr/>
          <w:p>
            <w:pPr>
              <w:pStyle w:val="Compact"/>
              <w:jc w:val="center"/>
            </w:pPr>
            <w:r>
              <w:rPr>
                <w:rFonts w:hint="eastAsia"/>
              </w:rPr>
              <w:t xml:space="preserve">視聴が購入に結びつかない可能性</w:t>
            </w:r>
          </w:p>
        </w:tc>
      </w:tr>
      <w:tr>
        <w:tc>
          <w:tcPr/>
          <w:p>
            <w:pPr>
              <w:pStyle w:val="Compact"/>
              <w:jc w:val="left"/>
            </w:pPr>
            <w:r>
              <w:rPr>
                <w:rFonts w:hint="eastAsia"/>
              </w:rPr>
              <w:t xml:space="preserve">地域テレビ広告</w:t>
            </w:r>
          </w:p>
        </w:tc>
        <w:tc>
          <w:tcPr/>
          <w:p>
            <w:pPr>
              <w:pStyle w:val="Compact"/>
              <w:jc w:val="center"/>
            </w:pPr>
            <w:r>
              <w:rPr>
                <w:rFonts w:hint="eastAsia"/>
              </w:rPr>
              <w:t xml:space="preserve">150万ドル</w:t>
            </w:r>
          </w:p>
        </w:tc>
        <w:tc>
          <w:tcPr/>
          <w:p>
            <w:pPr>
              <w:pStyle w:val="Compact"/>
              <w:jc w:val="center"/>
            </w:pPr>
            <w:r>
              <w:rPr>
                <w:rFonts w:hint="eastAsia"/>
              </w:rPr>
              <w:t xml:space="preserve">広範な地域認知</w:t>
            </w:r>
          </w:p>
        </w:tc>
        <w:tc>
          <w:tcPr/>
          <w:p>
            <w:pPr>
              <w:pStyle w:val="Compact"/>
              <w:jc w:val="center"/>
            </w:pPr>
            <w:r>
              <w:rPr>
                <w:rFonts w:hint="eastAsia"/>
              </w:rPr>
              <w:t xml:space="preserve">弱い帰属分析とスピルオーバー</w:t>
            </w:r>
          </w:p>
        </w:tc>
      </w:tr>
      <w:tr>
        <w:tc>
          <w:tcPr/>
          <w:p>
            <w:pPr>
              <w:pStyle w:val="Compact"/>
              <w:jc w:val="left"/>
            </w:pPr>
            <w:r>
              <w:t xml:space="preserve">ダイレクトメール ルームパッケ</w:t>
            </w:r>
          </w:p>
        </w:tc>
        <w:tc>
          <w:tcPr/>
          <w:p>
            <w:pPr>
              <w:pStyle w:val="Compact"/>
              <w:jc w:val="center"/>
            </w:pPr>
            <w:r>
              <w:t xml:space="preserve">ージ </w:t>
            </w:r>
            <w:r>
              <w:rPr>
                <w:rFonts w:hint="eastAsia"/>
              </w:rPr>
              <w:t xml:space="preserve">70万ドル</w:t>
            </w:r>
          </w:p>
        </w:tc>
        <w:tc>
          <w:tcPr/>
          <w:p>
            <w:pPr>
              <w:pStyle w:val="Compact"/>
              <w:jc w:val="center"/>
            </w:pPr>
            <w:r>
              <w:rPr>
                <w:rFonts w:hint="eastAsia"/>
              </w:rPr>
              <w:t xml:space="preserve">店舗近隣の既知世帯</w:t>
            </w:r>
          </w:p>
        </w:tc>
        <w:tc>
          <w:tcPr/>
          <w:p>
            <w:pPr>
              <w:pStyle w:val="Compact"/>
              <w:jc w:val="center"/>
            </w:pPr>
            <w:r>
              <w:rPr>
                <w:rFonts w:hint="eastAsia"/>
              </w:rPr>
              <w:t xml:space="preserve">既存顧客への偏りの可能性</w:t>
            </w:r>
          </w:p>
        </w:tc>
      </w:tr>
      <w:tr>
        <w:tc>
          <w:tcPr/>
          <w:p>
            <w:pPr>
              <w:pStyle w:val="Compact"/>
              <w:jc w:val="left"/>
            </w:pPr>
            <w:r>
              <w:rPr>
                <w:rFonts w:hint="eastAsia"/>
              </w:rPr>
              <w:t xml:space="preserve">15%ルームパッケージ割引</w:t>
            </w:r>
          </w:p>
        </w:tc>
        <w:tc>
          <w:tcPr/>
          <w:p>
            <w:pPr>
              <w:pStyle w:val="Compact"/>
              <w:jc w:val="center"/>
            </w:pPr>
            <w:r>
              <w:rPr>
                <w:rFonts w:hint="eastAsia"/>
              </w:rPr>
              <w:t xml:space="preserve">200万～450万ドル*</w:t>
            </w:r>
          </w:p>
        </w:tc>
        <w:tc>
          <w:tcPr/>
          <w:p>
            <w:pPr>
              <w:pStyle w:val="Compact"/>
              <w:jc w:val="center"/>
            </w:pPr>
            <w:r>
              <w:rPr>
                <w:rFonts w:hint="eastAsia"/>
              </w:rPr>
              <w:t xml:space="preserve">購入間近の顧客</w:t>
            </w:r>
          </w:p>
        </w:tc>
        <w:tc>
          <w:tcPr/>
          <w:p>
            <w:pPr>
              <w:pStyle w:val="Compact"/>
              <w:jc w:val="center"/>
            </w:pPr>
            <w:r>
              <w:rPr>
                <w:rFonts w:hint="eastAsia"/>
              </w:rPr>
              <w:t xml:space="preserve">マージン損失と需要急増</w:t>
            </w:r>
          </w:p>
        </w:tc>
      </w:tr>
      <w:tr>
        <w:tc>
          <w:tcPr/>
          <w:p>
            <w:pPr>
              <w:pStyle w:val="Compact"/>
              <w:jc w:val="left"/>
            </w:pPr>
            <w:r>
              <w:t xml:space="preserve">ウェブサイトA/Bテスト</w:t>
            </w:r>
          </w:p>
        </w:tc>
        <w:tc>
          <w:tcPr/>
          <w:p>
            <w:pPr>
              <w:pStyle w:val="Compact"/>
              <w:jc w:val="center"/>
            </w:pPr>
            <w:r>
              <w:rPr>
                <w:rFonts w:hint="eastAsia"/>
              </w:rPr>
              <w:t xml:space="preserve">45万ドル</w:t>
            </w:r>
          </w:p>
        </w:tc>
        <w:tc>
          <w:tcPr/>
          <w:p>
            <w:pPr>
              <w:pStyle w:val="Compact"/>
              <w:jc w:val="center"/>
            </w:pPr>
            <w:r>
              <w:rPr>
                <w:rFonts w:hint="eastAsia"/>
              </w:rPr>
              <w:t xml:space="preserve">全デジタル訪問者</w:t>
            </w:r>
          </w:p>
        </w:tc>
        <w:tc>
          <w:tcPr/>
          <w:p>
            <w:pPr>
              <w:pStyle w:val="Compact"/>
              <w:jc w:val="center"/>
            </w:pPr>
            <w:r>
              <w:rPr>
                <w:rFonts w:hint="eastAsia"/>
              </w:rPr>
              <w:t xml:space="preserve">ピークシーズン後に学びが得られる可能性</w:t>
            </w:r>
          </w:p>
        </w:tc>
      </w:tr>
      <w:tr>
        <w:tc>
          <w:tcPr/>
          <w:p>
            <w:pPr>
              <w:pStyle w:val="Compact"/>
              <w:jc w:val="left"/>
            </w:pPr>
            <w:r>
              <w:rPr>
                <w:rFonts w:hint="eastAsia"/>
              </w:rPr>
              <w:t xml:space="preserve">週末店舗人員配置</w:t>
            </w:r>
          </w:p>
        </w:tc>
        <w:tc>
          <w:tcPr/>
          <w:p>
            <w:pPr>
              <w:pStyle w:val="Compact"/>
              <w:jc w:val="center"/>
            </w:pPr>
            <w:r>
              <w:rPr>
                <w:rFonts w:hint="eastAsia"/>
              </w:rPr>
              <w:t xml:space="preserve">85万ドル</w:t>
            </w:r>
          </w:p>
        </w:tc>
        <w:tc>
          <w:tcPr/>
          <w:p>
            <w:pPr>
              <w:pStyle w:val="Compact"/>
              <w:jc w:val="center"/>
            </w:pPr>
            <w:r>
              <w:rPr>
                <w:rFonts w:hint="eastAsia"/>
              </w:rPr>
              <w:t xml:space="preserve">来店客</w:t>
            </w:r>
          </w:p>
        </w:tc>
        <w:tc>
          <w:tcPr/>
          <w:p>
            <w:pPr>
              <w:pStyle w:val="Compact"/>
              <w:jc w:val="center"/>
            </w:pPr>
            <w:r>
              <w:rPr>
                <w:rFonts w:hint="eastAsia"/>
              </w:rPr>
              <w:t xml:space="preserve">採用・研修の遅延</w:t>
            </w:r>
          </w:p>
        </w:tc>
      </w:tr>
    </w:tbl>
    <w:p>
      <w:pPr>
        <w:pStyle w:val="BodyText"/>
      </w:pPr>
      <w:r>
        <w:rPr>
          <w:rFonts w:hint="eastAsia"/>
        </w:rPr>
        <w:t xml:space="preserve">*推定売上減少額は参加率と代替購買行動に依存する。</w:t>
      </w:r>
    </w:p>
    <w:bookmarkEnd w:id="14"/>
    <w:bookmarkEnd w:id="15"/>
    <w:bookmarkStart w:id="17" w:name="デジタルシグナルと不完全な学習"/>
    <w:p>
      <w:pPr>
        <w:pStyle w:val="Heading1"/>
      </w:pPr>
      <w:r>
        <w:rPr>
          <w:rFonts w:hint="eastAsia"/>
        </w:rPr>
        <w:t xml:space="preserve">デジタルシグナルと不完全な学習</w:t>
      </w:r>
    </w:p>
    <w:p>
      <w:pPr>
        <w:pStyle w:val="FirstParagraph"/>
      </w:pPr>
      <w:r>
        <w:rPr>
          <w:rFonts w:hint="eastAsia"/>
        </w:rPr>
        <w:t xml:space="preserve">Hearthlineは検索、クリック、商品ページ閲覧、保存済みルーム、カート追加、ファイナンシング申込、チャットセッション、カート放棄といった何百万ものデジタル観測値を収集していた。しかし、そのデータが何を意味するかについて経営陣の見解は一致しなかった。ページビューの多いコレクションは強い関心を示しているかもしれないし――寸法、色、配送についての混乱を示しているだけかもしれなかった。高い直帰率は、魅力のないページ、不適切な価格、あるいは必要な情報をすぐに見つけた顧客を反映しているかもしれなかった。</w:t>
      </w:r>
    </w:p>
    <w:p>
      <w:pPr>
        <w:pStyle w:val="BodyText"/>
      </w:pPr>
      <w:r>
        <w:rPr>
          <w:rFonts w:hint="eastAsia"/>
        </w:rPr>
        <w:t xml:space="preserve">分析チームは一連の管理された実験を提案した。異なる訪問者に別々のページレイアウト、配送メッセージ、ファイナンシングオファー、または商品レコメンデーションを見せることができた。選定された店舗では異なるルームパッケージと価格設定をテストできた。しかし、これらのテストはトラフィックを消費し、一貫性のない顧客体験のリスクを生み、地域やシーズンをまたいで転用できない結果を生む可能性があった。</w:t>
      </w:r>
    </w:p>
    <w:bookmarkStart w:id="16" w:name="図-4.-8月のデジタルファネル"/>
    <w:p>
      <w:pPr>
        <w:pStyle w:val="Heading2"/>
      </w:pPr>
      <w:r>
        <w:rPr>
          <w:rFonts w:hint="eastAsia"/>
        </w:rPr>
        <w:t xml:space="preserve">図</w:t>
      </w:r>
      <w:r>
        <w:t xml:space="preserve"> 4. </w:t>
      </w:r>
      <w:r>
        <w:rPr>
          <w:rFonts w:hint="eastAsia"/>
        </w:rPr>
        <w:t xml:space="preserve">8月のデジタルファネル</w:t>
      </w:r>
    </w:p>
    <w:tbl>
      <w:tblPr>
        <w:tblStyle w:val="Table"/>
        <w:tblW w:type="pct" w:w="4917"/>
        <w:tblLayout w:type="fixed"/>
        <w:tblLook w:firstRow="1" w:lastRow="0" w:firstColumn="0" w:lastColumn="0" w:noHBand="0" w:noVBand="0" w:val="0020"/>
      </w:tblPr>
      <w:tblGrid>
        <w:gridCol w:w="2029"/>
        <w:gridCol w:w="1112"/>
        <w:gridCol w:w="1570"/>
        <w:gridCol w:w="3076"/>
      </w:tblGrid>
      <w:tr>
        <w:trPr>
          <w:tblHeader w:val="on"/>
        </w:trPr>
        <w:tc>
          <w:tcPr/>
          <w:p>
            <w:pPr>
              <w:pStyle w:val="Compact"/>
              <w:jc w:val="left"/>
            </w:pPr>
            <w:r>
              <w:rPr>
                <w:rFonts w:hint="eastAsia"/>
              </w:rPr>
              <w:t xml:space="preserve">段階</w:t>
            </w:r>
          </w:p>
        </w:tc>
        <w:tc>
          <w:tcPr/>
          <w:p>
            <w:pPr>
              <w:pStyle w:val="Compact"/>
              <w:jc w:val="center"/>
            </w:pPr>
            <w:r>
              <w:rPr>
                <w:rFonts w:hint="eastAsia"/>
              </w:rPr>
              <w:t xml:space="preserve">月間ボリューム</w:t>
            </w:r>
          </w:p>
        </w:tc>
        <w:tc>
          <w:tcPr/>
          <w:p>
            <w:pPr>
              <w:pStyle w:val="Compact"/>
              <w:jc w:val="center"/>
            </w:pPr>
            <w:r>
              <w:rPr>
                <w:rFonts w:hint="eastAsia"/>
              </w:rPr>
              <w:t xml:space="preserve">前段階からの遷移率</w:t>
            </w:r>
          </w:p>
        </w:tc>
        <w:tc>
          <w:tcPr/>
          <w:p>
            <w:pPr>
              <w:pStyle w:val="Compact"/>
              <w:jc w:val="center"/>
            </w:pPr>
            <w:r>
              <w:rPr>
                <w:rFonts w:hint="eastAsia"/>
              </w:rPr>
              <w:t xml:space="preserve">観測されたばらつき</w:t>
            </w:r>
          </w:p>
        </w:tc>
      </w:tr>
      <w:tr>
        <w:tc>
          <w:tcPr/>
          <w:p>
            <w:pPr>
              <w:pStyle w:val="Compact"/>
              <w:jc w:val="left"/>
            </w:pPr>
            <w:r>
              <w:t xml:space="preserve">ウェブサイトセッション</w:t>
            </w:r>
          </w:p>
        </w:tc>
        <w:tc>
          <w:tcPr/>
          <w:p>
            <w:pPr>
              <w:pStyle w:val="Compact"/>
              <w:jc w:val="center"/>
            </w:pPr>
            <w:r>
              <w:t xml:space="preserve">3,840,000</w:t>
            </w:r>
          </w:p>
        </w:tc>
        <w:tc>
          <w:tcPr/>
          <w:p>
            <w:pPr>
              <w:pStyle w:val="Compact"/>
              <w:jc w:val="center"/>
            </w:pPr>
            <w:r>
              <w:t xml:space="preserve">―</w:t>
            </w:r>
          </w:p>
        </w:tc>
        <w:tc>
          <w:tcPr/>
          <w:p>
            <w:pPr>
              <w:pStyle w:val="Compact"/>
              <w:jc w:val="center"/>
            </w:pPr>
            <w:r>
              <w:rPr>
                <w:rFonts w:hint="eastAsia"/>
              </w:rPr>
              <w:t xml:space="preserve">週ごとに±18%</w:t>
            </w:r>
          </w:p>
        </w:tc>
      </w:tr>
      <w:tr>
        <w:tc>
          <w:tcPr/>
          <w:p>
            <w:pPr>
              <w:pStyle w:val="Compact"/>
              <w:jc w:val="left"/>
            </w:pPr>
            <w:r>
              <w:rPr>
                <w:rFonts w:hint="eastAsia"/>
              </w:rPr>
              <w:t xml:space="preserve">商品詳細ページ閲覧</w:t>
            </w:r>
          </w:p>
        </w:tc>
        <w:tc>
          <w:tcPr/>
          <w:p>
            <w:pPr>
              <w:pStyle w:val="Compact"/>
              <w:jc w:val="center"/>
            </w:pPr>
            <w:r>
              <w:t xml:space="preserve">2,110,000</w:t>
            </w:r>
          </w:p>
        </w:tc>
        <w:tc>
          <w:tcPr/>
          <w:p>
            <w:pPr>
              <w:pStyle w:val="Compact"/>
              <w:jc w:val="center"/>
            </w:pPr>
            <w:r>
              <w:t xml:space="preserve">55.0%</w:t>
            </w:r>
          </w:p>
        </w:tc>
        <w:tc>
          <w:tcPr/>
          <w:p>
            <w:pPr>
              <w:pStyle w:val="Compact"/>
              <w:jc w:val="center"/>
            </w:pPr>
            <w:r>
              <w:rPr>
                <w:rFonts w:hint="eastAsia"/>
              </w:rPr>
              <w:t xml:space="preserve">家具カテゴリーとトラフィック源による</w:t>
            </w:r>
          </w:p>
        </w:tc>
      </w:tr>
      <w:tr>
        <w:tc>
          <w:tcPr/>
          <w:p>
            <w:pPr>
              <w:pStyle w:val="Compact"/>
              <w:jc w:val="left"/>
            </w:pPr>
            <w:r>
              <w:rPr>
                <w:rFonts w:hint="eastAsia"/>
              </w:rPr>
              <w:t xml:space="preserve">ルームプランナー/保存済み商品</w:t>
            </w:r>
          </w:p>
        </w:tc>
        <w:tc>
          <w:tcPr/>
          <w:p>
            <w:pPr>
              <w:pStyle w:val="Compact"/>
              <w:jc w:val="center"/>
            </w:pPr>
            <w:r>
              <w:t xml:space="preserve">286,000</w:t>
            </w:r>
          </w:p>
        </w:tc>
        <w:tc>
          <w:tcPr/>
          <w:p>
            <w:pPr>
              <w:pStyle w:val="Compact"/>
              <w:jc w:val="center"/>
            </w:pPr>
            <w:r>
              <w:t xml:space="preserve">13.6%</w:t>
            </w:r>
          </w:p>
        </w:tc>
        <w:tc>
          <w:tcPr/>
          <w:p>
            <w:pPr>
              <w:pStyle w:val="Compact"/>
              <w:jc w:val="center"/>
            </w:pPr>
            <w:r>
              <w:rPr>
                <w:rFonts w:hint="eastAsia"/>
              </w:rPr>
              <w:t xml:space="preserve">モジュラーシーティングでは大幅に高い</w:t>
            </w:r>
          </w:p>
        </w:tc>
      </w:tr>
      <w:tr>
        <w:tc>
          <w:tcPr/>
          <w:p>
            <w:pPr>
              <w:pStyle w:val="Compact"/>
              <w:jc w:val="left"/>
            </w:pPr>
            <w:r>
              <w:rPr>
                <w:rFonts w:hint="eastAsia"/>
              </w:rPr>
              <w:t xml:space="preserve">カートまたは見積もり開始</w:t>
            </w:r>
          </w:p>
        </w:tc>
        <w:tc>
          <w:tcPr/>
          <w:p>
            <w:pPr>
              <w:pStyle w:val="Compact"/>
              <w:jc w:val="center"/>
            </w:pPr>
            <w:r>
              <w:t xml:space="preserve">93,400</w:t>
            </w:r>
          </w:p>
        </w:tc>
        <w:tc>
          <w:tcPr/>
          <w:p>
            <w:pPr>
              <w:pStyle w:val="Compact"/>
              <w:jc w:val="center"/>
            </w:pPr>
            <w:r>
              <w:t xml:space="preserve">32.7%</w:t>
            </w:r>
          </w:p>
        </w:tc>
        <w:tc>
          <w:tcPr/>
          <w:p>
            <w:pPr>
              <w:pStyle w:val="Compact"/>
              <w:jc w:val="center"/>
            </w:pPr>
            <w:r>
              <w:rPr>
                <w:rFonts w:hint="eastAsia"/>
              </w:rPr>
              <w:t xml:space="preserve">配送が8週間を超えると急落</w:t>
            </w:r>
          </w:p>
        </w:tc>
      </w:tr>
      <w:tr>
        <w:tc>
          <w:tcPr/>
          <w:p>
            <w:pPr>
              <w:pStyle w:val="Compact"/>
              <w:jc w:val="left"/>
            </w:pPr>
            <w:r>
              <w:rPr>
                <w:rFonts w:hint="eastAsia"/>
              </w:rPr>
              <w:t xml:space="preserve">注文完了</w:t>
            </w:r>
          </w:p>
        </w:tc>
        <w:tc>
          <w:tcPr/>
          <w:p>
            <w:pPr>
              <w:pStyle w:val="Compact"/>
              <w:jc w:val="center"/>
            </w:pPr>
            <w:r>
              <w:t xml:space="preserve">59,100</w:t>
            </w:r>
          </w:p>
        </w:tc>
        <w:tc>
          <w:tcPr/>
          <w:p>
            <w:pPr>
              <w:pStyle w:val="Compact"/>
              <w:jc w:val="center"/>
            </w:pPr>
            <w:r>
              <w:t xml:space="preserve">63.3%</w:t>
            </w:r>
          </w:p>
        </w:tc>
        <w:tc>
          <w:tcPr/>
          <w:p>
            <w:pPr>
              <w:pStyle w:val="Compact"/>
              <w:jc w:val="center"/>
            </w:pPr>
            <w:r>
              <w:rPr>
                <w:rFonts w:hint="eastAsia"/>
              </w:rPr>
              <w:t xml:space="preserve">ファイナンシング審査に敏感</w:t>
            </w:r>
          </w:p>
        </w:tc>
      </w:tr>
      <w:tr>
        <w:tc>
          <w:tcPr/>
          <w:p>
            <w:pPr>
              <w:pStyle w:val="Compact"/>
              <w:jc w:val="left"/>
            </w:pPr>
            <w:r>
              <w:rPr>
                <w:rFonts w:hint="eastAsia"/>
              </w:rPr>
              <w:t xml:space="preserve">14日後も維持された注文</w:t>
            </w:r>
          </w:p>
        </w:tc>
        <w:tc>
          <w:tcPr/>
          <w:p>
            <w:pPr>
              <w:pStyle w:val="Compact"/>
              <w:jc w:val="center"/>
            </w:pPr>
            <w:r>
              <w:t xml:space="preserve">54,800</w:t>
            </w:r>
          </w:p>
        </w:tc>
        <w:tc>
          <w:tcPr/>
          <w:p>
            <w:pPr>
              <w:pStyle w:val="Compact"/>
              <w:jc w:val="center"/>
            </w:pPr>
            <w:r>
              <w:t xml:space="preserve">92.7%</w:t>
            </w:r>
          </w:p>
        </w:tc>
        <w:tc>
          <w:tcPr/>
          <w:p>
            <w:pPr>
              <w:pStyle w:val="Compact"/>
              <w:jc w:val="center"/>
            </w:pPr>
            <w:r>
              <w:rPr>
                <w:rFonts w:hint="eastAsia"/>
              </w:rPr>
              <w:t xml:space="preserve">キャンセルは遅延注文に集中</w:t>
            </w:r>
          </w:p>
        </w:tc>
      </w:tr>
    </w:tbl>
    <w:p>
      <w:pPr>
        <w:pStyle w:val="BodyText"/>
      </w:pPr>
      <w:r>
        <w:rPr>
          <w:rFonts w:hint="eastAsia"/>
        </w:rPr>
        <w:t xml:space="preserve">最高情報責任者(CIO)は過信を戒めた。顧客の身元は店舗、ウェブサイト、ファイナンシングシステムにまたがって断片化されていた。オンラインで調べても配偶者名義で店舗にて購入する世帯もあった。広告プラットフォームは異なる帰属期間を用いてコンバージョンを報告していた。店舗マネージャーは時間節約のため汎用の顧客プロファイルで注文を入力することもあった。あるキャンペーンが、あるシステムでは成功しているように見え、別のシステムでは失敗しているように見えることもあった。</w:t>
      </w:r>
    </w:p>
    <w:bookmarkEnd w:id="16"/>
    <w:bookmarkEnd w:id="17"/>
    <w:bookmarkStart w:id="18" w:name="店舗人そして現場の判断"/>
    <w:p>
      <w:pPr>
        <w:pStyle w:val="Heading1"/>
      </w:pPr>
      <w:r>
        <w:rPr>
          <w:rFonts w:hint="eastAsia"/>
        </w:rPr>
        <w:t xml:space="preserve">店舗、人、そして現場の判断</w:t>
      </w:r>
    </w:p>
    <w:p>
      <w:pPr>
        <w:pStyle w:val="FirstParagraph"/>
      </w:pPr>
      <w:r>
        <w:rPr>
          <w:rFonts w:hint="eastAsia"/>
        </w:rPr>
        <w:t xml:space="preserve">店舗の人員は、コストであると同時に需要を左右するレバーでもあった。経験豊富な販売員は、顧客がスタイルを組み合わせ、生地の選択について説明し、ファイナンシングを手配し、配送に関する期待値を設定するのを助けていた。新人販売員が生産的になるには数ヶ月を要した。しかしすべての店舗をピークトラフィックに合わせて人員配置することは高コストであり、来店客数は天候、地域イベント、競合のプロモーションによって変動した。</w:t>
      </w:r>
    </w:p>
    <w:p>
      <w:pPr>
        <w:pStyle w:val="BodyText"/>
      </w:pPr>
      <w:r>
        <w:rPr>
          <w:rFonts w:hint="eastAsia"/>
        </w:rPr>
        <w:t xml:space="preserve">地域担当副社長たちは、人員配置、陳列、プロモーション、地域メディアを調整する裁量を求めた。本社は一貫した実験と比較可能な結果を求めた。あるマネージャーは、大きなショールームを持つ郊外店舗でテストされたプロモーションは、顧客が配送とデジタルビジュアライゼーションにより強く依存する都市部のショールームとは比較できないと指摘した。</w:t>
      </w:r>
    </w:p>
    <w:bookmarkEnd w:id="18"/>
    <w:bookmarkStart w:id="19" w:name="需要決定の背後にある供給制約"/>
    <w:p>
      <w:pPr>
        <w:pStyle w:val="Heading1"/>
      </w:pPr>
      <w:r>
        <w:rPr>
          <w:rFonts w:hint="eastAsia"/>
        </w:rPr>
        <w:t xml:space="preserve">需要決定の背後にある供給制約</w:t>
      </w:r>
    </w:p>
    <w:p>
      <w:pPr>
        <w:pStyle w:val="FirstParagraph"/>
      </w:pPr>
      <w:r>
        <w:rPr>
          <w:rFonts w:hint="eastAsia"/>
        </w:rPr>
        <w:t xml:space="preserve">Marquezの任務は需要に関するものであったが、彼女は製品フローを無視することはできなかった。Solaceコレクションの最も売れているコーナーユニットは、張り地サプライヤーのところで遅延していた。Aldenダイニングセットは物流センターのスロットを埋めていた。輸入ベッドルームコンテナ2件は港湾混雑のため3週間遅れる見込みだった。成功したキャンペーンは、企業が配送できない製品を宣伝すれば、顧客サービスをかえって悪化させる可能性があった。</w:t>
      </w:r>
    </w:p>
    <w:p>
      <w:pPr>
        <w:pStyle w:val="BodyText"/>
      </w:pPr>
      <w:r>
        <w:rPr>
          <w:rFonts w:hint="eastAsia"/>
        </w:rPr>
        <w:t xml:space="preserve">サプライチェーンチームは、少なくとも8週間分の在庫がある品目のみをマーケティング対象とすることを推奨した。マーチャンダイジングは、そのようなルールは動きの遅い製品を優遇し、ブランドの盛り上がりを生み出しているまさにそのコレクションを抑制することになると反対した。財務は過剰在庫品を積極的に値引きすることを提案した。ブランドマネジメントは、繰り返しの値引きがHearthlineの中上級ポジショニングを弱めることを懸念した。</w:t>
      </w:r>
    </w:p>
    <w:bookmarkEnd w:id="19"/>
    <w:bookmarkStart w:id="21" w:name="ホリデーシーズン前の決定"/>
    <w:p>
      <w:pPr>
        <w:pStyle w:val="Heading1"/>
      </w:pPr>
      <w:r>
        <w:rPr>
          <w:rFonts w:hint="eastAsia"/>
        </w:rPr>
        <w:t xml:space="preserve">ホリデーシーズン前の決定</w:t>
      </w:r>
    </w:p>
    <w:p>
      <w:pPr>
        <w:pStyle w:val="FirstParagraph"/>
      </w:pPr>
      <w:r>
        <w:rPr>
          <w:rFonts w:hint="eastAsia"/>
        </w:rPr>
        <w:t xml:space="preserve">Marquezはこの問題を3つの大きなアプローチに整理した。ただしこれらは、より小さな補完的な行動を排除するものではなかった。</w:t>
      </w:r>
    </w:p>
    <w:p>
      <w:pPr>
        <w:pStyle w:val="BodyText"/>
      </w:pPr>
      <w:r>
        <w:rPr>
          <w:rFonts w:hint="eastAsia"/>
        </w:rPr>
        <w:t xml:space="preserve">アプローチA:集中。Hearthlineは可視化される品揃えを削減し、マーケティングを少数のコレクションに集中させ、最も強い市場での週末人員を増やし、利用可能な在庫に合わせた地域キャンペーンを実施する。このアプローチはより明確な実行を約束するが、新たな嗜好を見逃し、検索トラフィックを弱める危険がある。</w:t>
      </w:r>
    </w:p>
    <w:p>
      <w:pPr>
        <w:pStyle w:val="BodyText"/>
      </w:pPr>
      <w:r>
        <w:rPr>
          <w:rFonts w:hint="eastAsia"/>
        </w:rPr>
        <w:t xml:space="preserve">アプローチB:広範なプロモーション。同社は完全な品揃えを維持し、ルームパッケージ割引を全国的に開始し、有料検索とソーシャルメディアを拡大する。この計画は売上を迅速に刺激し、大量の顧客対応データを提供できるが、マージンを犠牲にし、制約のある製品と配送能力を圧迫する可能性がある。</w:t>
      </w:r>
    </w:p>
    <w:p>
      <w:pPr>
        <w:pStyle w:val="BodyText"/>
      </w:pPr>
      <w:r>
        <w:rPr>
          <w:rFonts w:hint="eastAsia"/>
        </w:rPr>
        <w:t xml:space="preserve">アプローチC:実験と学習。Hearthlineは大幅な値引きを制限し、ウェブページ実験、顧客調査、管理された地域テストにより多くの資金を割り当て、結果が得られるまで全国キャンペーンを延期する。このアプローチは今後の意思決定を改善しうるが、企業が自信を持って行動するまでにホリデーシーズンが過ぎてしまうかもしれない。</w:t>
      </w:r>
    </w:p>
    <w:bookmarkStart w:id="20" w:name="図-5.-経営計画シナリオ9月12月"/>
    <w:p>
      <w:pPr>
        <w:pStyle w:val="Heading2"/>
      </w:pPr>
      <w:r>
        <w:rPr>
          <w:rFonts w:hint="eastAsia"/>
        </w:rPr>
        <w:t xml:space="preserve">図</w:t>
      </w:r>
      <w:r>
        <w:t xml:space="preserve"> 5. </w:t>
      </w:r>
      <w:r>
        <w:rPr>
          <w:rFonts w:hint="eastAsia"/>
        </w:rPr>
        <w:t xml:space="preserve">経営計画シナリオ、9月～12月</w:t>
      </w:r>
    </w:p>
    <w:tbl>
      <w:tblPr>
        <w:tblStyle w:val="Table"/>
        <w:tblW w:type="pct" w:w="4907"/>
        <w:tblLayout w:type="fixed"/>
        <w:tblLook w:firstRow="1" w:lastRow="0" w:firstColumn="0" w:lastColumn="0" w:noHBand="0" w:noVBand="0" w:val="0020"/>
      </w:tblPr>
      <w:tblGrid>
        <w:gridCol w:w="2420"/>
        <w:gridCol w:w="880"/>
        <w:gridCol w:w="1100"/>
        <w:gridCol w:w="1393"/>
        <w:gridCol w:w="1980"/>
      </w:tblGrid>
      <w:tr>
        <w:trPr>
          <w:tblHeader w:val="on"/>
        </w:trPr>
        <w:tc>
          <w:tcPr/>
          <w:p>
            <w:pPr>
              <w:pStyle w:val="Compact"/>
            </w:pPr>
            <w:r>
              <w:t xml:space="preserve">シナリオ </w:t>
            </w:r>
            <w:r>
              <w:rPr>
                <w:rFonts w:hint="eastAsia"/>
              </w:rPr>
              <w:t xml:space="preserve">純</w:t>
            </w:r>
          </w:p>
        </w:tc>
        <w:tc>
          <w:tcPr/>
          <w:p>
            <w:pPr>
              <w:pStyle w:val="Compact"/>
            </w:pPr>
            <w:r>
              <w:rPr>
                <w:rFonts w:hint="eastAsia"/>
              </w:rPr>
              <w:t xml:space="preserve">売上高</w:t>
            </w:r>
            <w:r>
              <w:t xml:space="preserve"> </w:t>
            </w:r>
            <w:r>
              <w:rPr>
                <w:rFonts w:hint="eastAsia"/>
              </w:rPr>
              <w:t xml:space="preserve">粗</w:t>
            </w:r>
          </w:p>
        </w:tc>
        <w:tc>
          <w:tcPr/>
          <w:p>
            <w:pPr>
              <w:pStyle w:val="Compact"/>
            </w:pPr>
            <w:r>
              <w:rPr>
                <w:rFonts w:hint="eastAsia"/>
              </w:rPr>
              <w:t xml:space="preserve">利益率</w:t>
            </w:r>
            <w:r>
              <w:t xml:space="preserve"> </w:t>
            </w:r>
            <w:r>
              <w:rPr>
                <w:rFonts w:hint="eastAsia"/>
              </w:rPr>
              <w:t xml:space="preserve">期</w:t>
            </w:r>
          </w:p>
        </w:tc>
        <w:tc>
          <w:tcPr/>
          <w:p>
            <w:pPr>
              <w:pStyle w:val="Compact"/>
            </w:pPr>
            <w:r>
              <w:rPr>
                <w:rFonts w:hint="eastAsia"/>
              </w:rPr>
              <w:t xml:space="preserve">末在庫</w:t>
            </w:r>
            <w:r>
              <w:t xml:space="preserve"> </w:t>
            </w:r>
            <w:r>
              <w:rPr>
                <w:rFonts w:hint="eastAsia"/>
              </w:rPr>
              <w:t xml:space="preserve">遅</w:t>
            </w:r>
          </w:p>
        </w:tc>
        <w:tc>
          <w:tcPr/>
          <w:p>
            <w:pPr>
              <w:pStyle w:val="Compact"/>
              <w:jc w:val="left"/>
            </w:pPr>
            <w:r>
              <w:rPr>
                <w:rFonts w:hint="eastAsia"/>
              </w:rPr>
              <w:t xml:space="preserve">延注文率</w:t>
            </w:r>
          </w:p>
        </w:tc>
      </w:tr>
      <w:tr>
        <w:tc>
          <w:tcPr/>
          <w:p>
            <w:pPr>
              <w:pStyle w:val="Compact"/>
            </w:pPr>
            <w:r>
              <w:rPr>
                <w:rFonts w:hint="eastAsia"/>
              </w:rPr>
              <w:t xml:space="preserve">弱含み市場</w:t>
            </w:r>
          </w:p>
        </w:tc>
        <w:tc>
          <w:tcPr/>
          <w:p>
            <w:pPr>
              <w:pStyle w:val="Compact"/>
            </w:pPr>
            <w:r>
              <w:rPr>
                <w:rFonts w:hint="eastAsia"/>
              </w:rPr>
              <w:t xml:space="preserve">1億3,300万ド</w:t>
            </w:r>
          </w:p>
        </w:tc>
        <w:tc>
          <w:tcPr/>
          <w:p>
            <w:pPr>
              <w:pStyle w:val="Compact"/>
            </w:pPr>
            <w:r>
              <w:t xml:space="preserve">ル 42.0%</w:t>
            </w:r>
          </w:p>
        </w:tc>
        <w:tc>
          <w:tcPr/>
          <w:p>
            <w:pPr>
              <w:pStyle w:val="Compact"/>
            </w:pPr>
            <w:r>
              <w:rPr>
                <w:rFonts w:hint="eastAsia"/>
              </w:rPr>
              <w:t xml:space="preserve">1億1,200万ドル</w:t>
            </w:r>
          </w:p>
        </w:tc>
        <w:tc>
          <w:tcPr/>
          <w:p>
            <w:pPr>
              <w:pStyle w:val="Compact"/>
              <w:jc w:val="left"/>
            </w:pPr>
            <w:r>
              <w:t xml:space="preserve">10%</w:t>
            </w:r>
          </w:p>
        </w:tc>
      </w:tr>
      <w:tr>
        <w:tc>
          <w:tcPr/>
          <w:p>
            <w:pPr>
              <w:pStyle w:val="Compact"/>
            </w:pPr>
            <w:r>
              <w:rPr>
                <w:rFonts w:hint="eastAsia"/>
              </w:rPr>
              <w:t xml:space="preserve">基本予測</w:t>
            </w:r>
          </w:p>
        </w:tc>
        <w:tc>
          <w:tcPr/>
          <w:p>
            <w:pPr>
              <w:pStyle w:val="Compact"/>
            </w:pPr>
            <w:r>
              <w:rPr>
                <w:rFonts w:hint="eastAsia"/>
              </w:rPr>
              <w:t xml:space="preserve">1億5,100万ド</w:t>
            </w:r>
          </w:p>
        </w:tc>
        <w:tc>
          <w:tcPr/>
          <w:p>
            <w:pPr>
              <w:pStyle w:val="Compact"/>
            </w:pPr>
            <w:r>
              <w:t xml:space="preserve">ル 43.5%</w:t>
            </w:r>
          </w:p>
        </w:tc>
        <w:tc>
          <w:tcPr/>
          <w:p>
            <w:pPr>
              <w:pStyle w:val="Compact"/>
            </w:pPr>
            <w:r>
              <w:rPr>
                <w:rFonts w:hint="eastAsia"/>
              </w:rPr>
              <w:t xml:space="preserve">9,400万ドル</w:t>
            </w:r>
          </w:p>
        </w:tc>
        <w:tc>
          <w:tcPr/>
          <w:p>
            <w:pPr>
              <w:pStyle w:val="Compact"/>
              <w:jc w:val="left"/>
            </w:pPr>
            <w:r>
              <w:t xml:space="preserve">13%</w:t>
            </w:r>
          </w:p>
        </w:tc>
      </w:tr>
      <w:tr>
        <w:tc>
          <w:tcPr/>
          <w:p>
            <w:pPr>
              <w:pStyle w:val="Compact"/>
            </w:pPr>
            <w:r>
              <w:rPr>
                <w:rFonts w:hint="eastAsia"/>
              </w:rPr>
              <w:t xml:space="preserve">プロモーション反応</w:t>
            </w:r>
          </w:p>
        </w:tc>
        <w:tc>
          <w:tcPr/>
          <w:p>
            <w:pPr>
              <w:pStyle w:val="Compact"/>
            </w:pPr>
            <w:r>
              <w:rPr>
                <w:rFonts w:hint="eastAsia"/>
              </w:rPr>
              <w:t xml:space="preserve">1億6,900万ド</w:t>
            </w:r>
          </w:p>
        </w:tc>
        <w:tc>
          <w:tcPr/>
          <w:p>
            <w:pPr>
              <w:pStyle w:val="Compact"/>
            </w:pPr>
            <w:r>
              <w:t xml:space="preserve">ル 40.8%</w:t>
            </w:r>
          </w:p>
        </w:tc>
        <w:tc>
          <w:tcPr/>
          <w:p>
            <w:pPr>
              <w:pStyle w:val="Compact"/>
            </w:pPr>
            <w:r>
              <w:rPr>
                <w:rFonts w:hint="eastAsia"/>
              </w:rPr>
              <w:t xml:space="preserve">7,600万ドル</w:t>
            </w:r>
          </w:p>
        </w:tc>
        <w:tc>
          <w:tcPr/>
          <w:p>
            <w:pPr>
              <w:pStyle w:val="Compact"/>
              <w:jc w:val="left"/>
            </w:pPr>
            <w:r>
              <w:t xml:space="preserve">21%</w:t>
            </w:r>
          </w:p>
        </w:tc>
      </w:tr>
      <w:tr>
        <w:tc>
          <w:tcPr/>
          <w:p>
            <w:pPr>
              <w:pStyle w:val="Compact"/>
            </w:pPr>
            <w:r>
              <w:rPr>
                <w:rFonts w:hint="eastAsia"/>
              </w:rPr>
              <w:t xml:space="preserve">Solace/Lumaへのスタイル移行</w:t>
            </w:r>
          </w:p>
        </w:tc>
        <w:tc>
          <w:tcPr/>
          <w:p>
            <w:pPr>
              <w:pStyle w:val="Compact"/>
            </w:pPr>
            <w:r>
              <w:rPr>
                <w:rFonts w:hint="eastAsia"/>
              </w:rPr>
              <w:t xml:space="preserve">1億5,800万ド</w:t>
            </w:r>
          </w:p>
        </w:tc>
        <w:tc>
          <w:tcPr/>
          <w:p>
            <w:pPr>
              <w:pStyle w:val="Compact"/>
            </w:pPr>
            <w:r>
              <w:t xml:space="preserve">ル 44.1%</w:t>
            </w:r>
          </w:p>
        </w:tc>
        <w:tc>
          <w:tcPr/>
          <w:p>
            <w:pPr>
              <w:pStyle w:val="Compact"/>
            </w:pPr>
            <w:r>
              <w:rPr>
                <w:rFonts w:hint="eastAsia"/>
              </w:rPr>
              <w:t xml:space="preserve">1億100万ドル</w:t>
            </w:r>
          </w:p>
        </w:tc>
        <w:tc>
          <w:tcPr/>
          <w:p>
            <w:pPr>
              <w:pStyle w:val="Compact"/>
              <w:jc w:val="left"/>
            </w:pPr>
            <w:r>
              <w:rPr>
                <w:rFonts w:hint="eastAsia"/>
              </w:rPr>
              <w:t xml:space="preserve">制約ラインで27%</w:t>
            </w:r>
          </w:p>
        </w:tc>
      </w:tr>
      <w:tr>
        <w:tc>
          <w:tcPr/>
          <w:p>
            <w:pPr>
              <w:pStyle w:val="Compact"/>
            </w:pPr>
            <w:r>
              <w:rPr>
                <w:rFonts w:hint="eastAsia"/>
              </w:rPr>
              <w:t xml:space="preserve">競合価格戦争</w:t>
            </w:r>
          </w:p>
        </w:tc>
        <w:tc>
          <w:tcPr/>
          <w:p>
            <w:pPr>
              <w:pStyle w:val="Compact"/>
            </w:pPr>
            <w:r>
              <w:rPr>
                <w:rFonts w:hint="eastAsia"/>
              </w:rPr>
              <w:t xml:space="preserve">1億6,200万ド</w:t>
            </w:r>
          </w:p>
        </w:tc>
        <w:tc>
          <w:tcPr/>
          <w:p>
            <w:pPr>
              <w:pStyle w:val="Compact"/>
            </w:pPr>
            <w:r>
              <w:t xml:space="preserve">ル 38.9%</w:t>
            </w:r>
          </w:p>
        </w:tc>
        <w:tc>
          <w:tcPr/>
          <w:p>
            <w:pPr>
              <w:pStyle w:val="Compact"/>
            </w:pPr>
            <w:r>
              <w:rPr>
                <w:rFonts w:hint="eastAsia"/>
              </w:rPr>
              <w:t xml:space="preserve">8,800万ドル</w:t>
            </w:r>
          </w:p>
        </w:tc>
        <w:tc>
          <w:tcPr/>
          <w:p>
            <w:pPr>
              <w:pStyle w:val="Compact"/>
              <w:jc w:val="left"/>
            </w:pPr>
            <w:r>
              <w:t xml:space="preserve">15%</w:t>
            </w:r>
          </w:p>
        </w:tc>
      </w:tr>
    </w:tbl>
    <w:p>
      <w:pPr>
        <w:pStyle w:val="BodyText"/>
      </w:pPr>
      <w:r>
        <w:rPr>
          <w:rFonts w:hint="eastAsia"/>
        </w:rPr>
        <w:t xml:space="preserve">これらのシナリオは確率ではなかった。財務、マーチャンダイジング、サプライチェーン、マーケティングが組み立てた内部的に整合性のあるストーリーだった。各グループは他のグループの前提に異議を唱えた。値引きがどれだけの増分売上を生み出すか、希望する製品が入手できないとき顧客がどのように代替するか、競合他社がどれだけ迅速に対応するかは誰にも分からなかった。</w:t>
      </w:r>
    </w:p>
    <w:bookmarkEnd w:id="20"/>
    <w:bookmarkEnd w:id="21"/>
    <w:bookmarkStart w:id="22" w:name="金曜日の締め切り"/>
    <w:p>
      <w:pPr>
        <w:pStyle w:val="Heading1"/>
      </w:pPr>
      <w:r>
        <w:rPr>
          <w:rFonts w:hint="eastAsia"/>
        </w:rPr>
        <w:t xml:space="preserve">金曜日の締め切り</w:t>
      </w:r>
    </w:p>
    <w:p>
      <w:pPr>
        <w:pStyle w:val="FirstParagraph"/>
      </w:pPr>
      <w:r>
        <w:rPr>
          <w:rFonts w:hint="eastAsia"/>
        </w:rPr>
        <w:t xml:space="preserve">金曜日までに、Marquezは680万ドルの予算をどう配分するか、どの製品と市場を重視するか、全国的なパッケージ割引を承認するかどうか、そしてキャンペーンの前とその期間中にHearthlineがどんな情報を収集すべきかを提言しなければならなかった。最高経営責任者はまた、シーズン中に経営陣が方針を変更すべき条件のリストも求めていた。</w:t>
      </w:r>
    </w:p>
    <w:p>
      <w:pPr>
        <w:pStyle w:val="BodyText"/>
      </w:pPr>
      <w:r>
        <w:rPr>
          <w:rFonts w:hint="eastAsia"/>
        </w:rPr>
        <w:t xml:space="preserve">ダッシュボードを見つめながら、Marquezは、Hearthlineの本当の問題が弱い需要なのか、間違った品揃えなのか、実行力の欠如なのか、長すぎる配送予告なのか、顧客案内の不足なのか、あるいは企業がすでに保有しているシグナルを解釈できないことなのかを考えていた。それぞれの説明は異なる行動を指し示していた。そしてそれぞれの行動は、それを評価するために使われる証拠そのものを変えてしまう可能性があった。</w:t>
      </w:r>
    </w:p>
    <w:bookmarkEnd w:id="22"/>
    <w:bookmarkStart w:id="23" w:name="議論のための質問"/>
    <w:p>
      <w:pPr>
        <w:pStyle w:val="Heading1"/>
      </w:pPr>
      <w:r>
        <w:rPr>
          <w:rFonts w:hint="eastAsia"/>
        </w:rPr>
        <w:t xml:space="preserve">議論のための質問</w:t>
      </w:r>
    </w:p>
    <w:p>
      <w:pPr>
        <w:numPr>
          <w:ilvl w:val="0"/>
          <w:numId w:val="1001"/>
        </w:numPr>
      </w:pPr>
      <w:r>
        <w:rPr>
          <w:rFonts w:hint="eastAsia"/>
        </w:rPr>
        <w:t xml:space="preserve">Marquezが直面している中心的なビジネス上の問題は何か?どの兆候が原因ではなく結果である可能性があるか?</w:t>
      </w:r>
    </w:p>
    <w:p>
      <w:pPr>
        <w:numPr>
          <w:ilvl w:val="0"/>
          <w:numId w:val="1001"/>
        </w:numPr>
      </w:pPr>
      <w:r>
        <w:rPr>
          <w:rFonts w:hint="eastAsia"/>
        </w:rPr>
        <w:t xml:space="preserve">最も人気のある製品が供給制約を受けている可能性がある場合、Hearthlineはどの製品を重視すべきかをどう決定すべきか?</w:t>
      </w:r>
    </w:p>
    <w:p>
      <w:pPr>
        <w:numPr>
          <w:ilvl w:val="0"/>
          <w:numId w:val="1001"/>
        </w:numPr>
      </w:pPr>
      <w:r>
        <w:rPr>
          <w:rFonts w:hint="eastAsia"/>
        </w:rPr>
        <w:t xml:space="preserve">ルームパッケージ割引は全国的に開始すべきか、地域的にテストすべきか、再設計すべきか、それとも却下すべきか?</w:t>
      </w:r>
    </w:p>
    <w:p>
      <w:pPr>
        <w:numPr>
          <w:ilvl w:val="0"/>
          <w:numId w:val="1001"/>
        </w:numPr>
      </w:pPr>
      <w:r>
        <w:rPr>
          <w:rFonts w:hint="eastAsia"/>
        </w:rPr>
        <w:t xml:space="preserve">同社は680万ドルをメディア、値引き、ウェブサイト実験、調査、店舗人員配置にどう配分すべきか?</w:t>
      </w:r>
    </w:p>
    <w:p>
      <w:pPr>
        <w:numPr>
          <w:ilvl w:val="0"/>
          <w:numId w:val="1001"/>
        </w:numPr>
      </w:pPr>
      <w:r>
        <w:rPr>
          <w:rFonts w:hint="eastAsia"/>
        </w:rPr>
        <w:t xml:space="preserve">どのような証拠が、広告の問題を価格設定、品揃え、配送、人員配置の問題と区別できるか?</w:t>
      </w:r>
    </w:p>
    <w:p>
      <w:pPr>
        <w:numPr>
          <w:ilvl w:val="0"/>
          <w:numId w:val="1001"/>
        </w:numPr>
      </w:pPr>
      <w:r>
        <w:rPr>
          <w:rFonts w:hint="eastAsia"/>
        </w:rPr>
        <w:t xml:space="preserve">Hearthlineはどの顧客行動に影響を与えようとすべきであり、どれがコストが高すぎるか予測不能すぎて管理できないか?</w:t>
      </w:r>
    </w:p>
    <w:p>
      <w:pPr>
        <w:numPr>
          <w:ilvl w:val="0"/>
          <w:numId w:val="1001"/>
        </w:numPr>
      </w:pPr>
      <w:r>
        <w:rPr>
          <w:rFonts w:hint="eastAsia"/>
        </w:rPr>
        <w:t xml:space="preserve">顧客がチャネル間を移動する場合、オンラインと店舗の活動はどう評価すべきか?</w:t>
      </w:r>
    </w:p>
    <w:p>
      <w:pPr>
        <w:numPr>
          <w:ilvl w:val="0"/>
          <w:numId w:val="1001"/>
        </w:numPr>
      </w:pPr>
      <w:r>
        <w:rPr>
          <w:rFonts w:hint="eastAsia"/>
        </w:rPr>
        <w:t xml:space="preserve">ホリデーシーズンが終わる前に最も有用な情報を生み出す実験はどのようなものか?</w:t>
      </w:r>
    </w:p>
    <w:p>
      <w:pPr>
        <w:numPr>
          <w:ilvl w:val="0"/>
          <w:numId w:val="1001"/>
        </w:numPr>
      </w:pPr>
      <w:r>
        <w:rPr>
          <w:rFonts w:hint="eastAsia"/>
        </w:rPr>
        <w:t xml:space="preserve">キャンペーン期間中、経営陣が価格設定、広告、品揃え、人員配置を変更すべきときの運用トリガーは何か?</w:t>
      </w:r>
    </w:p>
    <w:p>
      <w:pPr>
        <w:numPr>
          <w:ilvl w:val="0"/>
          <w:numId w:val="1001"/>
        </w:numPr>
      </w:pPr>
      <w:r>
        <w:rPr>
          <w:rFonts w:hint="eastAsia"/>
        </w:rPr>
        <w:t xml:space="preserve">売上、マージン、在庫、サービス、学習がそれぞれ異なる方向を示している場合、何をもって成功とみなすべきか?</w:t>
      </w:r>
    </w:p>
    <w:bookmarkEnd w:id="23"/>
    <w:bookmarkStart w:id="29" w:name="決定フレーミングのための質問"/>
    <w:p>
      <w:pPr>
        <w:pStyle w:val="Heading1"/>
      </w:pPr>
      <w:r>
        <w:rPr>
          <w:rFonts w:hint="eastAsia"/>
        </w:rPr>
        <w:t xml:space="preserve">決定フレーミングのための質問</w:t>
      </w:r>
    </w:p>
    <w:p>
      <w:pPr>
        <w:numPr>
          <w:ilvl w:val="0"/>
          <w:numId w:val="1002"/>
        </w:numPr>
      </w:pPr>
      <w:r>
        <w:rPr>
          <w:rFonts w:hint="eastAsia"/>
        </w:rPr>
        <w:t xml:space="preserve">意思決定者の責任を特定し記述せよ。これは問題の範囲を設定するものである。</w:t>
      </w:r>
    </w:p>
    <w:p>
      <w:pPr>
        <w:numPr>
          <w:ilvl w:val="0"/>
          <w:numId w:val="1002"/>
        </w:numPr>
      </w:pPr>
      <w:hyperlink r:id="rId24">
        <w:r>
          <w:rPr>
            <w:rStyle w:val="Hyperlink"/>
          </w:rPr>
          <w:t xml:space="preserve">メトリクスピラミッドツール</w:t>
        </w:r>
      </w:hyperlink>
      <w:r>
        <w:rPr>
          <w:rFonts w:hint="eastAsia"/>
        </w:rPr>
        <w:t xml:space="preserve">を使って、さまざまなパフォーマンス指標を特定し優先順位付けせよ。指標を保持する楕円をクリックして、それが最大化すべき指標(緑)、最小化すべき指標(赤)、下限としての目標(薄緑)、上限としての目標(薄赤)、あるいは目標値(紫)であるかを識別せよ。</w:t>
      </w:r>
    </w:p>
    <w:p>
      <w:pPr>
        <w:numPr>
          <w:ilvl w:val="0"/>
          <w:numId w:val="1002"/>
        </w:numPr>
      </w:pPr>
      <w:hyperlink r:id="rId25">
        <w:r>
          <w:rPr>
            <w:rStyle w:val="Hyperlink"/>
            <w:rFonts w:hint="eastAsia"/>
          </w:rPr>
          <w:t xml:space="preserve">決定優先順位付けツール</w:t>
        </w:r>
      </w:hyperlink>
      <w:r>
        <w:rPr>
          <w:rFonts w:hint="eastAsia"/>
        </w:rPr>
        <w:t xml:space="preserve">を使って、まずさまざまな種類の決定を列挙せよ(</w:t>
      </w:r>
      <w:hyperlink r:id="rId26">
        <w:r>
          <w:rPr>
            <w:rStyle w:val="Hyperlink"/>
            <w:rFonts w:hint="eastAsia"/>
          </w:rPr>
          <w:t xml:space="preserve">決定の種類</w:t>
        </w:r>
      </w:hyperlink>
      <w:r>
        <w:rPr>
          <w:rFonts w:hint="eastAsia"/>
        </w:rPr>
        <w:t xml:space="preserve">をガイドとして使用)。これらは右側の行列の行を構成することになり、列は上のピラミッドで示された優先順位に従って左から右にソートされたパフォーマンス指標である。各セルをクリックして、各指標に対するその決定の影響が高い(赤)、中(オレンジ)、低い(黄)、なし(白)かを示せ。</w:t>
      </w:r>
    </w:p>
    <w:p>
      <w:pPr>
        <w:numPr>
          <w:ilvl w:val="0"/>
          <w:numId w:val="1002"/>
        </w:numPr>
      </w:pPr>
      <w:r>
        <w:rPr>
          <w:rFonts w:hint="eastAsia"/>
        </w:rPr>
        <w:t xml:space="preserve">各行の一番左にあるハンドル(三本線)をつかんで上下に移動できる。最も重要な指標への影響が最も大きい決定が上位に来るように行をソートせよ。左上隅のセルには赤とオレンジのセルが最も集中しているはずである。この時点で、あなたの研究において最も注目すべき決定を特定せよ。最も重要な指標に対して中または高の影響を持つ決定がない場合は、決定のリストを見直せ。</w:t>
      </w:r>
    </w:p>
    <w:p>
      <w:pPr>
        <w:numPr>
          <w:ilvl w:val="0"/>
          <w:numId w:val="1002"/>
        </w:numPr>
      </w:pPr>
      <w:hyperlink r:id="rId27">
        <w:r>
          <w:rPr>
            <w:rStyle w:val="Hyperlink"/>
            <w:rFonts w:hint="eastAsia"/>
          </w:rPr>
          <w:t xml:space="preserve">不確実性優先順位付けツール</w:t>
        </w:r>
      </w:hyperlink>
      <w:r>
        <w:rPr>
          <w:rFonts w:hint="eastAsia"/>
        </w:rPr>
        <w:t xml:space="preserve">を使って、不確実性を列挙し優先順位付けするプロセスを繰り返せ。これらを特定するために</w:t>
      </w:r>
      <w:hyperlink r:id="rId28">
        <w:r>
          <w:rPr>
            <w:rStyle w:val="Hyperlink"/>
            <w:rFonts w:hint="eastAsia"/>
          </w:rPr>
          <w:t xml:space="preserve">不確実性のカテゴリー</w:t>
        </w:r>
      </w:hyperlink>
      <w:r>
        <w:rPr>
          <w:rFonts w:hint="eastAsia"/>
        </w:rPr>
        <w:t xml:space="preserve">を活用せよ。</w:t>
      </w:r>
    </w:p>
    <w:p>
      <w:pPr>
        <w:numPr>
          <w:ilvl w:val="0"/>
          <w:numId w:val="1002"/>
        </w:numPr>
      </w:pPr>
      <w:r>
        <w:rPr>
          <w:rFonts w:hint="eastAsia"/>
        </w:rPr>
        <w:t xml:space="preserve">平均で評価できる不確実性と、リスクイベントとして評価すべき不確実性を区別することが重要である:</w:t>
      </w:r>
    </w:p>
    <w:p>
      <w:pPr>
        <w:numPr>
          <w:ilvl w:val="1"/>
          <w:numId w:val="1003"/>
        </w:numPr>
      </w:pPr>
      <w:r>
        <w:rPr>
          <w:rFonts w:hint="eastAsia"/>
        </w:rPr>
        <w:t xml:space="preserve">どの不確実性の源が、時間をかけた平均パフォーマンスを用いて捉えられるか?</w:t>
      </w:r>
    </w:p>
    <w:p>
      <w:pPr>
        <w:numPr>
          <w:ilvl w:val="1"/>
          <w:numId w:val="1003"/>
        </w:numPr>
      </w:pPr>
      <w:r>
        <w:rPr>
          <w:rFonts w:hint="eastAsia"/>
        </w:rPr>
        <w:t xml:space="preserve">どの不確実性の源が、平均では適切に捉えられないリスクの形態を表しているか?</w:t>
      </w:r>
    </w:p>
    <w:p>
      <w:pPr>
        <w:numPr>
          <w:ilvl w:val="0"/>
          <w:numId w:val="1002"/>
        </w:numPr>
      </w:pPr>
      <w:r>
        <w:rPr>
          <w:rFonts w:hint="eastAsia"/>
        </w:rPr>
        <w:t xml:space="preserve">最も重要な指標に対して最も高い影響を持つと思われる単一の決定を選べ。</w:t>
      </w:r>
    </w:p>
    <w:p>
      <w:pPr>
        <w:numPr>
          <w:ilvl w:val="1"/>
          <w:numId w:val="1004"/>
        </w:numPr>
      </w:pPr>
      <w:r>
        <w:rPr>
          <w:rFonts w:hint="eastAsia"/>
        </w:rPr>
        <w:t xml:space="preserve">この決定を下すためにどのようなアプローチを用いると考えるか?</w:t>
      </w:r>
    </w:p>
    <w:p>
      <w:pPr>
        <w:numPr>
          <w:ilvl w:val="1"/>
          <w:numId w:val="1004"/>
        </w:numPr>
      </w:pPr>
      <w:r>
        <w:rPr>
          <w:rFonts w:hint="eastAsia"/>
        </w:rPr>
        <w:t xml:space="preserve">この決定を下すために必要と思われるデータは何か。その決定が高または中の影響を持つパフォーマンス指標の計算も含めよ。</w:t>
      </w:r>
    </w:p>
    <w:p>
      <w:pPr>
        <w:numPr>
          <w:ilvl w:val="0"/>
          <w:numId w:val="1002"/>
        </w:numPr>
      </w:pPr>
      <w:r>
        <w:rPr>
          <w:rFonts w:hint="eastAsia"/>
        </w:rPr>
        <w:t xml:space="preserve">(7)で特定したのと同じ決定を用いて、その決定を実行するために協力する必要がある人々、部門、グループ、または組織を特定せよ。</w:t>
      </w:r>
    </w:p>
    <w:bookmarkEnd w:id="29"/>
    <w:bookmarkStart w:id="30" w:name="出典注記"/>
    <w:p>
      <w:pPr>
        <w:pStyle w:val="Heading1"/>
      </w:pPr>
      <w:r>
        <w:rPr>
          <w:rFonts w:hint="eastAsia"/>
        </w:rPr>
        <w:t xml:space="preserve">出典注記</w:t>
      </w:r>
    </w:p>
    <w:p>
      <w:pPr>
        <w:pStyle w:val="FirstParagraph"/>
      </w:pPr>
      <w:r>
        <w:rPr>
          <w:rFonts w:hint="eastAsia"/>
        </w:rPr>
        <w:t xml:space="preserve">このケースの概念的基盤は、Warren</w:t>
      </w:r>
      <w:r>
        <w:t xml:space="preserve"> B. </w:t>
      </w:r>
      <w:r>
        <w:rPr>
          <w:rFonts w:hint="eastAsia"/>
        </w:rPr>
        <w:t xml:space="preserve">Powell著『Bridging</w:t>
      </w:r>
      <w:r>
        <w:t xml:space="preserve"> Decision Problems, Volume I: Framing the </w:t>
      </w:r>
      <w:r>
        <w:rPr>
          <w:rFonts w:hint="eastAsia"/>
        </w:rPr>
        <w:t xml:space="preserve">Problem』第2章の「需要管理――家具の販売」の節である。このケースはその考え方を、指標、決定、不確実性のカテゴリーを個別にラベル付けすることなく、物語と資料の中に組み込んでいる。</w:t>
      </w:r>
    </w:p>
    <w:p>
      <w:pPr>
        <w:pStyle w:val="BodyText"/>
      </w:pPr>
      <w:r>
        <w:rPr>
          <w:rFonts w:hint="eastAsia"/>
        </w:rPr>
        <w:t xml:space="preserve">設定の動機付けに使用した公開データ:U.S.</w:t>
      </w:r>
      <w:r>
        <w:t xml:space="preserve"> Census Bureau, Monthly State Retail Sales, December </w:t>
      </w:r>
      <w:r>
        <w:rPr>
          <w:rFonts w:hint="eastAsia"/>
        </w:rPr>
        <w:t xml:space="preserve">2025(家具・住宅装飾品店の売上は2024年12月比5.5パーセント減);U.S.</w:t>
      </w:r>
      <w:r>
        <w:t xml:space="preserve"> Census Bureau および U.S. Department of Housing and Urban Development, New Residential Sales, December </w:t>
      </w:r>
      <w:r>
        <w:rPr>
          <w:rFonts w:hint="eastAsia"/>
        </w:rPr>
        <w:t xml:space="preserve">2025(2025年に約679,000戸の新規一戸建て住宅が販売);U.S.</w:t>
      </w:r>
      <w:r>
        <w:t xml:space="preserve"> Census Bureau, Quarterly Retail E-Commerce Sales, First Quarter </w:t>
      </w:r>
      <w:r>
        <w:rPr>
          <w:rFonts w:hint="eastAsia"/>
        </w:rPr>
        <w:t xml:space="preserve">2026(推定eコマース売上3,267億ドル)。Hearthlineの財務、業務、マーケティング、顧客に関するデータはすべて架空のものである。</w:t>
      </w:r>
    </w:p>
    <w:bookmarkEnd w:id="30"/>
    <w:bookmarkStart w:id="33" w:name="chatgptノート"/>
    <w:p>
      <w:pPr>
        <w:pStyle w:val="Heading1"/>
      </w:pPr>
      <w:r>
        <w:t xml:space="preserve">ChatGPTノート</w:t>
      </w:r>
    </w:p>
    <w:bookmarkStart w:id="31" w:name="プロンプト"/>
    <w:p>
      <w:pPr>
        <w:pStyle w:val="Heading2"/>
      </w:pPr>
      <w:r>
        <w:t xml:space="preserve">プロンプト</w:t>
      </w:r>
    </w:p>
    <w:p>
      <w:pPr>
        <w:pStyle w:val="FirstParagraph"/>
      </w:pPr>
      <w:r>
        <w:t xml:space="preserve">https://warrenpowell.org/bridging-vol1/chapter-2/#demandmanagementfurniture </w:t>
      </w:r>
      <w:r>
        <w:rPr>
          <w:rFonts w:hint="eastAsia"/>
        </w:rPr>
        <w:t xml:space="preserve">の節にある内容に基づいて、4~6ページのケーススタディを書いてください。その節にある指標、決定、不確実性に基づいた文脈を作成してください。ただし、それらに明示的に注意を向けさせることなく。データを用いてあなたのケース問題の動機付けを行ってください。</w:t>
      </w:r>
    </w:p>
    <w:bookmarkEnd w:id="31"/>
    <w:bookmarkStart w:id="32" w:name="要約"/>
    <w:p>
      <w:pPr>
        <w:pStyle w:val="Heading2"/>
      </w:pPr>
      <w:r>
        <w:rPr>
          <w:rFonts w:hint="eastAsia"/>
        </w:rPr>
        <w:t xml:space="preserve">要約</w:t>
      </w:r>
    </w:p>
    <w:p>
      <w:pPr>
        <w:pStyle w:val="FirstParagraph"/>
      </w:pPr>
      <w:r>
        <w:rPr>
          <w:rFonts w:hint="eastAsia"/>
        </w:rPr>
        <w:t xml:space="preserve">このケースは、家具需要管理の節が持つ概念的構造に従いつつ、その根底にあるカテゴリーを明示的にラベル付けすることなく展開している。ホリデーシーズン前の数ヶ月における架空の地域家具小売業者を舞台とし、以下を含む決定に直面させている:</w:t>
      </w:r>
    </w:p>
    <w:p>
      <w:pPr>
        <w:numPr>
          <w:ilvl w:val="0"/>
          <w:numId w:val="1005"/>
        </w:numPr>
      </w:pPr>
      <w:r>
        <w:rPr>
          <w:rFonts w:hint="eastAsia"/>
        </w:rPr>
        <w:t xml:space="preserve">製品品揃えと地域別の在庫配分</w:t>
      </w:r>
    </w:p>
    <w:p>
      <w:pPr>
        <w:numPr>
          <w:ilvl w:val="0"/>
          <w:numId w:val="1005"/>
        </w:numPr>
      </w:pPr>
      <w:r>
        <w:rPr>
          <w:rFonts w:hint="eastAsia"/>
        </w:rPr>
        <w:t xml:space="preserve">価格設定、バンドル、プロモーション値引き</w:t>
      </w:r>
    </w:p>
    <w:p>
      <w:pPr>
        <w:numPr>
          <w:ilvl w:val="0"/>
          <w:numId w:val="1005"/>
        </w:numPr>
      </w:pPr>
      <w:r>
        <w:rPr>
          <w:rFonts w:hint="eastAsia"/>
        </w:rPr>
        <w:t xml:space="preserve">有料検索、ソーシャルメディア、テレビ、ダイレクトメール、インフルエンサー</w:t>
      </w:r>
    </w:p>
    <w:p>
      <w:pPr>
        <w:numPr>
          <w:ilvl w:val="0"/>
          <w:numId w:val="1005"/>
        </w:numPr>
      </w:pPr>
      <w:r>
        <w:rPr>
          <w:rFonts w:hint="eastAsia"/>
        </w:rPr>
        <w:t xml:space="preserve">ウェブサイト実験と顧客調査</w:t>
      </w:r>
    </w:p>
    <w:p>
      <w:pPr>
        <w:numPr>
          <w:ilvl w:val="0"/>
          <w:numId w:val="1005"/>
        </w:numPr>
      </w:pPr>
      <w:r>
        <w:rPr>
          <w:rFonts w:hint="eastAsia"/>
        </w:rPr>
        <w:t xml:space="preserve">店舗人員配置と現場マネージャーの裁量</w:t>
      </w:r>
    </w:p>
    <w:p>
      <w:pPr>
        <w:numPr>
          <w:ilvl w:val="0"/>
          <w:numId w:val="1005"/>
        </w:numPr>
      </w:pPr>
      <w:r>
        <w:rPr>
          <w:rFonts w:hint="eastAsia"/>
        </w:rPr>
        <w:t xml:space="preserve">需要刺激と制約のある製品供給との調整</w:t>
      </w:r>
    </w:p>
    <w:p>
      <w:pPr>
        <w:pStyle w:val="FirstParagraph"/>
      </w:pPr>
      <w:r>
        <w:rPr>
          <w:rFonts w:hint="eastAsia"/>
        </w:rPr>
        <w:t xml:space="preserve">このケースには5つの定量的な資料、対立する経営陣の視点、3つの大きな戦略的アプローチ、そして10の議論のための質問が含まれている。このケースは意図的に、企業の主要な問題が弱い需要なのか、誤った品揃えなのか、価格設定なのか、広告の有効性なのか、配送の遅延なのか、人員配置なのか、あるいは顧客データの解釈なのかを未解決のままにしている。</w:t>
      </w:r>
    </w:p>
    <w:p>
      <w:pPr>
        <w:pStyle w:val="BodyText"/>
      </w:pPr>
      <w:r>
        <w:rPr>
          <w:rFonts w:hint="eastAsia"/>
        </w:rPr>
        <w:t xml:space="preserve">市場設定は国勢調査データによって動機付けられており、2025年12月の家具・住宅装飾品店の売上は前年比5.5%減少したこと、2025年中に約679,000戸の新規一戸建て住宅が販売されたこと、そして2026年第1四半期の米国小売eコマース売上は推定3,267億ドルに達したことが示されている。このケースの枠組みは、『Bridging</w:t>
      </w:r>
      <w:r>
        <w:t xml:space="preserve"> Decision Problems, Volume </w:t>
      </w:r>
      <w:r>
        <w:rPr>
          <w:rFonts w:hint="eastAsia"/>
        </w:rPr>
        <w:t xml:space="preserve">I』の特定の需要管理の節から得られている。</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2026-09-11T17:45:20Z</dcterms:created>
  <dcterms:modified xsi:type="dcterms:W3CDTF">2026-09-11T17:45:20Z</dcterms:modified>
</cp:coreProperties>
</file>

<file path=docProps/custom.xml><?xml version="1.0" encoding="utf-8"?>
<Properties xmlns="http://schemas.openxmlformats.org/officeDocument/2006/custom-properties" xmlns:vt="http://schemas.openxmlformats.org/officeDocument/2006/docPropsVTypes"/>
</file>