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レイクサイド・メディカル・グループ</w:t>
      </w:r>
    </w:p>
    <w:p>
      <w:pPr>
        <w:pStyle w:val="BodyText"/>
      </w:pPr>
      <w:r>
        <w:rPr>
          <w:rFonts w:hint="eastAsia"/>
        </w:rPr>
        <w:t xml:space="preserve">次の90日間</w:t>
      </w:r>
    </w:p>
    <w:p>
      <w:pPr>
        <w:pStyle w:val="BodyText"/>
      </w:pPr>
      <w:r>
        <w:rPr>
          <w:rFonts w:hint="eastAsia"/>
          <w:i/>
          <w:iCs/>
        </w:rPr>
        <w:t xml:space="preserve">臨床反応、日常行動、テクノロジー、そして経済的負担が切り離しにくい2型糖尿病管理を扱うビジネスケース</w:t>
      </w:r>
    </w:p>
    <w:p>
      <w:pPr>
        <w:pStyle w:val="BodyText"/>
      </w:pPr>
      <w:r>
        <w:rPr>
          <w:rFonts w:hint="eastAsia"/>
        </w:rPr>
        <w:t xml:space="preserve">このケースはフィクションであり、教育的議論を目的としています。名前、出来事、組織、運用データは架空のものですが、業界の背景は公開情報源に基づいています。</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2026年10月、あるプライマリケアチームは、繰り返しの受診、薬剤の変更、広範なカウンセリングにもかかわらず血糖コントロールが不良のままである患者の治療をどのように再設計するかを決めなければならない。次の一手は彼の長期的な健康を改善する可能性がある——あるいは、彼が維持できないかもしれないコストと複雑さを増やすことになる。</w:t>
            </w:r>
          </w:p>
        </w:tc>
      </w:tr>
    </w:tbl>
    <w:p>
      <w:r>
        <w:pict>
          <v:rect style="width:0;height:1.5pt" o:hralign="center" o:hrstd="t" o:hr="t"/>
        </w:pict>
      </w:r>
    </w:p>
    <w:p>
      <w:pPr>
        <w:pStyle w:val="FirstParagraph"/>
      </w:pPr>
      <w:r>
        <w:rPr>
          <w:rFonts w:hint="eastAsia"/>
        </w:rPr>
        <w:t xml:space="preserve">このケースはフィクションであり、教育的議論を目的としたものであり、医療上の指針ではない。名前、出来事、内部データはこのケースのために作成された。公的統計は出典注記に記載されている。</w:t>
      </w:r>
    </w:p>
    <w:bookmarkStart w:id="9" w:name="火曜日の診察"/>
    <w:p>
      <w:pPr>
        <w:pStyle w:val="Heading1"/>
      </w:pPr>
      <w:r>
        <w:rPr>
          <w:rFonts w:hint="eastAsia"/>
        </w:rPr>
        <w:t xml:space="preserve">火曜日の診察</w:t>
      </w:r>
    </w:p>
    <w:p>
      <w:pPr>
        <w:pStyle w:val="FirstParagraph"/>
      </w:pPr>
      <w:r>
        <w:rPr>
          <w:rFonts w:hint="eastAsia"/>
        </w:rPr>
        <w:t xml:space="preserve">火曜日の朝7時35分、エレナ・パーク医師はレイクサイド・メディカル・グループのノースゲート・クリニックでのその日最初の予約の前に、マーカス・リードのカルテを開いた。リードは58歳で、設備保守の監督者として交代制勤務をしており、2型糖尿病を患って9年になる。彼の最新のヘモグロビンA1cは9.2パーセントで、6か月前より高く、ケアチームが彼と話し合った個別目標を大きく上回っていた。</w:t>
      </w:r>
    </w:p>
    <w:p>
      <w:pPr>
        <w:pStyle w:val="BodyText"/>
      </w:pPr>
      <w:r>
        <w:rPr>
          <w:rFonts w:hint="eastAsia"/>
        </w:rPr>
        <w:t xml:space="preserve">その数値は何がうまくいかなかったのかを示してはいなかった。リードは繰り返す消化器症状のためメトホルミンの服用を中止していた。彼はほとんどの日に第二の経口薬を服用していたが、シフトが変わると一貫していなかった。彼は春に8ポンド減量したが、残業の多い夏に5ポンド戻し、母親の介護のために2回の予約を欠席した。短期間の持続血糖モニターの試験では、深夜の食事後に急激な上昇が見られたが、クリニックの薬剤師が懸念するほど低い夜間の測定値も2回あった。</w:t>
      </w:r>
    </w:p>
    <w:p>
      <w:pPr>
        <w:pStyle w:val="BodyText"/>
      </w:pPr>
      <w:r>
        <w:rPr>
          <w:rFonts w:hint="eastAsia"/>
        </w:rPr>
        <w:t xml:space="preserve">パークは臨床薬剤師、糖尿病教育担当者、看護ケアマネージャー、財務カウンセラーとの30分間のケースカンファレンスを予定していた。このグループは次の90日間の計画を提案しなければならなかった。選択肢には、薬剤の調整、注射療法の追加、より長期的な血糖モニタリングの処方、栄養・運動支援の強化、より頻繁な連絡の手配、あるいは計画の簡素化が含まれていた。それぞれの選択肢はリードとクリニックに異なるコストと負担を課すものだった。どの計画も、それが実際に守られる保証も、彼の体が予想通りに反応する保証もなかった。</w:t>
      </w:r>
    </w:p>
    <w:bookmarkEnd w:id="9"/>
    <w:bookmarkStart w:id="11" w:name="大規模で高コストな疾患"/>
    <w:p>
      <w:pPr>
        <w:pStyle w:val="Heading1"/>
      </w:pPr>
      <w:r>
        <w:rPr>
          <w:rFonts w:hint="eastAsia"/>
        </w:rPr>
        <w:t xml:space="preserve">大規模で高コストな疾患</w:t>
      </w:r>
    </w:p>
    <w:p>
      <w:pPr>
        <w:pStyle w:val="FirstParagraph"/>
      </w:pPr>
      <w:r>
        <w:rPr>
          <w:rFonts w:hint="eastAsia"/>
        </w:rPr>
        <w:t xml:space="preserve">リードの状況は全国的な問題と言えるほど一般的でありながら、標準的な解決策には抵抗するほど個人的なものだった。CDCの推計によると、2023年に米国では4,010万人が診断済みまたは未診断の糖尿病を抱えており、これは人口の約12パーセントに相当する。2型糖尿病は診断済み症例のおよそ90〜95パーセントを占める。糖尿病を持つ成人の4分の1以上が、自身がそれを患っていることに気づいていないと推定されている。</w:t>
      </w:r>
    </w:p>
    <w:p>
      <w:pPr>
        <w:pStyle w:val="BodyText"/>
      </w:pPr>
      <w:r>
        <w:rPr>
          <w:rFonts w:hint="eastAsia"/>
        </w:rPr>
        <w:t xml:space="preserve">財政的負担も相当なものだった。連邦の推計では、直接的な医療支出と生産性の低下を通じて、糖尿病の総コストは年間数千億ドルに上るとされている。糖尿病を持つ人々は、そうでない人々の2倍以上の医療費を負担している。しかし、腎不全、心血管疾患、視力喪失、神経障害、下肢切断といった最も重大な結果の多くは何年もかけて進行する一方で、患者と臨床医は毎日選択を行っている。</w:t>
      </w:r>
    </w:p>
    <w:bookmarkStart w:id="10" w:name="図表1.-マーカスリード現在の臨床および個人プロファイル"/>
    <w:p>
      <w:pPr>
        <w:pStyle w:val="Heading2"/>
      </w:pPr>
      <w:r>
        <w:rPr>
          <w:rFonts w:hint="eastAsia"/>
        </w:rPr>
        <w:t xml:space="preserve">図表1.</w:t>
      </w:r>
      <w:r>
        <w:t xml:space="preserve"> </w:t>
      </w:r>
      <w:r>
        <w:rPr>
          <w:rFonts w:hint="eastAsia"/>
        </w:rPr>
        <w:t xml:space="preserve">マーカス・リード：現在の臨床および個人プロファイル</w:t>
      </w:r>
    </w:p>
    <w:tbl>
      <w:tblPr>
        <w:tblStyle w:val="Table"/>
        <w:tblW w:type="pct" w:w="4900"/>
        <w:tblLayout w:type="fixed"/>
        <w:tblLook w:firstRow="1" w:lastRow="0" w:firstColumn="0" w:lastColumn="0" w:noHBand="0" w:noVBand="0" w:val="0020"/>
      </w:tblPr>
      <w:tblGrid>
        <w:gridCol w:w="2296"/>
        <w:gridCol w:w="3009"/>
        <w:gridCol w:w="2455"/>
      </w:tblGrid>
      <w:tr>
        <w:trPr>
          <w:tblHeader w:val="on"/>
        </w:trPr>
        <w:tc>
          <w:tcPr/>
          <w:p>
            <w:pPr>
              <w:pStyle w:val="Compact"/>
            </w:pPr>
            <w:r>
              <w:rPr>
                <w:rFonts w:hint="eastAsia"/>
              </w:rPr>
              <w:t xml:space="preserve">指標</w:t>
            </w:r>
            <w:r>
              <w:t xml:space="preserve"> </w:t>
            </w:r>
            <w:r>
              <w:rPr>
                <w:rFonts w:hint="eastAsia"/>
              </w:rPr>
              <w:t xml:space="preserve">現在の</w:t>
            </w:r>
          </w:p>
        </w:tc>
        <w:tc>
          <w:tcPr/>
          <w:p>
            <w:pPr>
              <w:pStyle w:val="Compact"/>
            </w:pPr>
            <w:r>
              <w:rPr>
                <w:rFonts w:hint="eastAsia"/>
              </w:rPr>
              <w:t xml:space="preserve">情報</w:t>
            </w:r>
            <w:r>
              <w:t xml:space="preserve"> </w:t>
            </w:r>
            <w:r>
              <w:rPr>
                <w:rFonts w:hint="eastAsia"/>
              </w:rPr>
              <w:t xml:space="preserve">以前の値／参照点</w:t>
            </w:r>
          </w:p>
        </w:tc>
        <w:tc>
          <w:tcPr/>
          <w:p>
            <w:pPr>
              <w:pStyle w:val="Compact"/>
            </w:pPr>
          </w:p>
        </w:tc>
      </w:tr>
      <w:tr>
        <w:tc>
          <w:tcPr/>
          <w:p>
            <w:pPr>
              <w:pStyle w:val="Compact"/>
            </w:pPr>
            <w:r>
              <w:t xml:space="preserve">ヘモグロビンA1c</w:t>
            </w:r>
          </w:p>
        </w:tc>
        <w:tc>
          <w:tcPr/>
          <w:p>
            <w:pPr>
              <w:pStyle w:val="Compact"/>
            </w:pPr>
            <w:r>
              <w:t xml:space="preserve">9.2%</w:t>
            </w:r>
          </w:p>
        </w:tc>
        <w:tc>
          <w:tcPr/>
          <w:p>
            <w:pPr>
              <w:pStyle w:val="Compact"/>
            </w:pPr>
            <w:r>
              <w:rPr>
                <w:rFonts w:hint="eastAsia"/>
              </w:rPr>
              <w:t xml:space="preserve">6か月前は8.4%</w:t>
            </w:r>
          </w:p>
        </w:tc>
      </w:tr>
      <w:tr>
        <w:tc>
          <w:tcPr/>
          <w:p>
            <w:pPr>
              <w:pStyle w:val="Compact"/>
            </w:pPr>
            <w:r>
              <w:rPr>
                <w:rFonts w:hint="eastAsia"/>
              </w:rPr>
              <w:t xml:space="preserve">空腹時検査血糖値</w:t>
            </w:r>
            <w:r>
              <w:t xml:space="preserve"> 186 mg/dL</w:t>
            </w:r>
          </w:p>
        </w:tc>
        <w:tc>
          <w:tcPr/>
          <w:p>
            <w:pPr>
              <w:pStyle w:val="Compact"/>
            </w:pPr>
            <w:r>
              <w:rPr>
                <w:rFonts w:hint="eastAsia"/>
              </w:rPr>
              <w:t xml:space="preserve">6か月前は1</w:t>
            </w:r>
          </w:p>
        </w:tc>
        <w:tc>
          <w:tcPr/>
          <w:p>
            <w:pPr>
              <w:pStyle w:val="Compact"/>
            </w:pPr>
            <w:r>
              <w:t xml:space="preserve">54 mg/dL</w:t>
            </w:r>
          </w:p>
        </w:tc>
      </w:tr>
      <w:tr>
        <w:tc>
          <w:tcPr/>
          <w:p>
            <w:pPr>
              <w:pStyle w:val="Compact"/>
            </w:pPr>
            <w:r>
              <w:rPr>
                <w:rFonts w:hint="eastAsia"/>
              </w:rPr>
              <w:t xml:space="preserve">血圧</w:t>
            </w:r>
            <w:r>
              <w:t xml:space="preserve"> 142/86</w:t>
            </w:r>
          </w:p>
        </w:tc>
        <w:tc>
          <w:tcPr/>
          <w:p>
            <w:pPr>
              <w:pStyle w:val="Compact"/>
            </w:pPr>
            <w:r>
              <w:t xml:space="preserve">mm Hg </w:t>
            </w:r>
            <w:r>
              <w:rPr>
                <w:rFonts w:hint="eastAsia"/>
              </w:rPr>
              <w:t xml:space="preserve">通常134</w:t>
            </w:r>
          </w:p>
        </w:tc>
        <w:tc>
          <w:tcPr/>
          <w:p>
            <w:pPr>
              <w:pStyle w:val="Compact"/>
            </w:pPr>
            <w:r>
              <w:t xml:space="preserve">-140 / 80-86</w:t>
            </w:r>
          </w:p>
        </w:tc>
      </w:tr>
      <w:tr>
        <w:tc>
          <w:tcPr/>
          <w:p>
            <w:pPr>
              <w:pStyle w:val="Compact"/>
            </w:pPr>
            <w:r>
              <w:rPr>
                <w:rFonts w:hint="eastAsia"/>
              </w:rPr>
              <w:t xml:space="preserve">体重</w:t>
            </w:r>
            <w:r>
              <w:t xml:space="preserve"> 226 lb</w:t>
            </w:r>
          </w:p>
        </w:tc>
        <w:tc>
          <w:tcPr/>
          <w:p>
            <w:pPr>
              <w:pStyle w:val="Compact"/>
            </w:pPr>
            <w:r>
              <w:rPr>
                <w:rFonts w:hint="eastAsia"/>
              </w:rPr>
              <w:t xml:space="preserve">3か月前</w:t>
            </w:r>
          </w:p>
        </w:tc>
        <w:tc>
          <w:tcPr/>
          <w:p>
            <w:pPr>
              <w:pStyle w:val="Compact"/>
            </w:pPr>
            <w:r>
              <w:t xml:space="preserve">は221 lb</w:t>
            </w:r>
          </w:p>
        </w:tc>
      </w:tr>
      <w:tr>
        <w:tc>
          <w:tcPr/>
          <w:p>
            <w:pPr>
              <w:pStyle w:val="Compact"/>
            </w:pPr>
            <w:r>
              <w:rPr>
                <w:rFonts w:hint="eastAsia"/>
              </w:rPr>
              <w:t xml:space="preserve">腎機能</w:t>
            </w:r>
            <w:r>
              <w:t xml:space="preserve"> </w:t>
            </w:r>
            <w:r>
              <w:rPr>
                <w:rFonts w:hint="eastAsia"/>
              </w:rPr>
              <w:t xml:space="preserve">軽度の</w:t>
            </w:r>
          </w:p>
        </w:tc>
        <w:tc>
          <w:tcPr/>
          <w:p>
            <w:pPr>
              <w:pStyle w:val="Compact"/>
            </w:pPr>
            <w:r>
              <w:rPr>
                <w:rFonts w:hint="eastAsia"/>
              </w:rPr>
              <w:t xml:space="preserve">低下；再検査で安定</w:t>
            </w:r>
            <w:r>
              <w:t xml:space="preserve"> </w:t>
            </w:r>
            <w:r>
              <w:rPr>
                <w:rFonts w:hint="eastAsia"/>
              </w:rPr>
              <w:t xml:space="preserve">2年前は正常</w:t>
            </w:r>
          </w:p>
        </w:tc>
        <w:tc>
          <w:tcPr/>
          <w:p>
            <w:pPr>
              <w:pStyle w:val="Compact"/>
            </w:pPr>
          </w:p>
        </w:tc>
      </w:tr>
      <w:tr>
        <w:tc>
          <w:tcPr/>
          <w:p>
            <w:pPr>
              <w:pStyle w:val="Compact"/>
            </w:pPr>
            <w:r>
              <w:rPr>
                <w:rFonts w:hint="eastAsia"/>
              </w:rPr>
              <w:t xml:space="preserve">眼科検査</w:t>
            </w:r>
            <w:r>
              <w:t xml:space="preserve"> 14か</w:t>
            </w:r>
          </w:p>
        </w:tc>
        <w:tc>
          <w:tcPr/>
          <w:p>
            <w:pPr>
              <w:pStyle w:val="Compact"/>
            </w:pPr>
            <w:r>
              <w:rPr>
                <w:rFonts w:hint="eastAsia"/>
              </w:rPr>
              <w:t xml:space="preserve">月遅延</w:t>
            </w:r>
            <w:r>
              <w:t xml:space="preserve"> </w:t>
            </w:r>
            <w:r>
              <w:rPr>
                <w:rFonts w:hint="eastAsia"/>
              </w:rPr>
              <w:t xml:space="preserve">前回検査で網膜</w:t>
            </w:r>
          </w:p>
        </w:tc>
        <w:tc>
          <w:tcPr/>
          <w:p>
            <w:pPr>
              <w:pStyle w:val="Compact"/>
            </w:pPr>
            <w:r>
              <w:rPr>
                <w:rFonts w:hint="eastAsia"/>
              </w:rPr>
              <w:t xml:space="preserve">症なし</w:t>
            </w:r>
          </w:p>
        </w:tc>
      </w:tr>
      <w:tr>
        <w:tc>
          <w:tcPr/>
          <w:p>
            <w:pPr>
              <w:pStyle w:val="Compact"/>
            </w:pPr>
            <w:r>
              <w:rPr>
                <w:rFonts w:hint="eastAsia"/>
              </w:rPr>
              <w:t xml:space="preserve">足の症状</w:t>
            </w:r>
            <w:r>
              <w:t xml:space="preserve"> </w:t>
            </w:r>
            <w:r>
              <w:rPr>
                <w:rFonts w:hint="eastAsia"/>
              </w:rPr>
              <w:t xml:space="preserve">断続</w:t>
            </w:r>
          </w:p>
        </w:tc>
        <w:tc>
          <w:tcPr/>
          <w:p>
            <w:pPr>
              <w:pStyle w:val="Compact"/>
            </w:pPr>
            <w:r>
              <w:rPr>
                <w:rFonts w:hint="eastAsia"/>
              </w:rPr>
              <w:t xml:space="preserve">的なしびれ</w:t>
            </w:r>
            <w:r>
              <w:t xml:space="preserve"> </w:t>
            </w:r>
            <w:r>
              <w:rPr>
                <w:rFonts w:hint="eastAsia"/>
              </w:rPr>
              <w:t xml:space="preserve">過去1年間に2</w:t>
            </w:r>
          </w:p>
        </w:tc>
        <w:tc>
          <w:tcPr/>
          <w:p>
            <w:pPr>
              <w:pStyle w:val="Compact"/>
            </w:pPr>
            <w:r>
              <w:rPr>
                <w:rFonts w:hint="eastAsia"/>
              </w:rPr>
              <w:t xml:space="preserve">回報告</w:t>
            </w:r>
          </w:p>
        </w:tc>
      </w:tr>
      <w:tr>
        <w:tc>
          <w:tcPr/>
          <w:p>
            <w:pPr>
              <w:pStyle w:val="Compact"/>
            </w:pPr>
            <w:r>
              <w:rPr>
                <w:rFonts w:hint="eastAsia"/>
              </w:rPr>
              <w:t xml:space="preserve">勤務パターン</w:t>
            </w:r>
          </w:p>
        </w:tc>
        <w:tc>
          <w:tcPr/>
          <w:p>
            <w:pPr>
              <w:pStyle w:val="Compact"/>
            </w:pPr>
            <w:r>
              <w:rPr>
                <w:rFonts w:hint="eastAsia"/>
              </w:rPr>
              <w:t xml:space="preserve">日勤・夜勤の交代制勤務</w:t>
            </w:r>
            <w:r>
              <w:t xml:space="preserve"> </w:t>
            </w:r>
            <w:r>
              <w:rPr>
                <w:rFonts w:hint="eastAsia"/>
              </w:rPr>
              <w:t xml:space="preserve">毎週</w:t>
            </w:r>
          </w:p>
        </w:tc>
        <w:tc>
          <w:tcPr/>
          <w:p>
            <w:pPr>
              <w:pStyle w:val="Compact"/>
            </w:pPr>
            <w:r>
              <w:rPr>
                <w:rFonts w:hint="eastAsia"/>
              </w:rPr>
              <w:t xml:space="preserve">スケジュールが変わる</w:t>
            </w:r>
          </w:p>
        </w:tc>
      </w:tr>
      <w:tr>
        <w:tc>
          <w:tcPr/>
          <w:p>
            <w:pPr>
              <w:pStyle w:val="Compact"/>
            </w:pPr>
            <w:r>
              <w:rPr>
                <w:rFonts w:hint="eastAsia"/>
              </w:rPr>
              <w:t xml:space="preserve">医療保険適用</w:t>
            </w:r>
            <w:r>
              <w:t xml:space="preserve"> </w:t>
            </w:r>
            <w:r>
              <w:rPr>
                <w:rFonts w:hint="eastAsia"/>
              </w:rPr>
              <w:t xml:space="preserve">年間$2</w:t>
            </w:r>
          </w:p>
        </w:tc>
        <w:tc>
          <w:tcPr/>
          <w:p>
            <w:pPr>
              <w:pStyle w:val="Compact"/>
            </w:pPr>
            <w:r>
              <w:rPr>
                <w:rFonts w:hint="eastAsia"/>
              </w:rPr>
              <w:t xml:space="preserve">,000の控除額</w:t>
            </w:r>
            <w:r>
              <w:t xml:space="preserve"> </w:t>
            </w:r>
            <w:r>
              <w:rPr>
                <w:rFonts w:hint="eastAsia"/>
              </w:rPr>
              <w:t xml:space="preserve">控除額は1月1日</w:t>
            </w:r>
          </w:p>
        </w:tc>
        <w:tc>
          <w:tcPr/>
          <w:p>
            <w:pPr>
              <w:pStyle w:val="Compact"/>
            </w:pPr>
            <w:r>
              <w:t xml:space="preserve">にリセット</w:t>
            </w:r>
          </w:p>
        </w:tc>
      </w:tr>
    </w:tbl>
    <w:p>
      <w:pPr>
        <w:pStyle w:val="BodyText"/>
      </w:pPr>
      <w:r>
        <w:rPr>
          <w:rFonts w:hint="eastAsia"/>
        </w:rPr>
        <w:t xml:space="preserve">パークは上昇するA1cを単純な努力不足の結果と解釈することに消極的だった。それはおおよそ2〜3か月の血糖曝露を要約したものであり、リードの血糖値がいつ高くいつ低かったかを示すものではなかった。指先穿刺による測定値は数が少なく、受診前に集中していた。モニター試験はわずか14日間しかカバーしておらず、そのうち1週間はリードが夜勤をしていた週で、もう1週間は休暇中だった。</w:t>
      </w:r>
    </w:p>
    <w:bookmarkEnd w:id="10"/>
    <w:bookmarkEnd w:id="11"/>
    <w:bookmarkStart w:id="13" w:name="モニターが明らかにしたことそして隠したこと"/>
    <w:p>
      <w:pPr>
        <w:pStyle w:val="Heading1"/>
      </w:pPr>
      <w:r>
        <w:rPr>
          <w:rFonts w:hint="eastAsia"/>
        </w:rPr>
        <w:t xml:space="preserve">モニターが明らかにしたこと——そして隠したこと</w:t>
      </w:r>
    </w:p>
    <w:p>
      <w:pPr>
        <w:pStyle w:val="FirstParagraph"/>
      </w:pPr>
      <w:r>
        <w:rPr>
          <w:rFonts w:hint="eastAsia"/>
        </w:rPr>
        <w:t xml:space="preserve">持続血糖モニターは1,300件以上の測定値を生成していた。リードの平均血糖値は高かったが、日々のパターンは大きく変動していた。日勤の日には、朝食と昼食は比較的予測可能だった。夜勤の日には、彼は真夜中近くに大きな食事をとり、朝食を抜き、午後早くまで眠ることがあった。運動は、その日彼が監督業務をしていたか、自ら機器修理をしていたかによって左右された。</w:t>
      </w:r>
    </w:p>
    <w:bookmarkStart w:id="12" w:name="図表2.-14日間の血糖モニター概要"/>
    <w:p>
      <w:pPr>
        <w:pStyle w:val="Heading2"/>
      </w:pPr>
      <w:r>
        <w:rPr>
          <w:rFonts w:hint="eastAsia"/>
        </w:rPr>
        <w:t xml:space="preserve">図表2.</w:t>
      </w:r>
      <w:r>
        <w:t xml:space="preserve"> </w:t>
      </w:r>
      <w:r>
        <w:rPr>
          <w:rFonts w:hint="eastAsia"/>
        </w:rPr>
        <w:t xml:space="preserve">14日間の血糖モニター概要</w:t>
      </w:r>
    </w:p>
    <w:tbl>
      <w:tblPr>
        <w:tblStyle w:val="Table"/>
        <w:tblW w:type="pct" w:w="4896"/>
        <w:tblLayout w:type="fixed"/>
        <w:tblLook w:firstRow="1" w:lastRow="0" w:firstColumn="0" w:lastColumn="0" w:noHBand="0" w:noVBand="0" w:val="0020"/>
      </w:tblPr>
      <w:tblGrid>
        <w:gridCol w:w="2227"/>
        <w:gridCol w:w="1485"/>
        <w:gridCol w:w="4042"/>
      </w:tblGrid>
      <w:tr>
        <w:trPr>
          <w:tblHeader w:val="on"/>
        </w:trPr>
        <w:tc>
          <w:tcPr/>
          <w:p>
            <w:pPr>
              <w:pStyle w:val="Compact"/>
              <w:jc w:val="left"/>
            </w:pPr>
            <w:r>
              <w:rPr>
                <w:rFonts w:hint="eastAsia"/>
              </w:rPr>
              <w:t xml:space="preserve">測定項目</w:t>
            </w:r>
          </w:p>
        </w:tc>
        <w:tc>
          <w:tcPr/>
          <w:p>
            <w:pPr>
              <w:pStyle w:val="Compact"/>
              <w:jc w:val="right"/>
            </w:pPr>
            <w:r>
              <w:rPr>
                <w:rFonts w:hint="eastAsia"/>
              </w:rPr>
              <w:t xml:space="preserve">観測結果</w:t>
            </w:r>
            <w:r>
              <w:t xml:space="preserve"> チーム</w:t>
            </w:r>
          </w:p>
        </w:tc>
        <w:tc>
          <w:tcPr/>
          <w:p>
            <w:pPr>
              <w:pStyle w:val="Compact"/>
              <w:jc w:val="left"/>
            </w:pPr>
            <w:r>
              <w:rPr>
                <w:rFonts w:hint="eastAsia"/>
              </w:rPr>
              <w:t xml:space="preserve">が指摘したパターン</w:t>
            </w:r>
          </w:p>
        </w:tc>
      </w:tr>
      <w:tr>
        <w:tc>
          <w:tcPr/>
          <w:p>
            <w:pPr>
              <w:pStyle w:val="Compact"/>
              <w:jc w:val="left"/>
            </w:pPr>
            <w:r>
              <w:rPr>
                <w:rFonts w:hint="eastAsia"/>
              </w:rPr>
              <w:t xml:space="preserve">平均血糖値</w:t>
            </w:r>
            <w:r>
              <w:t xml:space="preserve"> 204 m</w:t>
            </w:r>
          </w:p>
        </w:tc>
        <w:tc>
          <w:tcPr/>
          <w:p>
            <w:pPr>
              <w:pStyle w:val="Compact"/>
              <w:jc w:val="right"/>
            </w:pPr>
            <w:r>
              <w:t xml:space="preserve">g/dL </w:t>
            </w:r>
            <w:r>
              <w:rPr>
                <w:rFonts w:hint="eastAsia"/>
              </w:rPr>
              <w:t xml:space="preserve">夜勤の</w:t>
            </w:r>
          </w:p>
        </w:tc>
        <w:tc>
          <w:tcPr/>
          <w:p>
            <w:pPr>
              <w:pStyle w:val="Compact"/>
              <w:jc w:val="left"/>
            </w:pPr>
            <w:r>
              <w:rPr>
                <w:rFonts w:hint="eastAsia"/>
              </w:rPr>
              <w:t xml:space="preserve">日により高い</w:t>
            </w:r>
          </w:p>
        </w:tc>
      </w:tr>
      <w:tr>
        <w:tc>
          <w:tcPr/>
          <w:p>
            <w:pPr>
              <w:pStyle w:val="Compact"/>
              <w:jc w:val="left"/>
            </w:pPr>
            <w:r>
              <w:t xml:space="preserve">70-180 </w:t>
            </w:r>
            <w:r>
              <w:rPr>
                <w:rFonts w:hint="eastAsia"/>
              </w:rPr>
              <w:t xml:space="preserve">mg/dLの範囲にある時間</w:t>
            </w:r>
          </w:p>
        </w:tc>
        <w:tc>
          <w:tcPr/>
          <w:p>
            <w:pPr>
              <w:pStyle w:val="Compact"/>
              <w:jc w:val="right"/>
            </w:pPr>
            <w:r>
              <w:t xml:space="preserve">38%</w:t>
            </w:r>
          </w:p>
        </w:tc>
        <w:tc>
          <w:tcPr/>
          <w:p>
            <w:pPr>
              <w:pStyle w:val="Compact"/>
              <w:jc w:val="left"/>
            </w:pPr>
            <w:r>
              <w:rPr>
                <w:rFonts w:hint="eastAsia"/>
              </w:rPr>
              <w:t xml:space="preserve">規則的な食事のある週末が最良</w:t>
            </w:r>
          </w:p>
        </w:tc>
      </w:tr>
      <w:tr>
        <w:tc>
          <w:tcPr/>
          <w:p>
            <w:pPr>
              <w:pStyle w:val="Compact"/>
              <w:jc w:val="left"/>
            </w:pPr>
            <w:r>
              <w:t xml:space="preserve">180 </w:t>
            </w:r>
            <w:r>
              <w:rPr>
                <w:rFonts w:hint="eastAsia"/>
              </w:rPr>
              <w:t xml:space="preserve">mg/dLを超える時間</w:t>
            </w:r>
          </w:p>
        </w:tc>
        <w:tc>
          <w:tcPr/>
          <w:p>
            <w:pPr>
              <w:pStyle w:val="Compact"/>
              <w:jc w:val="right"/>
            </w:pPr>
            <w:r>
              <w:t xml:space="preserve">59% </w:t>
            </w:r>
            <w:r>
              <w:rPr>
                <w:rFonts w:hint="eastAsia"/>
              </w:rPr>
              <w:t xml:space="preserve">夕食／</w:t>
            </w:r>
          </w:p>
        </w:tc>
        <w:tc>
          <w:tcPr/>
          <w:p>
            <w:pPr>
              <w:pStyle w:val="Compact"/>
              <w:jc w:val="left"/>
            </w:pPr>
            <w:r>
              <w:rPr>
                <w:rFonts w:hint="eastAsia"/>
              </w:rPr>
              <w:t xml:space="preserve">夜食後に集中</w:t>
            </w:r>
          </w:p>
        </w:tc>
      </w:tr>
      <w:tr>
        <w:tc>
          <w:tcPr/>
          <w:p>
            <w:pPr>
              <w:pStyle w:val="Compact"/>
              <w:jc w:val="left"/>
            </w:pPr>
            <w:r>
              <w:t xml:space="preserve">70 </w:t>
            </w:r>
            <w:r>
              <w:rPr>
                <w:rFonts w:hint="eastAsia"/>
              </w:rPr>
              <w:t xml:space="preserve">mg/dL未満の時間</w:t>
            </w:r>
            <w:r>
              <w:t xml:space="preserve"> 3</w:t>
            </w:r>
          </w:p>
        </w:tc>
        <w:tc>
          <w:tcPr/>
          <w:p>
            <w:pPr>
              <w:pStyle w:val="Compact"/>
              <w:jc w:val="right"/>
            </w:pPr>
            <w:r>
              <w:t xml:space="preserve">% </w:t>
            </w:r>
            <w:r>
              <w:rPr>
                <w:rFonts w:hint="eastAsia"/>
              </w:rPr>
              <w:t xml:space="preserve">夜間に2回</w:t>
            </w:r>
          </w:p>
        </w:tc>
        <w:tc>
          <w:tcPr/>
          <w:p>
            <w:pPr>
              <w:pStyle w:val="Compact"/>
              <w:jc w:val="left"/>
            </w:pPr>
            <w:r>
              <w:t xml:space="preserve">のエピソード</w:t>
            </w:r>
          </w:p>
        </w:tc>
      </w:tr>
      <w:tr>
        <w:tc>
          <w:tcPr/>
          <w:p>
            <w:pPr>
              <w:pStyle w:val="Compact"/>
              <w:jc w:val="left"/>
            </w:pPr>
            <w:r>
              <w:rPr>
                <w:rFonts w:hint="eastAsia"/>
              </w:rPr>
              <w:t xml:space="preserve">推定A1c相当値</w:t>
            </w:r>
            <w:r>
              <w:t xml:space="preserve"> 8.7%</w:t>
            </w:r>
          </w:p>
        </w:tc>
        <w:tc>
          <w:tcPr/>
          <w:p>
            <w:pPr>
              <w:pStyle w:val="Compact"/>
              <w:jc w:val="right"/>
            </w:pPr>
            <w:r>
              <w:rPr>
                <w:rFonts w:hint="eastAsia"/>
              </w:rPr>
              <w:t xml:space="preserve">検査室A1cよ</w:t>
            </w:r>
          </w:p>
        </w:tc>
        <w:tc>
          <w:tcPr/>
          <w:p>
            <w:pPr>
              <w:pStyle w:val="Compact"/>
              <w:jc w:val="left"/>
            </w:pPr>
            <w:r>
              <w:rPr>
                <w:rFonts w:hint="eastAsia"/>
              </w:rPr>
              <w:t xml:space="preserve">り低い</w:t>
            </w:r>
          </w:p>
        </w:tc>
      </w:tr>
      <w:tr>
        <w:tc>
          <w:tcPr/>
          <w:p>
            <w:pPr>
              <w:pStyle w:val="Compact"/>
              <w:jc w:val="left"/>
            </w:pPr>
            <w:r>
              <w:rPr>
                <w:rFonts w:hint="eastAsia"/>
              </w:rPr>
              <w:t xml:space="preserve">日々の変動性</w:t>
            </w:r>
            <w:r>
              <w:t xml:space="preserve"> </w:t>
            </w:r>
            <w:r>
              <w:rPr>
                <w:rFonts w:hint="eastAsia"/>
              </w:rPr>
              <w:t xml:space="preserve">高い</w:t>
            </w:r>
          </w:p>
        </w:tc>
        <w:tc>
          <w:tcPr/>
          <w:p>
            <w:pPr>
              <w:pStyle w:val="Compact"/>
              <w:jc w:val="right"/>
            </w:pPr>
            <w:r>
              <w:rPr>
                <w:rFonts w:hint="eastAsia"/>
              </w:rPr>
              <w:t xml:space="preserve">食事の時刻</w:t>
            </w:r>
          </w:p>
        </w:tc>
        <w:tc>
          <w:tcPr/>
          <w:p>
            <w:pPr>
              <w:pStyle w:val="Compact"/>
              <w:jc w:val="left"/>
            </w:pPr>
            <w:r>
              <w:rPr>
                <w:rFonts w:hint="eastAsia"/>
              </w:rPr>
              <w:t xml:space="preserve">も薬の服用時刻も両方変化</w:t>
            </w:r>
          </w:p>
        </w:tc>
      </w:tr>
    </w:tbl>
    <w:p>
      <w:pPr>
        <w:pStyle w:val="BodyText"/>
      </w:pPr>
      <w:r>
        <w:rPr>
          <w:rFonts w:hint="eastAsia"/>
        </w:rPr>
        <w:t xml:space="preserve">薬剤師は、現在の薬剤がリードが食事を抜いた際の夜間低血糖に寄与している可能性の証拠を見た。教育担当者は食事時刻の問題を見た。パークはより効果的な薬剤が必要である証拠を見た。リードは、会議中に鳴り、汗をかくと緩み、グラフが急激に動くたびに彼を不安にさせる装置を見た。</w:t>
      </w:r>
    </w:p>
    <w:p>
      <w:pPr>
        <w:pStyle w:val="BodyText"/>
      </w:pPr>
      <w:r>
        <w:rPr>
          <w:rFonts w:hint="eastAsia"/>
        </w:rPr>
        <w:t xml:space="preserve">モニターはまた、観察そのものについての疑問も生んだ。リードは装置が記録していることを知っていたため食べるものを変えたと報告した。もしモニタリングが彼の行動を改善したのなら、それは治療の一部となり得る。もしそれが単に異例に規律正しい2週間を生み出しただけなら、将来のコントロールに関するその予測は誤解を招く可能性がある。</w:t>
      </w:r>
    </w:p>
    <w:bookmarkEnd w:id="12"/>
    <w:bookmarkEnd w:id="13"/>
    <w:bookmarkStart w:id="15" w:name="これまでの治療経過"/>
    <w:p>
      <w:pPr>
        <w:pStyle w:val="Heading1"/>
      </w:pPr>
      <w:r>
        <w:rPr>
          <w:rFonts w:hint="eastAsia"/>
        </w:rPr>
        <w:t xml:space="preserve">これまでの治療経過</w:t>
      </w:r>
    </w:p>
    <w:p>
      <w:pPr>
        <w:pStyle w:val="FirstParagraph"/>
      </w:pPr>
      <w:r>
        <w:rPr>
          <w:rFonts w:hint="eastAsia"/>
        </w:rPr>
        <w:t xml:space="preserve">リードが診断されたとき、食事を変え、定期的に歩き、メトホルミンを開始した後にA1cは低下した。時間が経つにつれ、効果は弱まっていった。用量を増やすと胃の問題を引き起こした。低用量は許容できたが、不十分に見えた。第二の経口薬は数値を改善したが、食事が遅れた際の低血糖に対するより大きな懸念をもたらした。リードは注射に抵抗を示したが、それは部分的には、父親が経験した重度の糖尿病と注射を結びつけていたためだった。</w:t>
      </w:r>
    </w:p>
    <w:p>
      <w:pPr>
        <w:pStyle w:val="BodyText"/>
      </w:pPr>
      <w:r>
        <w:rPr>
          <w:rFonts w:hint="eastAsia"/>
        </w:rPr>
        <w:t xml:space="preserve">レイクサイドの臨床医たちにはいくつかの大まかな治療経路が利用可能だった。新しい薬剤は血糖値を改善し、時に体重や心血管リスクにも役立つことがあるが、保険承認と自己負担費用は様々だった。インスリンは正しく服用・調整すれば確実に血糖を下げられるが、教育、モニタリング、低血糖リスクへの注意が必要だった。テクノロジーはパターンを明らかにすることができるが、リードがそれを装着し、ケアチームがデータを解釈する時間を持っている場合に限られた。</w:t>
      </w:r>
    </w:p>
    <w:bookmarkStart w:id="14" w:name="図表3.-選択したアプローチに関する計画上の見積もり"/>
    <w:p>
      <w:pPr>
        <w:pStyle w:val="Heading2"/>
      </w:pPr>
      <w:r>
        <w:rPr>
          <w:rFonts w:hint="eastAsia"/>
        </w:rPr>
        <w:t xml:space="preserve">図表3.</w:t>
      </w:r>
      <w:r>
        <w:t xml:space="preserve"> </w:t>
      </w:r>
      <w:r>
        <w:rPr>
          <w:rFonts w:hint="eastAsia"/>
        </w:rPr>
        <w:t xml:space="preserve">選択したアプローチに関する計画上の見積もり</w:t>
      </w:r>
    </w:p>
    <w:tbl>
      <w:tblPr>
        <w:tblStyle w:val="Table"/>
        <w:tblW w:type="pct" w:w="4928"/>
        <w:tblLayout w:type="fixed"/>
        <w:tblLook w:firstRow="1" w:lastRow="0" w:firstColumn="0" w:lastColumn="0" w:noHBand="0" w:noVBand="0" w:val="0020"/>
      </w:tblPr>
      <w:tblGrid>
        <w:gridCol w:w="2180"/>
        <w:gridCol w:w="1549"/>
        <w:gridCol w:w="2008"/>
        <w:gridCol w:w="2066"/>
      </w:tblGrid>
      <w:tr>
        <w:trPr>
          <w:tblHeader w:val="on"/>
        </w:trPr>
        <w:tc>
          <w:tcPr/>
          <w:p>
            <w:pPr>
              <w:pStyle w:val="Compact"/>
              <w:jc w:val="left"/>
            </w:pPr>
            <w:r>
              <w:t xml:space="preserve">アプローチ</w:t>
            </w:r>
          </w:p>
        </w:tc>
        <w:tc>
          <w:tcPr/>
          <w:p>
            <w:pPr>
              <w:pStyle w:val="Compact"/>
              <w:jc w:val="right"/>
            </w:pPr>
            <w:r>
              <w:rPr>
                <w:rFonts w:hint="eastAsia"/>
              </w:rPr>
              <w:t xml:space="preserve">推定患者負担額*</w:t>
            </w:r>
            <w:r>
              <w:t xml:space="preserve"> </w:t>
            </w:r>
            <w:r>
              <w:rPr>
                <w:rFonts w:hint="eastAsia"/>
              </w:rPr>
              <w:t xml:space="preserve">最初の</w:t>
            </w:r>
          </w:p>
        </w:tc>
        <w:tc>
          <w:tcPr/>
          <w:p>
            <w:pPr>
              <w:pStyle w:val="Compact"/>
            </w:pPr>
            <w:r>
              <w:rPr>
                <w:rFonts w:hint="eastAsia"/>
              </w:rPr>
              <w:t xml:space="preserve">90日間のクリニックの労力</w:t>
            </w:r>
            <w:r>
              <w:t xml:space="preserve"> </w:t>
            </w:r>
            <w:r>
              <w:rPr>
                <w:rFonts w:hint="eastAsia"/>
              </w:rPr>
              <w:t xml:space="preserve">主な懸</w:t>
            </w:r>
          </w:p>
        </w:tc>
        <w:tc>
          <w:tcPr/>
          <w:p>
            <w:pPr>
              <w:pStyle w:val="Compact"/>
              <w:jc w:val="left"/>
            </w:pPr>
            <w:r>
              <w:rPr>
                <w:rFonts w:hint="eastAsia"/>
              </w:rPr>
              <w:t xml:space="preserve">念事項</w:t>
            </w:r>
          </w:p>
        </w:tc>
      </w:tr>
      <w:tr>
        <w:tc>
          <w:tcPr/>
          <w:p>
            <w:pPr>
              <w:pStyle w:val="Compact"/>
              <w:jc w:val="left"/>
            </w:pPr>
            <w:r>
              <w:rPr>
                <w:rFonts w:hint="eastAsia"/>
              </w:rPr>
              <w:t xml:space="preserve">経口治療計画の簡素化</w:t>
            </w:r>
            <w:r>
              <w:br/>
            </w:r>
          </w:p>
        </w:tc>
        <w:tc>
          <w:tcPr/>
          <w:p>
            <w:pPr>
              <w:pStyle w:val="Compact"/>
              <w:jc w:val="right"/>
            </w:pPr>
            <w:r>
              <w:rPr>
                <w:rFonts w:hint="eastAsia"/>
              </w:rPr>
              <w:t xml:space="preserve">$15-$55/月</w:t>
            </w:r>
            <w:r>
              <w:t xml:space="preserve"> </w:t>
            </w:r>
            <w:r>
              <w:rPr>
                <w:rFonts w:hint="eastAsia"/>
              </w:rPr>
              <w:t xml:space="preserve">受診2</w:t>
            </w:r>
          </w:p>
        </w:tc>
        <w:tc>
          <w:tcPr/>
          <w:p>
            <w:pPr>
              <w:pStyle w:val="Compact"/>
            </w:pPr>
            <w:r>
              <w:rPr>
                <w:rFonts w:hint="eastAsia"/>
              </w:rPr>
              <w:t xml:space="preserve">回＋電話フォローアップ</w:t>
            </w:r>
            <w:r>
              <w:t xml:space="preserve"> </w:t>
            </w:r>
            <w:r>
              <w:rPr>
                <w:rFonts w:hint="eastAsia"/>
              </w:rPr>
              <w:t xml:space="preserve">血糖</w:t>
            </w:r>
          </w:p>
        </w:tc>
        <w:tc>
          <w:tcPr/>
          <w:p>
            <w:pPr>
              <w:pStyle w:val="Compact"/>
              <w:jc w:val="left"/>
            </w:pPr>
            <w:r>
              <w:rPr>
                <w:rFonts w:hint="eastAsia"/>
              </w:rPr>
              <w:t xml:space="preserve">値を十分に下げられない可能性</w:t>
            </w:r>
          </w:p>
        </w:tc>
      </w:tr>
      <w:tr>
        <w:tc>
          <w:tcPr/>
          <w:p>
            <w:pPr>
              <w:pStyle w:val="Compact"/>
              <w:jc w:val="left"/>
            </w:pPr>
            <w:r>
              <w:rPr>
                <w:rFonts w:hint="eastAsia"/>
              </w:rPr>
              <w:t xml:space="preserve">新しい週1回の注射薬の追加</w:t>
            </w:r>
            <w:r>
              <w:t xml:space="preserve"> $90-$</w:t>
            </w:r>
          </w:p>
        </w:tc>
        <w:tc>
          <w:tcPr/>
          <w:p>
            <w:pPr>
              <w:pStyle w:val="Compact"/>
              <w:jc w:val="right"/>
            </w:pPr>
            <w:r>
              <w:rPr>
                <w:rFonts w:hint="eastAsia"/>
              </w:rPr>
              <w:t xml:space="preserve">550/月</w:t>
            </w:r>
            <w:r>
              <w:t xml:space="preserve"> </w:t>
            </w:r>
            <w:r>
              <w:rPr>
                <w:rFonts w:hint="eastAsia"/>
              </w:rPr>
              <w:t xml:space="preserve">事前承認＋</w:t>
            </w:r>
          </w:p>
        </w:tc>
        <w:tc>
          <w:tcPr/>
          <w:p>
            <w:pPr>
              <w:pStyle w:val="Compact"/>
            </w:pPr>
            <w:r>
              <w:rPr>
                <w:rFonts w:hint="eastAsia"/>
              </w:rPr>
              <w:t xml:space="preserve">3回の連絡</w:t>
            </w:r>
            <w:r>
              <w:t xml:space="preserve"> </w:t>
            </w:r>
            <w:r>
              <w:rPr>
                <w:rFonts w:hint="eastAsia"/>
              </w:rPr>
              <w:t xml:space="preserve">コスト、忍容性、入手可能</w:t>
            </w:r>
          </w:p>
        </w:tc>
        <w:tc>
          <w:tcPr/>
          <w:p>
            <w:pPr>
              <w:pStyle w:val="Compact"/>
              <w:jc w:val="left"/>
            </w:pPr>
            <w:r>
              <w:rPr>
                <w:rFonts w:hint="eastAsia"/>
              </w:rPr>
              <w:t xml:space="preserve">性</w:t>
            </w:r>
          </w:p>
        </w:tc>
      </w:tr>
      <w:tr>
        <w:tc>
          <w:tcPr/>
          <w:p>
            <w:pPr>
              <w:pStyle w:val="Compact"/>
              <w:jc w:val="left"/>
            </w:pPr>
            <w:r>
              <w:rPr>
                <w:rFonts w:hint="eastAsia"/>
              </w:rPr>
              <w:t xml:space="preserve">基礎インスリンの開始</w:t>
            </w:r>
            <w:r>
              <w:t xml:space="preserve"> </w:t>
            </w:r>
            <w:r>
              <w:rPr>
                <w:rFonts w:hint="eastAsia"/>
              </w:rPr>
              <w:t xml:space="preserve">$35-$140/月</w:t>
            </w:r>
          </w:p>
        </w:tc>
        <w:tc>
          <w:tcPr/>
          <w:p>
            <w:pPr>
              <w:pStyle w:val="Compact"/>
              <w:jc w:val="right"/>
            </w:pPr>
            <w:r>
              <w:rPr>
                <w:rFonts w:hint="eastAsia"/>
              </w:rPr>
              <w:t xml:space="preserve">トレーニング＋頻</w:t>
            </w:r>
          </w:p>
        </w:tc>
        <w:tc>
          <w:tcPr/>
          <w:p>
            <w:pPr>
              <w:pStyle w:val="Compact"/>
            </w:pPr>
            <w:r>
              <w:rPr>
                <w:rFonts w:hint="eastAsia"/>
              </w:rPr>
              <w:t xml:space="preserve">繁な用量見直し</w:t>
            </w:r>
            <w:r>
              <w:t xml:space="preserve"> </w:t>
            </w:r>
            <w:r>
              <w:rPr>
                <w:rFonts w:hint="eastAsia"/>
              </w:rPr>
              <w:t xml:space="preserve">低血糖；注射への</w:t>
            </w:r>
          </w:p>
        </w:tc>
        <w:tc>
          <w:tcPr/>
          <w:p>
            <w:pPr>
              <w:pStyle w:val="Compact"/>
              <w:jc w:val="left"/>
            </w:pPr>
            <w:r>
              <w:rPr>
                <w:rFonts w:hint="eastAsia"/>
              </w:rPr>
              <w:t xml:space="preserve">抵抗感</w:t>
            </w:r>
          </w:p>
        </w:tc>
      </w:tr>
      <w:tr>
        <w:tc>
          <w:tcPr/>
          <w:p>
            <w:pPr>
              <w:pStyle w:val="Compact"/>
              <w:jc w:val="left"/>
            </w:pPr>
            <w:r>
              <w:rPr>
                <w:rFonts w:hint="eastAsia"/>
              </w:rPr>
              <w:t xml:space="preserve">90日間のCGM継続</w:t>
            </w:r>
            <w:r>
              <w:t xml:space="preserve"> </w:t>
            </w:r>
            <w:r>
              <w:rPr>
                <w:rFonts w:hint="eastAsia"/>
              </w:rPr>
              <w:t xml:space="preserve">$0-$180/月</w:t>
            </w:r>
          </w:p>
        </w:tc>
        <w:tc>
          <w:tcPr/>
          <w:p>
            <w:pPr>
              <w:pStyle w:val="Compact"/>
              <w:jc w:val="right"/>
            </w:pPr>
            <w:r>
              <w:rPr>
                <w:rFonts w:hint="eastAsia"/>
              </w:rPr>
              <w:t xml:space="preserve">2-4週間ごとのデータ確</w:t>
            </w:r>
          </w:p>
        </w:tc>
        <w:tc>
          <w:tcPr/>
          <w:p>
            <w:pPr>
              <w:pStyle w:val="Compact"/>
            </w:pPr>
            <w:r>
              <w:rPr>
                <w:rFonts w:hint="eastAsia"/>
              </w:rPr>
              <w:t xml:space="preserve">認</w:t>
            </w:r>
            <w:r>
              <w:t xml:space="preserve"> </w:t>
            </w:r>
            <w:r>
              <w:rPr>
                <w:rFonts w:hint="eastAsia"/>
              </w:rPr>
              <w:t xml:space="preserve">保険適用と継続使用</w:t>
            </w:r>
          </w:p>
        </w:tc>
        <w:tc>
          <w:tcPr/>
          <w:p>
            <w:pPr>
              <w:pStyle w:val="Compact"/>
            </w:pPr>
          </w:p>
        </w:tc>
      </w:tr>
      <w:tr>
        <w:tc>
          <w:tcPr/>
          <w:p>
            <w:pPr>
              <w:pStyle w:val="Compact"/>
              <w:jc w:val="left"/>
            </w:pPr>
            <w:r>
              <w:rPr>
                <w:rFonts w:hint="eastAsia"/>
              </w:rPr>
              <w:t xml:space="preserve">集中的な生活習慣支援</w:t>
            </w:r>
            <w:r>
              <w:t xml:space="preserve"> </w:t>
            </w:r>
            <w:r>
              <w:rPr>
                <w:rFonts w:hint="eastAsia"/>
              </w:rPr>
              <w:t xml:space="preserve">$0-$350（総</w:t>
            </w:r>
          </w:p>
        </w:tc>
        <w:tc>
          <w:tcPr/>
          <w:p>
            <w:pPr>
              <w:pStyle w:val="Compact"/>
              <w:jc w:val="right"/>
            </w:pPr>
            <w:r>
              <w:rPr>
                <w:rFonts w:hint="eastAsia"/>
              </w:rPr>
              <w:t xml:space="preserve">額）</w:t>
            </w:r>
            <w:r>
              <w:t xml:space="preserve"> </w:t>
            </w:r>
            <w:r>
              <w:rPr>
                <w:rFonts w:hint="eastAsia"/>
              </w:rPr>
              <w:t xml:space="preserve">栄養士＋教育</w:t>
            </w:r>
          </w:p>
        </w:tc>
        <w:tc>
          <w:tcPr/>
          <w:p>
            <w:pPr>
              <w:pStyle w:val="Compact"/>
            </w:pPr>
            <w:r>
              <w:rPr>
                <w:rFonts w:hint="eastAsia"/>
              </w:rPr>
              <w:t xml:space="preserve">担当者＋コーチング</w:t>
            </w:r>
            <w:r>
              <w:t xml:space="preserve"> </w:t>
            </w:r>
            <w:r>
              <w:rPr>
                <w:rFonts w:hint="eastAsia"/>
              </w:rPr>
              <w:t xml:space="preserve">通院とシフト勤</w:t>
            </w:r>
          </w:p>
        </w:tc>
        <w:tc>
          <w:tcPr/>
          <w:p>
            <w:pPr>
              <w:pStyle w:val="Compact"/>
              <w:jc w:val="left"/>
            </w:pPr>
            <w:r>
              <w:rPr>
                <w:rFonts w:hint="eastAsia"/>
              </w:rPr>
              <w:t xml:space="preserve">務の両立</w:t>
            </w:r>
          </w:p>
        </w:tc>
      </w:tr>
      <w:tr>
        <w:tc>
          <w:tcPr/>
          <w:p>
            <w:pPr>
              <w:pStyle w:val="Compact"/>
              <w:jc w:val="left"/>
            </w:pPr>
            <w:r>
              <w:rPr>
                <w:rFonts w:hint="eastAsia"/>
              </w:rPr>
              <w:t xml:space="preserve">薬剤・テクノロジー併用計画</w:t>
            </w:r>
            <w:r>
              <w:t xml:space="preserve"> $125-$7</w:t>
            </w:r>
          </w:p>
        </w:tc>
        <w:tc>
          <w:tcPr/>
          <w:p>
            <w:pPr>
              <w:pStyle w:val="Compact"/>
              <w:jc w:val="right"/>
            </w:pPr>
            <w:r>
              <w:rPr>
                <w:rFonts w:hint="eastAsia"/>
              </w:rPr>
              <w:t xml:space="preserve">00/月</w:t>
            </w:r>
            <w:r>
              <w:t xml:space="preserve"> </w:t>
            </w:r>
            <w:r>
              <w:rPr>
                <w:rFonts w:hint="eastAsia"/>
              </w:rPr>
              <w:t xml:space="preserve">最も高い初期</w:t>
            </w:r>
          </w:p>
        </w:tc>
        <w:tc>
          <w:tcPr/>
          <w:p>
            <w:pPr>
              <w:pStyle w:val="Compact"/>
            </w:pPr>
            <w:r>
              <w:rPr>
                <w:rFonts w:hint="eastAsia"/>
              </w:rPr>
              <w:t xml:space="preserve">の調整負担</w:t>
            </w:r>
            <w:r>
              <w:t xml:space="preserve"> </w:t>
            </w:r>
            <w:r>
              <w:rPr>
                <w:rFonts w:hint="eastAsia"/>
              </w:rPr>
              <w:t xml:space="preserve">複雑さと中断</w:t>
            </w:r>
          </w:p>
        </w:tc>
        <w:tc>
          <w:tcPr/>
          <w:p>
            <w:pPr>
              <w:pStyle w:val="Compact"/>
            </w:pPr>
          </w:p>
        </w:tc>
      </w:tr>
    </w:tbl>
    <w:p>
      <w:pPr>
        <w:pStyle w:val="BodyText"/>
      </w:pPr>
      <w:r>
        <w:rPr>
          <w:rFonts w:hint="eastAsia"/>
        </w:rPr>
        <w:t xml:space="preserve">*保険適用後の架空の例示的見積もり。実際のコストは保険プラン、適格性、薬局、製品によって大きく異なる。</w:t>
      </w:r>
    </w:p>
    <w:bookmarkEnd w:id="14"/>
    <w:bookmarkEnd w:id="15"/>
    <w:bookmarkStart w:id="16" w:name="患者側から見た問題"/>
    <w:p>
      <w:pPr>
        <w:pStyle w:val="Heading1"/>
      </w:pPr>
      <w:r>
        <w:rPr>
          <w:rFonts w:hint="eastAsia"/>
        </w:rPr>
        <w:t xml:space="preserve">患者側から見た問題</w:t>
      </w:r>
    </w:p>
    <w:p>
      <w:pPr>
        <w:pStyle w:val="FirstParagraph"/>
      </w:pPr>
      <w:r>
        <w:rPr>
          <w:rFonts w:hint="eastAsia"/>
        </w:rPr>
        <w:t xml:space="preserve">パークがリードに何が計画を最も困難にしているかを尋ねたとき、彼は血糖値の話から始めなかった。彼は疲労、シフトの変更、母親の受診、そして新しい薬剤が仕事で対処できない副作用を引き起こすのではないかという恐れについて語った。彼は親戚に見た透析や切断は避けたいと思っていたが、そうしたリスクは、シフトを1回逃すことや400ドルの薬局請求書に比べれば遠いものに感じられた。</w:t>
      </w:r>
    </w:p>
    <w:p>
      <w:pPr>
        <w:pStyle w:val="BodyText"/>
      </w:pPr>
      <w:r>
        <w:rPr>
          <w:rFonts w:hint="eastAsia"/>
        </w:rPr>
        <w:t xml:space="preserve">リードは日勤の日には夕食後に歩けるが、深夜2時に工場付近で安全に歩くことはできないと述べた。従業員食堂の栄養情報の掲示は一貫していなかった。彼は低血糖を防ぐために食べ物を近くに置いておくことがあったが、測定値が低くなくても空腹だったためにそれを食べてしまうことがあった。彼は別のモニターを試すことには前向きだったが、同僚に自分の携帯電話上のアラートを見られたくなかった。</w:t>
      </w:r>
    </w:p>
    <w:p>
      <w:pPr>
        <w:pStyle w:val="BodyText"/>
      </w:pPr>
      <w:r>
        <w:rPr>
          <w:rFonts w:hint="eastAsia"/>
        </w:rPr>
        <w:t xml:space="preserve">財務カウンセラーは、ある薬剤について控除額を満たすまで高い自己負担額が必要になることを見出した。製薬会社の支援プログラムがコストを下げる可能性はあるが、適格性は更新が必要であり、変更されることもあり得る。リードが低血糖値を記録していたため、モニターは保険適用される可能性があったが、保険会社は頻繁な薬剤調整の証拠を求める可能性があった。1月には控除額がリセットされ、チームが計画の効果を知るのとほぼ同時に、リードがどのプランを利用できるかが変わる可能性があった。</w:t>
      </w:r>
    </w:p>
    <w:bookmarkEnd w:id="16"/>
    <w:bookmarkStart w:id="18" w:name="レイクサイドの対応能力"/>
    <w:p>
      <w:pPr>
        <w:pStyle w:val="Heading1"/>
      </w:pPr>
      <w:r>
        <w:rPr>
          <w:rFonts w:hint="eastAsia"/>
        </w:rPr>
        <w:t xml:space="preserve">レイクサイドの対応能力</w:t>
      </w:r>
    </w:p>
    <w:p>
      <w:pPr>
        <w:pStyle w:val="FirstParagraph"/>
      </w:pPr>
      <w:r>
        <w:rPr>
          <w:rFonts w:hint="eastAsia"/>
        </w:rPr>
        <w:t xml:space="preserve">レイクサイドは、7つのクリニックにわたって診断済み糖尿病患者11,800人の成人にサービスを提供していた。そのケアマネジメントプログラムは、高いA1c値、最近の入院利用、妊娠、腎臓病、または薬剤入手の困難さを持つ患者を優先していた。ノースゲート・クリニックには2つの拠点で共有される教育担当者が1名おり、薬剤師は週3回の半日勤務のみ対応可能だった。受診の需要は対応能力を上回っていた。</w:t>
      </w:r>
    </w:p>
    <w:p>
      <w:pPr>
        <w:pStyle w:val="BodyText"/>
      </w:pPr>
      <w:r>
        <w:rPr>
          <w:rFonts w:hint="eastAsia"/>
        </w:rPr>
        <w:t xml:space="preserve">ケアマネージャーは毎週のテキストによるチェックインと迅速な薬剤見直しを提案した。医療ディレクターは、他の患者が最近救急を受診しているときに、比較的安定している1人の患者にそれほどの注意を割くべきかどうか疑問視した。最高財務責任者は、多くの調整活動が十分に償還されていないと指摘したが、それが何年も後の高コストな合併症を防ぐ可能性があるとも述べた。</w:t>
      </w:r>
    </w:p>
    <w:bookmarkStart w:id="17" w:name="図表4.-レイクサイド糖尿病プログラム直近12か月"/>
    <w:p>
      <w:pPr>
        <w:pStyle w:val="Heading2"/>
      </w:pPr>
      <w:r>
        <w:rPr>
          <w:rFonts w:hint="eastAsia"/>
        </w:rPr>
        <w:t xml:space="preserve">図表4.</w:t>
      </w:r>
      <w:r>
        <w:t xml:space="preserve"> </w:t>
      </w:r>
      <w:r>
        <w:rPr>
          <w:rFonts w:hint="eastAsia"/>
        </w:rPr>
        <w:t xml:space="preserve">レイクサイド糖尿病プログラム、直近12か月</w:t>
      </w:r>
    </w:p>
    <w:tbl>
      <w:tblPr>
        <w:tblStyle w:val="Table"/>
        <w:tblW w:type="pct" w:w="4792"/>
        <w:tblLayout w:type="fixed"/>
        <w:tblLook w:firstRow="1" w:lastRow="0" w:firstColumn="0" w:lastColumn="0" w:noHBand="0" w:noVBand="0" w:val="0020"/>
      </w:tblPr>
      <w:tblGrid>
        <w:gridCol w:w="5170"/>
        <w:gridCol w:w="2420"/>
      </w:tblGrid>
      <w:tr>
        <w:trPr>
          <w:tblHeader w:val="on"/>
        </w:trPr>
        <w:tc>
          <w:tcPr/>
          <w:p>
            <w:pPr>
              <w:pStyle w:val="Compact"/>
            </w:pPr>
            <w:r>
              <w:rPr>
                <w:rFonts w:hint="eastAsia"/>
              </w:rPr>
              <w:t xml:space="preserve">プログラム指標</w:t>
            </w:r>
            <w:r>
              <w:t xml:space="preserve"> </w:t>
            </w:r>
            <w:r>
              <w:rPr>
                <w:rFonts w:hint="eastAsia"/>
              </w:rPr>
              <w:t xml:space="preserve">結果</w:t>
            </w:r>
          </w:p>
        </w:tc>
        <w:tc>
          <w:tcPr/>
          <w:p>
            <w:pPr>
              <w:pStyle w:val="Compact"/>
            </w:pPr>
          </w:p>
        </w:tc>
      </w:tr>
      <w:tr>
        <w:tc>
          <w:tcPr/>
          <w:p>
            <w:pPr>
              <w:pStyle w:val="Compact"/>
            </w:pPr>
            <w:r>
              <w:rPr>
                <w:rFonts w:hint="eastAsia"/>
              </w:rPr>
              <w:t xml:space="preserve">診断済み糖尿病を持つ成人</w:t>
            </w:r>
            <w:r>
              <w:t xml:space="preserve"> 11,800</w:t>
            </w:r>
          </w:p>
        </w:tc>
        <w:tc>
          <w:tcPr/>
          <w:p>
            <w:pPr>
              <w:pStyle w:val="Compact"/>
            </w:pPr>
            <w:r>
              <w:rPr>
                <w:rFonts w:hint="eastAsia"/>
              </w:rPr>
              <w:t xml:space="preserve">人</w:t>
            </w:r>
          </w:p>
        </w:tc>
      </w:tr>
      <w:tr>
        <w:tc>
          <w:tcPr/>
          <w:p>
            <w:pPr>
              <w:pStyle w:val="Compact"/>
            </w:pPr>
            <w:r>
              <w:rPr>
                <w:rFonts w:hint="eastAsia"/>
              </w:rPr>
              <w:t xml:space="preserve">直近のA1cが9%以上の患者</w:t>
            </w:r>
            <w:r>
              <w:t xml:space="preserve"> </w:t>
            </w:r>
            <w:r>
              <w:rPr>
                <w:rFonts w:hint="eastAsia"/>
              </w:rPr>
              <w:t xml:space="preserve">2,140人</w:t>
            </w:r>
          </w:p>
        </w:tc>
        <w:tc>
          <w:tcPr/>
          <w:p>
            <w:pPr>
              <w:pStyle w:val="Compact"/>
            </w:pPr>
          </w:p>
        </w:tc>
      </w:tr>
      <w:tr>
        <w:tc>
          <w:tcPr/>
          <w:p>
            <w:pPr>
              <w:pStyle w:val="Compact"/>
            </w:pPr>
            <w:r>
              <w:rPr>
                <w:rFonts w:hint="eastAsia"/>
              </w:rPr>
              <w:t xml:space="preserve">12か月間A1c検査を受けていない患者</w:t>
            </w:r>
            <w:r>
              <w:t xml:space="preserve"> </w:t>
            </w:r>
            <w:r>
              <w:rPr>
                <w:rFonts w:hint="eastAsia"/>
              </w:rPr>
              <w:t xml:space="preserve">1,330人</w:t>
            </w:r>
          </w:p>
        </w:tc>
        <w:tc>
          <w:tcPr/>
          <w:p>
            <w:pPr>
              <w:pStyle w:val="Compact"/>
            </w:pPr>
          </w:p>
        </w:tc>
      </w:tr>
      <w:tr>
        <w:tc>
          <w:tcPr/>
          <w:p>
            <w:pPr>
              <w:pStyle w:val="Compact"/>
            </w:pPr>
            <w:r>
              <w:rPr>
                <w:rFonts w:hint="eastAsia"/>
              </w:rPr>
              <w:t xml:space="preserve">網膜検査が遅れている患者</w:t>
            </w:r>
            <w:r>
              <w:t xml:space="preserve"> </w:t>
            </w:r>
            <w:r>
              <w:rPr>
                <w:rFonts w:hint="eastAsia"/>
              </w:rPr>
              <w:t xml:space="preserve">3,420人</w:t>
            </w:r>
          </w:p>
        </w:tc>
        <w:tc>
          <w:tcPr/>
          <w:p>
            <w:pPr>
              <w:pStyle w:val="Compact"/>
            </w:pPr>
          </w:p>
        </w:tc>
      </w:tr>
      <w:tr>
        <w:tc>
          <w:tcPr/>
          <w:p>
            <w:pPr>
              <w:pStyle w:val="Compact"/>
            </w:pPr>
            <w:r>
              <w:rPr>
                <w:rFonts w:hint="eastAsia"/>
              </w:rPr>
              <w:t xml:space="preserve">糖尿病関連の救急受診</w:t>
            </w:r>
            <w:r>
              <w:t xml:space="preserve"> </w:t>
            </w:r>
            <w:r>
              <w:rPr>
                <w:rFonts w:hint="eastAsia"/>
              </w:rPr>
              <w:t xml:space="preserve">684件</w:t>
            </w:r>
          </w:p>
        </w:tc>
        <w:tc>
          <w:tcPr/>
          <w:p>
            <w:pPr>
              <w:pStyle w:val="Compact"/>
            </w:pPr>
          </w:p>
        </w:tc>
      </w:tr>
      <w:tr>
        <w:tc>
          <w:tcPr/>
          <w:p>
            <w:pPr>
              <w:pStyle w:val="Compact"/>
            </w:pPr>
            <w:r>
              <w:rPr>
                <w:rFonts w:hint="eastAsia"/>
              </w:rPr>
              <w:t xml:space="preserve">完了した教育担当者との予約</w:t>
            </w:r>
            <w:r>
              <w:t xml:space="preserve"> 3,760</w:t>
            </w:r>
          </w:p>
        </w:tc>
        <w:tc>
          <w:tcPr/>
          <w:p>
            <w:pPr>
              <w:pStyle w:val="Compact"/>
            </w:pPr>
            <w:r>
              <w:rPr>
                <w:rFonts w:hint="eastAsia"/>
              </w:rPr>
              <w:t xml:space="preserve">件</w:t>
            </w:r>
          </w:p>
        </w:tc>
      </w:tr>
      <w:tr>
        <w:tc>
          <w:tcPr/>
          <w:p>
            <w:pPr>
              <w:pStyle w:val="Compact"/>
            </w:pPr>
            <w:r>
              <w:rPr>
                <w:rFonts w:hint="eastAsia"/>
              </w:rPr>
              <w:t xml:space="preserve">教育担当者の無断欠席／直前キャンセル率</w:t>
            </w:r>
            <w:r>
              <w:t xml:space="preserve"> 24%</w:t>
            </w:r>
          </w:p>
        </w:tc>
        <w:tc>
          <w:tcPr/>
          <w:p>
            <w:pPr>
              <w:pStyle w:val="Compact"/>
            </w:pPr>
          </w:p>
        </w:tc>
      </w:tr>
      <w:tr>
        <w:tc>
          <w:tcPr/>
          <w:p>
            <w:pPr>
              <w:pStyle w:val="Compact"/>
            </w:pPr>
            <w:r>
              <w:rPr>
                <w:rFonts w:hint="eastAsia"/>
              </w:rPr>
              <w:t xml:space="preserve">薬剤師の平均担当患者数</w:t>
            </w:r>
            <w:r>
              <w:t xml:space="preserve"> </w:t>
            </w:r>
            <w:r>
              <w:rPr>
                <w:rFonts w:hint="eastAsia"/>
              </w:rPr>
              <w:t xml:space="preserve">286人</w:t>
            </w:r>
          </w:p>
        </w:tc>
        <w:tc>
          <w:tcPr/>
          <w:p>
            <w:pPr>
              <w:pStyle w:val="Compact"/>
            </w:pPr>
          </w:p>
        </w:tc>
      </w:tr>
      <w:tr>
        <w:tc>
          <w:tcPr/>
          <w:p>
            <w:pPr>
              <w:pStyle w:val="Compact"/>
            </w:pPr>
            <w:r>
              <w:rPr>
                <w:rFonts w:hint="eastAsia"/>
              </w:rPr>
              <w:t xml:space="preserve">未償還のケアマネジメント費用</w:t>
            </w:r>
            <w:r>
              <w:t xml:space="preserve"> $1.18 m</w:t>
            </w:r>
          </w:p>
        </w:tc>
        <w:tc>
          <w:tcPr/>
          <w:p>
            <w:pPr>
              <w:pStyle w:val="Compact"/>
            </w:pPr>
            <w:r>
              <w:t xml:space="preserve">illion</w:t>
            </w:r>
          </w:p>
        </w:tc>
      </w:tr>
    </w:tbl>
    <w:p>
      <w:pPr>
        <w:pStyle w:val="BodyText"/>
      </w:pPr>
      <w:r>
        <w:rPr>
          <w:rFonts w:hint="eastAsia"/>
        </w:rPr>
        <w:t xml:space="preserve">クリニックの品質ダッシュボードはA1cコントロールの改善と選択されたスクリーニングの完了を評価していたが、回避された重度の低血糖エピソード、治療負担、経済的ストレス、あるいは改善が持続するかどうかを完全には捉えていなかった。A1cを下げたが繰り返し低血糖値や経済的困難を引き起こした薬剤計画は、あるレポートでは成功に見え、別のレポートでは有害に見える可能性があった。</w:t>
      </w:r>
    </w:p>
    <w:bookmarkEnd w:id="17"/>
    <w:bookmarkEnd w:id="18"/>
    <w:bookmarkStart w:id="19" w:name="異なる解釈"/>
    <w:p>
      <w:pPr>
        <w:pStyle w:val="Heading1"/>
      </w:pPr>
      <w:r>
        <w:rPr>
          <w:rFonts w:hint="eastAsia"/>
        </w:rPr>
        <w:t xml:space="preserve">異なる解釈</w:t>
      </w:r>
    </w:p>
    <w:p>
      <w:pPr>
        <w:pStyle w:val="FirstParagraph"/>
      </w:pPr>
      <w:r>
        <w:rPr>
          <w:rFonts w:hint="eastAsia"/>
        </w:rPr>
        <w:t xml:space="preserve">ケアチームの各メンバーはリードのケースを異なる形で捉えていた。薬剤師は、低血糖値と関連付けられる薬剤を除去し、カバレッジが整えられればより低い低血糖リスクを持つ薬剤に置き換えることを支持した。教育担当者は、両方のシフトスケジュールでリードが実行できる計画から始めたいと考えた。看護ケアマネージャーは、チームがさらに大きな変更を行う前に、より頻繁な観察が必要だと主張した。パークは、より良い情報を待つことが高血糖への曝露を長引かせることを懸念した。</w:t>
      </w:r>
    </w:p>
    <w:p>
      <w:pPr>
        <w:pStyle w:val="BodyText"/>
      </w:pPr>
      <w:r>
        <w:rPr>
          <w:rFonts w:hint="eastAsia"/>
        </w:rPr>
        <w:t xml:space="preserve">リードの優先事項はどの提案にもきれいには当てはまらなかった。彼はより多くのエネルギー、仕事での中断の減少、長期的な合併症からの保護、そして予測可能な月額コストを望んでいた。彼は変更を行う意欲はあったが、すべてを一度には望まなかった。チームは計画を簡素化する、強化する、あるいは段階的に進めることができたが——どの順序を選ぶかによって、改善または失敗の原因について何が分かるかが変わってくるだろう。</w:t>
      </w:r>
    </w:p>
    <w:bookmarkEnd w:id="19"/>
    <w:bookmarkStart w:id="21" w:name="日間の選択"/>
    <w:p>
      <w:pPr>
        <w:pStyle w:val="Heading1"/>
      </w:pPr>
      <w:r>
        <w:rPr>
          <w:rFonts w:hint="eastAsia"/>
        </w:rPr>
        <w:t xml:space="preserve">90日間の選択</w:t>
      </w:r>
    </w:p>
    <w:p>
      <w:pPr>
        <w:pStyle w:val="FirstParagraph"/>
      </w:pPr>
      <w:r>
        <w:rPr>
          <w:rFonts w:hint="eastAsia"/>
        </w:rPr>
        <w:t xml:space="preserve">ケースカンファレンスでは議論が3つの大まかなアプローチに絞られた。</w:t>
      </w:r>
    </w:p>
    <w:p>
      <w:pPr>
        <w:pStyle w:val="BodyText"/>
      </w:pPr>
      <w:r>
        <w:rPr>
          <w:rFonts w:hint="eastAsia"/>
        </w:rPr>
        <w:t xml:space="preserve">アプローチA：今すぐ強化する。チームは現在の第二の薬剤を置き換え、新しい週1回の注射薬の承認を求め、持続モニタリングを継続し、頻繁なフォローアップを予定する。この計画は急速な改善の可能性が最も高いが、コスト、調整負担、そして副作用や承認の遅れによってリードがそれを断念してしまうリスクも最も高い。</w:t>
      </w:r>
    </w:p>
    <w:p>
      <w:pPr>
        <w:pStyle w:val="BodyText"/>
      </w:pPr>
      <w:r>
        <w:rPr>
          <w:rFonts w:hint="eastAsia"/>
        </w:rPr>
        <w:t xml:space="preserve">アプローチB：簡素化し安定させる。チームはリードの交代制勤務に合わせた低コストの治療計画を設計し、低血糖のリスクを減らし、食事時刻と実行可能な運動に焦点を当て、3か月後に再評価する。この計画はより持続可能かもしれないが、病気が進行する間、血糖値が高いままになる可能性がある。</w:t>
      </w:r>
    </w:p>
    <w:p>
      <w:pPr>
        <w:pStyle w:val="BodyText"/>
      </w:pPr>
      <w:r>
        <w:rPr>
          <w:rFonts w:hint="eastAsia"/>
        </w:rPr>
        <w:t xml:space="preserve">アプローチC：関与する前に学ぶ。チームは再度のモニター期間、構造化された食事・薬剤ログ、短い遠隔連絡を用いて、大きな治療変更を選択する前にパターンを特定する。このアプローチは変動性の原因を明らかにする可能性があるが、追加情報は不完全であったり、観察によって変質したり、遅延を正当化するには遅すぎたりする可能性がある。</w:t>
      </w:r>
    </w:p>
    <w:bookmarkStart w:id="20" w:name="図表5.-90日間の計画シナリオ"/>
    <w:p>
      <w:pPr>
        <w:pStyle w:val="Heading2"/>
      </w:pPr>
      <w:r>
        <w:rPr>
          <w:rFonts w:hint="eastAsia"/>
        </w:rPr>
        <w:t xml:space="preserve">図表5.</w:t>
      </w:r>
      <w:r>
        <w:t xml:space="preserve"> </w:t>
      </w:r>
      <w:r>
        <w:rPr>
          <w:rFonts w:hint="eastAsia"/>
        </w:rPr>
        <w:t xml:space="preserve">90日間の計画シナリオ</w:t>
      </w:r>
    </w:p>
    <w:tbl>
      <w:tblPr>
        <w:tblStyle w:val="Table"/>
        <w:tblW w:type="pct" w:w="4926"/>
        <w:tblLayout w:type="fixed"/>
        <w:tblLook w:firstRow="1" w:lastRow="0" w:firstColumn="0" w:lastColumn="0" w:noHBand="0" w:noVBand="0" w:val="0020"/>
      </w:tblPr>
      <w:tblGrid>
        <w:gridCol w:w="2445"/>
        <w:gridCol w:w="1106"/>
        <w:gridCol w:w="1281"/>
        <w:gridCol w:w="1106"/>
        <w:gridCol w:w="1863"/>
      </w:tblGrid>
      <w:tr>
        <w:trPr>
          <w:tblHeader w:val="on"/>
        </w:trPr>
        <w:tc>
          <w:tcPr/>
          <w:p>
            <w:pPr>
              <w:pStyle w:val="Compact"/>
              <w:jc w:val="left"/>
            </w:pPr>
            <w:r>
              <w:t xml:space="preserve">シナリオ</w:t>
            </w:r>
          </w:p>
        </w:tc>
        <w:tc>
          <w:tcPr/>
          <w:p>
            <w:pPr>
              <w:pStyle w:val="Compact"/>
            </w:pPr>
            <w:r>
              <w:rPr>
                <w:rFonts w:hint="eastAsia"/>
              </w:rPr>
              <w:t xml:space="preserve">フォローアップ時のA</w:t>
            </w:r>
          </w:p>
        </w:tc>
        <w:tc>
          <w:tcPr/>
          <w:p>
            <w:pPr>
              <w:pStyle w:val="Compact"/>
              <w:jc w:val="left"/>
            </w:pPr>
            <w:r>
              <w:t xml:space="preserve">1c </w:t>
            </w:r>
            <w:r>
              <w:rPr>
                <w:rFonts w:hint="eastAsia"/>
              </w:rPr>
              <w:t xml:space="preserve">低血糖リスク</w:t>
            </w:r>
          </w:p>
        </w:tc>
        <w:tc>
          <w:tcPr/>
          <w:p>
            <w:pPr>
              <w:pStyle w:val="Compact"/>
              <w:jc w:val="right"/>
            </w:pPr>
            <w:r>
              <w:rPr>
                <w:rFonts w:hint="eastAsia"/>
              </w:rPr>
              <w:t xml:space="preserve">患者負担</w:t>
            </w:r>
            <w:r>
              <w:t xml:space="preserve"> </w:t>
            </w:r>
            <w:r>
              <w:rPr>
                <w:rFonts w:hint="eastAsia"/>
              </w:rPr>
              <w:t xml:space="preserve">推定9</w:t>
            </w:r>
          </w:p>
        </w:tc>
        <w:tc>
          <w:tcPr/>
          <w:p>
            <w:pPr>
              <w:pStyle w:val="Compact"/>
              <w:jc w:val="left"/>
            </w:pPr>
            <w:r>
              <w:rPr>
                <w:rFonts w:hint="eastAsia"/>
              </w:rPr>
              <w:t xml:space="preserve">0日間の患者コスト</w:t>
            </w:r>
          </w:p>
        </w:tc>
      </w:tr>
      <w:tr>
        <w:tc>
          <w:tcPr/>
          <w:p>
            <w:pPr>
              <w:pStyle w:val="Compact"/>
              <w:jc w:val="left"/>
            </w:pPr>
            <w:r>
              <w:rPr>
                <w:rFonts w:hint="eastAsia"/>
              </w:rPr>
              <w:t xml:space="preserve">強い反応／持続的な使用</w:t>
            </w:r>
            <w:r>
              <w:t xml:space="preserve"> 7.4-8.0%</w:t>
            </w:r>
          </w:p>
        </w:tc>
        <w:tc>
          <w:tcPr/>
          <w:p>
            <w:pPr>
              <w:pStyle w:val="Compact"/>
            </w:pPr>
            <w:r>
              <w:rPr>
                <w:rFonts w:hint="eastAsia"/>
              </w:rPr>
              <w:t xml:space="preserve">低〜中程度</w:t>
            </w:r>
          </w:p>
        </w:tc>
        <w:tc>
          <w:tcPr/>
          <w:p>
            <w:pPr>
              <w:pStyle w:val="Compact"/>
              <w:jc w:val="left"/>
            </w:pPr>
            <w:r>
              <w:rPr>
                <w:rFonts w:hint="eastAsia"/>
              </w:rPr>
              <w:t xml:space="preserve">中程度</w:t>
            </w:r>
          </w:p>
        </w:tc>
        <w:tc>
          <w:tcPr/>
          <w:p>
            <w:pPr>
              <w:pStyle w:val="Compact"/>
              <w:jc w:val="right"/>
            </w:pPr>
            <w:r>
              <w:t xml:space="preserve">$180-$1,600</w:t>
            </w:r>
          </w:p>
        </w:tc>
        <w:tc>
          <w:tcPr/>
          <w:p>
            <w:pPr>
              <w:pStyle w:val="Compact"/>
            </w:pPr>
          </w:p>
        </w:tc>
      </w:tr>
      <w:tr>
        <w:tc>
          <w:tcPr/>
          <w:p>
            <w:pPr>
              <w:pStyle w:val="Compact"/>
              <w:jc w:val="left"/>
            </w:pPr>
            <w:r>
              <w:rPr>
                <w:rFonts w:hint="eastAsia"/>
              </w:rPr>
              <w:t xml:space="preserve">部分的な反応</w:t>
            </w:r>
            <w:r>
              <w:t xml:space="preserve"> 8.1-</w:t>
            </w:r>
          </w:p>
        </w:tc>
        <w:tc>
          <w:tcPr/>
          <w:p>
            <w:pPr>
              <w:pStyle w:val="Compact"/>
            </w:pPr>
            <w:r>
              <w:t xml:space="preserve">8.7% </w:t>
            </w:r>
            <w:r>
              <w:rPr>
                <w:rFonts w:hint="eastAsia"/>
              </w:rPr>
              <w:t xml:space="preserve">治療計</w:t>
            </w:r>
          </w:p>
        </w:tc>
        <w:tc>
          <w:tcPr/>
          <w:p>
            <w:pPr>
              <w:pStyle w:val="Compact"/>
              <w:jc w:val="left"/>
            </w:pPr>
            <w:r>
              <w:rPr>
                <w:rFonts w:hint="eastAsia"/>
              </w:rPr>
              <w:t xml:space="preserve">画により異なる</w:t>
            </w:r>
            <w:r>
              <w:t xml:space="preserve"> </w:t>
            </w:r>
            <w:r>
              <w:rPr>
                <w:rFonts w:hint="eastAsia"/>
              </w:rPr>
              <w:t xml:space="preserve">中</w:t>
            </w:r>
          </w:p>
        </w:tc>
        <w:tc>
          <w:tcPr/>
          <w:p>
            <w:pPr>
              <w:pStyle w:val="Compact"/>
              <w:jc w:val="right"/>
            </w:pPr>
            <w:r>
              <w:rPr>
                <w:rFonts w:hint="eastAsia"/>
              </w:rPr>
              <w:t xml:space="preserve">〜高</w:t>
            </w:r>
            <w:r>
              <w:t xml:space="preserve"> $1</w:t>
            </w:r>
          </w:p>
        </w:tc>
        <w:tc>
          <w:tcPr/>
          <w:p>
            <w:pPr>
              <w:pStyle w:val="Compact"/>
              <w:jc w:val="left"/>
            </w:pPr>
            <w:r>
              <w:t xml:space="preserve">20-$1,500</w:t>
            </w:r>
          </w:p>
        </w:tc>
      </w:tr>
      <w:tr>
        <w:tc>
          <w:tcPr/>
          <w:p>
            <w:pPr>
              <w:pStyle w:val="Compact"/>
              <w:jc w:val="left"/>
            </w:pPr>
            <w:r>
              <w:rPr>
                <w:rFonts w:hint="eastAsia"/>
              </w:rPr>
              <w:t xml:space="preserve">副作用または服薬不遵守</w:t>
            </w:r>
            <w:r>
              <w:t xml:space="preserve"> 8.8-9.</w:t>
            </w:r>
          </w:p>
        </w:tc>
        <w:tc>
          <w:tcPr/>
          <w:p>
            <w:pPr>
              <w:pStyle w:val="Compact"/>
            </w:pPr>
            <w:r>
              <w:t xml:space="preserve">5% </w:t>
            </w:r>
            <w:r>
              <w:rPr>
                <w:rFonts w:hint="eastAsia"/>
              </w:rPr>
              <w:t xml:space="preserve">不明</w:t>
            </w:r>
          </w:p>
        </w:tc>
        <w:tc>
          <w:tcPr/>
          <w:p>
            <w:pPr>
              <w:pStyle w:val="Compact"/>
              <w:jc w:val="left"/>
            </w:pPr>
            <w:r>
              <w:rPr>
                <w:rFonts w:hint="eastAsia"/>
              </w:rPr>
              <w:t xml:space="preserve">高</w:t>
            </w:r>
          </w:p>
        </w:tc>
        <w:tc>
          <w:tcPr/>
          <w:p>
            <w:pPr>
              <w:pStyle w:val="Compact"/>
              <w:jc w:val="right"/>
            </w:pPr>
            <w:r>
              <w:t xml:space="preserve">$75-$900</w:t>
            </w:r>
          </w:p>
        </w:tc>
        <w:tc>
          <w:tcPr/>
          <w:p>
            <w:pPr>
              <w:pStyle w:val="Compact"/>
            </w:pPr>
          </w:p>
        </w:tc>
      </w:tr>
      <w:tr>
        <w:tc>
          <w:tcPr/>
          <w:p>
            <w:pPr>
              <w:pStyle w:val="Compact"/>
              <w:jc w:val="left"/>
            </w:pPr>
            <w:r>
              <w:rPr>
                <w:rFonts w:hint="eastAsia"/>
              </w:rPr>
              <w:t xml:space="preserve">保険適用の中断</w:t>
            </w:r>
            <w:r>
              <w:t xml:space="preserve"> 8.6-9</w:t>
            </w:r>
          </w:p>
        </w:tc>
        <w:tc>
          <w:tcPr/>
          <w:p>
            <w:pPr>
              <w:pStyle w:val="Compact"/>
            </w:pPr>
            <w:r>
              <w:t xml:space="preserve">.4% </w:t>
            </w:r>
            <w:r>
              <w:rPr>
                <w:rFonts w:hint="eastAsia"/>
              </w:rPr>
              <w:t xml:space="preserve">代替策</w:t>
            </w:r>
          </w:p>
        </w:tc>
        <w:tc>
          <w:tcPr/>
          <w:p>
            <w:pPr>
              <w:pStyle w:val="Compact"/>
              <w:jc w:val="left"/>
            </w:pPr>
            <w:r>
              <w:rPr>
                <w:rFonts w:hint="eastAsia"/>
              </w:rPr>
              <w:t xml:space="preserve">次第</w:t>
            </w:r>
            <w:r>
              <w:t xml:space="preserve"> </w:t>
            </w:r>
            <w:r>
              <w:rPr>
                <w:rFonts w:hint="eastAsia"/>
              </w:rPr>
              <w:t xml:space="preserve">高</w:t>
            </w:r>
            <w:r>
              <w:br/>
            </w:r>
          </w:p>
        </w:tc>
        <w:tc>
          <w:tcPr/>
          <w:p>
            <w:pPr>
              <w:pStyle w:val="Compact"/>
              <w:jc w:val="right"/>
            </w:pPr>
            <w:r>
              <w:t xml:space="preserve">$100-$1,200</w:t>
            </w:r>
          </w:p>
        </w:tc>
        <w:tc>
          <w:tcPr/>
          <w:p>
            <w:pPr>
              <w:pStyle w:val="Compact"/>
            </w:pPr>
          </w:p>
        </w:tc>
      </w:tr>
      <w:tr>
        <w:tc>
          <w:tcPr/>
          <w:p>
            <w:pPr>
              <w:pStyle w:val="Compact"/>
              <w:jc w:val="left"/>
            </w:pPr>
            <w:r>
              <w:rPr>
                <w:rFonts w:hint="eastAsia"/>
              </w:rPr>
              <w:t xml:space="preserve">高コスト治療なしでの日常改善</w:t>
            </w:r>
            <w:r>
              <w:t xml:space="preserve"> 7.9-8.5%</w:t>
            </w:r>
          </w:p>
        </w:tc>
        <w:tc>
          <w:tcPr/>
          <w:p>
            <w:pPr>
              <w:pStyle w:val="Compact"/>
            </w:pPr>
            <w:r>
              <w:rPr>
                <w:rFonts w:hint="eastAsia"/>
              </w:rPr>
              <w:t xml:space="preserve">低</w:t>
            </w:r>
            <w:r>
              <w:t xml:space="preserve"> </w:t>
            </w:r>
            <w:r>
              <w:rPr>
                <w:rFonts w:hint="eastAsia"/>
              </w:rPr>
              <w:t xml:space="preserve">中程</w:t>
            </w:r>
          </w:p>
        </w:tc>
        <w:tc>
          <w:tcPr/>
          <w:p>
            <w:pPr>
              <w:pStyle w:val="Compact"/>
              <w:jc w:val="left"/>
            </w:pPr>
            <w:r>
              <w:rPr>
                <w:rFonts w:hint="eastAsia"/>
              </w:rPr>
              <w:t xml:space="preserve">度</w:t>
            </w:r>
            <w:r>
              <w:t xml:space="preserve"> $45-$4</w:t>
            </w:r>
          </w:p>
        </w:tc>
        <w:tc>
          <w:tcPr/>
          <w:p>
            <w:pPr>
              <w:pStyle w:val="Compact"/>
              <w:jc w:val="right"/>
            </w:pPr>
            <w:r>
              <w:t xml:space="preserve">00</w:t>
            </w:r>
          </w:p>
        </w:tc>
        <w:tc>
          <w:tcPr/>
          <w:p>
            <w:pPr>
              <w:pStyle w:val="Compact"/>
            </w:pPr>
          </w:p>
        </w:tc>
      </w:tr>
    </w:tbl>
    <w:p>
      <w:pPr>
        <w:pStyle w:val="BodyText"/>
      </w:pPr>
      <w:r>
        <w:rPr>
          <w:rFonts w:hint="eastAsia"/>
        </w:rPr>
        <w:t xml:space="preserve">これらの範囲は臨床的予測ではなく計画上の見積もりである。生物学的反応、薬剤アクセス、食事パターン、運動、服薬遵守、測定の質に関する仮定を組み合わせたものだ。同じ観測結果にはいくつもの説明があり得る。より低いA1cは薬剤の効果、一時的な行動変化、夜勤の減少、あるいはその3つすべてを反映しているかもしれない。期待外れの結果は、治療が効果的でなかったことを意味するかもしれないし——あるいは一貫して実施されなかったことを意味するかもしれない。</w:t>
      </w:r>
    </w:p>
    <w:bookmarkEnd w:id="20"/>
    <w:bookmarkEnd w:id="21"/>
    <w:bookmarkStart w:id="22" w:name="患者が戻る前に"/>
    <w:p>
      <w:pPr>
        <w:pStyle w:val="Heading1"/>
      </w:pPr>
      <w:r>
        <w:rPr>
          <w:rFonts w:hint="eastAsia"/>
        </w:rPr>
        <w:t xml:space="preserve">患者が戻る前に</w:t>
      </w:r>
    </w:p>
    <w:p>
      <w:pPr>
        <w:pStyle w:val="FirstParagraph"/>
      </w:pPr>
      <w:r>
        <w:rPr>
          <w:rFonts w:hint="eastAsia"/>
        </w:rPr>
        <w:t xml:space="preserve">チームには、リードがカンファレンスルームに戻るまで20分あった。パークは計画を提案し、どの情報を収集するかを決め、クリニックがどのくらいの頻度で介入するかを決定し、リードが利用できる形でトレードオフを説明する必要があった。彼女はまた、90日目の受診前に変更を引き起こすべき条件——繰り返しの低血糖値、持続する高血糖、副作用、服薬忘れ、支払い不能、あるいは単にその計画が自分の生活に合わないというリードの判断——を決める必要もあった。</w:t>
      </w:r>
    </w:p>
    <w:p>
      <w:pPr>
        <w:pStyle w:val="BodyText"/>
      </w:pPr>
      <w:r>
        <w:rPr>
          <w:rFonts w:hint="eastAsia"/>
        </w:rPr>
        <w:t xml:space="preserve">モニターのグラフを見ながら、パークは最も重要な選択が薬剤に関するものなのか、モニタリング技術に関するものなのか、リードの日常の習慣に関するものなのか、フォローアップの強度に関するものなのか、あるいはこれらを導入する順序に関するものなのかを考えた。このケースには可能な行動が不足しているわけではなかった。不足していたのは、生理機能、スケジュール、資源、そして意欲のすべてが次の検査結果までに変化しうる患者に対して、各行動がどのように相互作用するかについての確信だった。</w:t>
      </w:r>
    </w:p>
    <w:bookmarkEnd w:id="22"/>
    <w:bookmarkStart w:id="23" w:name="議論のための質問"/>
    <w:p>
      <w:pPr>
        <w:pStyle w:val="Heading1"/>
      </w:pPr>
      <w:r>
        <w:rPr>
          <w:rFonts w:hint="eastAsia"/>
        </w:rPr>
        <w:t xml:space="preserve">議論のための質問</w:t>
      </w:r>
    </w:p>
    <w:p>
      <w:pPr>
        <w:numPr>
          <w:ilvl w:val="0"/>
          <w:numId w:val="1001"/>
        </w:numPr>
      </w:pPr>
      <w:r>
        <w:rPr>
          <w:rFonts w:hint="eastAsia"/>
        </w:rPr>
        <w:t xml:space="preserve">パークとレイクサイドのチームが直面している中心的な問題は何か。報告されている数値のうちどれが最も有益で、どれが重要な変動を隠している可能性があるか。</w:t>
      </w:r>
    </w:p>
    <w:p>
      <w:pPr>
        <w:numPr>
          <w:ilvl w:val="0"/>
          <w:numId w:val="1001"/>
        </w:numPr>
      </w:pPr>
      <w:r>
        <w:rPr>
          <w:rFonts w:hint="eastAsia"/>
        </w:rPr>
        <w:t xml:space="preserve">リードの高血糖または低血糖の直近のリスクは、何年もかけて発生しうる合併症の可能性とどのようにバランスを取るべきか。</w:t>
      </w:r>
    </w:p>
    <w:p>
      <w:pPr>
        <w:numPr>
          <w:ilvl w:val="0"/>
          <w:numId w:val="1001"/>
        </w:numPr>
      </w:pPr>
      <w:r>
        <w:rPr>
          <w:rFonts w:hint="eastAsia"/>
        </w:rPr>
        <w:t xml:space="preserve">治療計画を選択する前に、どのような追加情報が最も価値があるか。チームはそれをどのように得るべきか。</w:t>
      </w:r>
    </w:p>
    <w:p>
      <w:pPr>
        <w:numPr>
          <w:ilvl w:val="0"/>
          <w:numId w:val="1001"/>
        </w:numPr>
      </w:pPr>
      <w:r>
        <w:rPr>
          <w:rFonts w:hint="eastAsia"/>
        </w:rPr>
        <w:t xml:space="preserve">チームは直ちに治療を強化すべきか、治療計画を簡素化すべきか、それとも先にもっと観察を集めるべきか。</w:t>
      </w:r>
    </w:p>
    <w:p>
      <w:pPr>
        <w:numPr>
          <w:ilvl w:val="0"/>
          <w:numId w:val="1001"/>
        </w:numPr>
      </w:pPr>
      <w:r>
        <w:rPr>
          <w:rFonts w:hint="eastAsia"/>
        </w:rPr>
        <w:t xml:space="preserve">経済的な負担能力と保険の不確実性は、臨床的に魅力的な計画にどのように影響を与えるべきか。</w:t>
      </w:r>
    </w:p>
    <w:p>
      <w:pPr>
        <w:numPr>
          <w:ilvl w:val="0"/>
          <w:numId w:val="1001"/>
        </w:numPr>
      </w:pPr>
      <w:r>
        <w:rPr>
          <w:rFonts w:hint="eastAsia"/>
        </w:rPr>
        <w:t xml:space="preserve">計画のどの部分を臨床医が決定すべきで、どの選択を主にリードに委ねるべきか。</w:t>
      </w:r>
    </w:p>
    <w:p>
      <w:pPr>
        <w:numPr>
          <w:ilvl w:val="0"/>
          <w:numId w:val="1001"/>
        </w:numPr>
      </w:pPr>
      <w:r>
        <w:rPr>
          <w:rFonts w:hint="eastAsia"/>
        </w:rPr>
        <w:t xml:space="preserve">リードが計画の一部の要素しか実行しない場合、レイクサイドはどのように対応すべきか。</w:t>
      </w:r>
    </w:p>
    <w:p>
      <w:pPr>
        <w:numPr>
          <w:ilvl w:val="0"/>
          <w:numId w:val="1001"/>
        </w:numPr>
      </w:pPr>
      <w:r>
        <w:rPr>
          <w:rFonts w:hint="eastAsia"/>
        </w:rPr>
        <w:t xml:space="preserve">90日間の見直しの前に治療変更を引き起こすべき条件は何か。</w:t>
      </w:r>
    </w:p>
    <w:p>
      <w:pPr>
        <w:numPr>
          <w:ilvl w:val="0"/>
          <w:numId w:val="1001"/>
        </w:numPr>
      </w:pPr>
      <w:r>
        <w:rPr>
          <w:rFonts w:hint="eastAsia"/>
        </w:rPr>
        <w:t xml:space="preserve">クリニックは限られた薬剤師、教育担当者、ケアマネージャーの対応能力を、リードと他の患者の間でどのように配分すべきか。</w:t>
      </w:r>
    </w:p>
    <w:p>
      <w:pPr>
        <w:numPr>
          <w:ilvl w:val="0"/>
          <w:numId w:val="1001"/>
        </w:numPr>
      </w:pPr>
      <w:r>
        <w:rPr>
          <w:rFonts w:hint="eastAsia"/>
        </w:rPr>
        <w:t xml:space="preserve">血糖コントロール、低血糖リスク、コスト、治療負担、持続可能性が異なる方向を示している場合、90日後の成功とは何を意味するか。</w:t>
      </w:r>
    </w:p>
    <w:bookmarkEnd w:id="23"/>
    <w:bookmarkStart w:id="29" w:name="決定のフレーミングに関する質問"/>
    <w:p>
      <w:pPr>
        <w:pStyle w:val="Heading1"/>
      </w:pPr>
      <w:r>
        <w:rPr>
          <w:rFonts w:hint="eastAsia"/>
        </w:rPr>
        <w:t xml:space="preserve">決定のフレーミングに関する質問</w:t>
      </w:r>
    </w:p>
    <w:p>
      <w:pPr>
        <w:numPr>
          <w:ilvl w:val="0"/>
          <w:numId w:val="1002"/>
        </w:numPr>
      </w:pPr>
      <w:r>
        <w:rPr>
          <w:rFonts w:hint="eastAsia"/>
        </w:rPr>
        <w:t xml:space="preserve">決定を下す者の責任を特定し記述せよ。これによって問題の範囲が定まるはずである。</w:t>
      </w:r>
    </w:p>
    <w:p>
      <w:pPr>
        <w:numPr>
          <w:ilvl w:val="0"/>
          <w:numId w:val="1002"/>
        </w:numPr>
      </w:pPr>
      <w:hyperlink r:id="rId24">
        <w:r>
          <w:rPr>
            <w:rStyle w:val="Hyperlink"/>
          </w:rPr>
          <w:t xml:space="preserve">メトリクス・ピラミッド・ツール</w:t>
        </w:r>
      </w:hyperlink>
      <w:r>
        <w:rPr>
          <w:rFonts w:hint="eastAsia"/>
        </w:rPr>
        <w:t xml:space="preserve">を用いて、さまざまなパフォーマンス指標を特定し優先順位をつけよ。指標を保持する楕円をクリックして、それが最大化すべき指標(緑)か、最小化すべき指標(赤)か、下限としての目標値(薄緑)か、上限としての目標値(薄赤)か、あるいは目標値(紫)かを示せ。</w:t>
      </w:r>
    </w:p>
    <w:p>
      <w:pPr>
        <w:numPr>
          <w:ilvl w:val="0"/>
          <w:numId w:val="1002"/>
        </w:numPr>
      </w:pPr>
      <w:hyperlink r:id="rId25">
        <w:r>
          <w:rPr>
            <w:rStyle w:val="Hyperlink"/>
            <w:rFonts w:hint="eastAsia"/>
          </w:rPr>
          <w:t xml:space="preserve">決定優先順位付けツール</w:t>
        </w:r>
      </w:hyperlink>
      <w:r>
        <w:rPr>
          <w:rFonts w:hint="eastAsia"/>
        </w:rPr>
        <w:t xml:space="preserve">を用いて、まずさまざまな種類の決定を列挙せよ(</w:t>
      </w:r>
      <w:hyperlink r:id="rId26">
        <w:r>
          <w:rPr>
            <w:rStyle w:val="Hyperlink"/>
            <w:rFonts w:hint="eastAsia"/>
          </w:rPr>
          <w:t xml:space="preserve">決定の種類</w:t>
        </w:r>
      </w:hyperlink>
      <w:r>
        <w:rPr>
          <w:rFonts w:hint="eastAsia"/>
        </w:rPr>
        <w:t xml:space="preserve">をガイドとして使用すること)。これらは右側の行列の行を構成し、列は上記のピラミッドにおける優先順位に従って左から右にソートされたパフォーマンス指標である。各セルをクリックして、その決定が各指標に与える影響が高い(赤)、中程度(オレンジ)、低い(黄)、あるいはない(白)かを示せ。</w:t>
      </w:r>
    </w:p>
    <w:p>
      <w:pPr>
        <w:numPr>
          <w:ilvl w:val="0"/>
          <w:numId w:val="1002"/>
        </w:numPr>
      </w:pPr>
      <w:r>
        <w:rPr>
          <w:rFonts w:hint="eastAsia"/>
        </w:rPr>
        <w:t xml:space="preserve">各行の一番左にあるハンドル(3本の棒)をつかんで上下に動かすことができる。最も重要な指標に最大の影響を与える決定が上部に来るように行をソートせよ。左上のセルに、赤とオレンジのセルが最も集中しているはずである。この時点で、あなたの研究において最も注意を払うべき決定を特定せよ。最も重要な指標に中程度または高い影響を与える決定がない場合は、決定のリストを見直せ。</w:t>
      </w:r>
    </w:p>
    <w:p>
      <w:pPr>
        <w:numPr>
          <w:ilvl w:val="0"/>
          <w:numId w:val="1002"/>
        </w:numPr>
      </w:pPr>
      <w:hyperlink r:id="rId27">
        <w:r>
          <w:rPr>
            <w:rStyle w:val="Hyperlink"/>
            <w:rFonts w:hint="eastAsia"/>
          </w:rPr>
          <w:t xml:space="preserve">不確実性優先順位付けツール</w:t>
        </w:r>
      </w:hyperlink>
      <w:r>
        <w:rPr>
          <w:rFonts w:hint="eastAsia"/>
        </w:rPr>
        <w:t xml:space="preserve">を用いて、不確実性についても同様のプロセスを繰り返せ。</w:t>
      </w:r>
      <w:hyperlink r:id="rId28">
        <w:r>
          <w:rPr>
            <w:rStyle w:val="Hyperlink"/>
            <w:rFonts w:hint="eastAsia"/>
          </w:rPr>
          <w:t xml:space="preserve">不確実性のカテゴリー</w:t>
        </w:r>
      </w:hyperlink>
      <w:r>
        <w:rPr>
          <w:rFonts w:hint="eastAsia"/>
        </w:rPr>
        <w:t xml:space="preserve">を参考にしてこれらを特定せよ。</w:t>
      </w:r>
    </w:p>
    <w:p>
      <w:pPr>
        <w:numPr>
          <w:ilvl w:val="0"/>
          <w:numId w:val="1002"/>
        </w:numPr>
      </w:pPr>
      <w:r>
        <w:rPr>
          <w:rFonts w:hint="eastAsia"/>
        </w:rPr>
        <w:t xml:space="preserve">平均を用いて評価できる不確実性と、リスク事象として評価すべき不確実性とを区別することが重要である：</w:t>
      </w:r>
    </w:p>
    <w:p>
      <w:pPr>
        <w:numPr>
          <w:ilvl w:val="1"/>
          <w:numId w:val="1003"/>
        </w:numPr>
      </w:pPr>
      <w:r>
        <w:rPr>
          <w:rFonts w:hint="eastAsia"/>
        </w:rPr>
        <w:t xml:space="preserve">どの不確実性の源が、時間経過に伴う平均的なパフォーマンスとして捉えられるか。</w:t>
      </w:r>
    </w:p>
    <w:p>
      <w:pPr>
        <w:numPr>
          <w:ilvl w:val="1"/>
          <w:numId w:val="1003"/>
        </w:numPr>
      </w:pPr>
      <w:r>
        <w:rPr>
          <w:rFonts w:hint="eastAsia"/>
        </w:rPr>
        <w:t xml:space="preserve">どの不確実性の源が、平均では適切に捉えられないリスクの形態を表しているか。</w:t>
      </w:r>
    </w:p>
    <w:p>
      <w:pPr>
        <w:numPr>
          <w:ilvl w:val="0"/>
          <w:numId w:val="1002"/>
        </w:numPr>
      </w:pPr>
      <w:r>
        <w:rPr>
          <w:rFonts w:hint="eastAsia"/>
        </w:rPr>
        <w:t xml:space="preserve">最も重要な指標に最大の影響を与えると思われる単一の決定を選べ。</w:t>
      </w:r>
    </w:p>
    <w:p>
      <w:pPr>
        <w:numPr>
          <w:ilvl w:val="1"/>
          <w:numId w:val="1004"/>
        </w:numPr>
      </w:pPr>
      <w:r>
        <w:rPr>
          <w:rFonts w:hint="eastAsia"/>
        </w:rPr>
        <w:t xml:space="preserve">この決定を下すためにどのようなアプローチを用いると思うか。</w:t>
      </w:r>
    </w:p>
    <w:p>
      <w:pPr>
        <w:numPr>
          <w:ilvl w:val="1"/>
          <w:numId w:val="1004"/>
        </w:numPr>
      </w:pPr>
      <w:r>
        <w:rPr>
          <w:rFonts w:hint="eastAsia"/>
        </w:rPr>
        <w:t xml:space="preserve">この決定を下すために必要と思われるデータは何か。決定が高いまたは中程度の影響を与えるパフォーマンス指標の計算に必要なデータも含む。</w:t>
      </w:r>
    </w:p>
    <w:p>
      <w:pPr>
        <w:numPr>
          <w:ilvl w:val="0"/>
          <w:numId w:val="1002"/>
        </w:numPr>
      </w:pPr>
      <w:r>
        <w:rPr>
          <w:rFonts w:hint="eastAsia"/>
        </w:rPr>
        <w:t xml:space="preserve">(7)で特定した同じ決定を用いて、その決定を実施するために協力する必要がある人々、部門、グループ、あるいは組織を特定せよ。</w:t>
      </w:r>
    </w:p>
    <w:bookmarkEnd w:id="29"/>
    <w:bookmarkStart w:id="30" w:name="出典注記"/>
    <w:p>
      <w:pPr>
        <w:pStyle w:val="Heading1"/>
      </w:pPr>
      <w:r>
        <w:rPr>
          <w:rFonts w:hint="eastAsia"/>
        </w:rPr>
        <w:t xml:space="preserve">出典注記</w:t>
      </w:r>
    </w:p>
    <w:p>
      <w:pPr>
        <w:pStyle w:val="FirstParagraph"/>
      </w:pPr>
      <w:r>
        <w:rPr>
          <w:rFonts w:hint="eastAsia"/>
        </w:rPr>
        <w:t xml:space="preserve">このケースの概念的基盤は、Warren</w:t>
      </w:r>
      <w:r>
        <w:t xml:space="preserve"> B. </w:t>
      </w:r>
      <w:r>
        <w:rPr>
          <w:rFonts w:hint="eastAsia"/>
        </w:rPr>
        <w:t xml:space="preserve">Powell著『Bridging</w:t>
      </w:r>
      <w:r>
        <w:t xml:space="preserve"> Decision Problems, Volume I: Framing the </w:t>
      </w:r>
      <w:r>
        <w:rPr>
          <w:rFonts w:hint="eastAsia"/>
        </w:rPr>
        <w:t xml:space="preserve">Problem』第2章の「2型糖尿病の管理」の節である。このケースは、その節における臨床測定値、治療の選択肢、患者の行動、未知の反応を、それらを別個の分析カテゴリーとして明示することなく、物語と図表の中に組み込んでいる。</w:t>
      </w:r>
    </w:p>
    <w:p>
      <w:pPr>
        <w:pStyle w:val="BodyText"/>
      </w:pPr>
      <w:r>
        <w:rPr>
          <w:rFonts w:hint="eastAsia"/>
        </w:rPr>
        <w:t xml:space="preserve">この設定を動機づけるために用いた公開データには、疾病予防管理センター(CDC)の『National</w:t>
      </w:r>
      <w:r>
        <w:t xml:space="preserve"> Diabetes Statistics </w:t>
      </w:r>
      <w:r>
        <w:rPr>
          <w:rFonts w:hint="eastAsia"/>
        </w:rPr>
        <w:t xml:space="preserve">Report』(2026年1月更新版)——2023年時点で米国に4,010万人の糖尿病患者と1億1,520万人の前糖尿病の成人がいると推計している——、2型糖尿病が診断済み症例のおよそ90〜95パーセントを占めると報告するCDCの『Diabetes</w:t>
      </w:r>
      <w:r>
        <w:t xml:space="preserve"> </w:t>
      </w:r>
      <w:r>
        <w:rPr>
          <w:rFonts w:hint="eastAsia"/>
        </w:rPr>
        <w:t xml:space="preserve">Basics』、そして2022年の診断済み糖尿病のコストを4,129億ドルと推計する国立糖尿病・消化器・腎臓病研究所(NIDDK)の推計が含まれる。CDCはまた、糖尿病関連の医療費が糖尿病を持たない人々に比べて糖尿病を持つ人々では2倍以上高いと報告している。このケースに登場するすべての患者、クリニック、治療、保険、財務データは架空のものであり、医療上の指針を意図したものではない。</w:t>
      </w:r>
    </w:p>
    <w:bookmarkEnd w:id="30"/>
    <w:bookmarkStart w:id="33" w:name="chatgptノート"/>
    <w:p>
      <w:pPr>
        <w:pStyle w:val="Heading1"/>
      </w:pPr>
      <w:r>
        <w:t xml:space="preserve">ChatGPTノート</w:t>
      </w:r>
    </w:p>
    <w:bookmarkStart w:id="31" w:name="プロンプト"/>
    <w:p>
      <w:pPr>
        <w:pStyle w:val="Heading2"/>
      </w:pPr>
      <w:r>
        <w:t xml:space="preserve">プロンプト</w:t>
      </w:r>
    </w:p>
    <w:p>
      <w:pPr>
        <w:pStyle w:val="FirstParagraph"/>
      </w:pPr>
      <w:r>
        <w:t xml:space="preserve">https://warrenpowell.org/bridging-vol1/chapter-2/#managing-type-2-diabetes </w:t>
      </w:r>
      <w:r>
        <w:rPr>
          <w:rFonts w:hint="eastAsia"/>
        </w:rPr>
        <w:t xml:space="preserve">のセクションの内容に基づいた4〜6ページのケーススタディを書いてください。そのセクションにある指標、決定、不確実性に基づいた文脈を作成しますが、それらを明示的に指し示すことはしません。ケースの問題をデータで動機づけてください。</w:t>
      </w:r>
    </w:p>
    <w:bookmarkEnd w:id="31"/>
    <w:bookmarkStart w:id="32" w:name="概要"/>
    <w:p>
      <w:pPr>
        <w:pStyle w:val="Heading2"/>
      </w:pPr>
      <w:r>
        <w:rPr>
          <w:rFonts w:hint="eastAsia"/>
        </w:rPr>
        <w:t xml:space="preserve">概要</w:t>
      </w:r>
    </w:p>
    <w:p>
      <w:pPr>
        <w:pStyle w:val="FirstParagraph"/>
      </w:pPr>
      <w:r>
        <w:rPr>
          <w:rFonts w:hint="eastAsia"/>
        </w:rPr>
        <w:t xml:space="preserve">このケースは、薬剤反応、血糖モニタリング、食事と運動、服薬遵守、治療コスト、保険適用、スタッフの対応能力、そして短期的な血糖変動と長期的な合併症との間の緊張関係を伴う、未解決の2型糖尿病治療の問題に直面する医師、ケアチーム、患者を追う。</w:t>
      </w:r>
    </w:p>
    <w:p>
      <w:pPr>
        <w:pStyle w:val="BodyText"/>
      </w:pPr>
      <w:r>
        <w:rPr>
          <w:rFonts w:hint="eastAsia"/>
        </w:rPr>
        <w:t xml:space="preserve">この設定は、2023年に4,010万人の米国人が糖尿病を患っていたという現在の連邦推計、2型糖尿病が診断済み症例のおよそ90〜95%を占めるという事実、そして2022年の診断済み糖尿病の米国における推定コストが4,129億ドルであったという事実によって動機づけられている。</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2026-09-11T17:47:15Z</dcterms:created>
  <dcterms:modified xsi:type="dcterms:W3CDTF">2026-09-11T17:47:15Z</dcterms:modified>
</cp:coreProperties>
</file>

<file path=docProps/custom.xml><?xml version="1.0" encoding="utf-8"?>
<Properties xmlns="http://schemas.openxmlformats.org/officeDocument/2006/custom-properties" xmlns:vt="http://schemas.openxmlformats.org/officeDocument/2006/docPropsVTypes"/>
</file>