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メリディアン選挙戦"/>
    <w:p>
      <w:pPr>
        <w:pStyle w:val="Heading1"/>
      </w:pPr>
      <w:r>
        <w:rPr>
          <w:rFonts w:hint="eastAsia"/>
        </w:rPr>
        <w:t xml:space="preserve">メリディアン選挙戦</w:t>
      </w:r>
    </w:p>
    <w:bookmarkStart w:id="9" w:name="票の地図"/>
    <w:p>
      <w:pPr>
        <w:pStyle w:val="Heading2"/>
      </w:pPr>
      <w:r>
        <w:rPr>
          <w:rFonts w:hint="eastAsia"/>
        </w:rPr>
        <w:t xml:space="preserve">93票の地図</w:t>
      </w:r>
    </w:p>
    <w:p>
      <w:pPr>
        <w:pStyle w:val="FirstParagraph"/>
      </w:pPr>
      <w:r>
        <w:rPr>
          <w:rFonts w:hint="eastAsia"/>
        </w:rPr>
        <w:t xml:space="preserve">変化し続ける選挙情勢の中で、資金、候補者の時間、情報、そして現場対応力をどう配分するかを扱う大統領選挙のケース</w:t>
      </w:r>
    </w:p>
    <w:p>
      <w:pPr>
        <w:pStyle w:val="BodyText"/>
      </w:pPr>
      <w:r>
        <w:rPr>
          <w:rFonts w:hint="eastAsia"/>
        </w:rPr>
        <w:t xml:space="preserve">このケースは架空のものであり、授業での議論を目的としている。候補者、政党、スタッフ、イベント、世論調査結果、内部財務数値はすべてこのケースのために創作されたものである。公的な選挙および選挙資金に関する統計は出典注記にまとめられている。</w:t>
      </w:r>
    </w:p>
    <w:bookmarkEnd w:id="9"/>
    <w:bookmarkEnd w:id="10"/>
    <w:bookmarkStart w:id="12" w:name="投票日まで11週間"/>
    <w:p>
      <w:pPr>
        <w:pStyle w:val="Heading1"/>
      </w:pPr>
      <w:r>
        <w:rPr>
          <w:rFonts w:hint="eastAsia"/>
        </w:rPr>
        <w:t xml:space="preserve">投票日まで11週間</w:t>
      </w:r>
    </w:p>
    <w:p>
      <w:pPr>
        <w:pStyle w:val="FirstParagraph"/>
      </w:pPr>
      <w:r>
        <w:rPr>
          <w:rFonts w:hint="eastAsia"/>
        </w:rPr>
        <w:t xml:space="preserve">8月のある月曜日、朝6時15分。選挙対策本部長のマヤ・チェンは、メリディアン選挙対策本部にある壁一面の選挙地図の前に立っていた。有権者が次期大統領を選ぶまで残り11週間。地図は、ジョーダン・メリディアン州知事にとって確実または優勢とされる226人の選挙人、キャメロン・リード上院議員にとってのそれが219人、そしてどちらの陣営も確信をもって主張できない7つの州に分散する93人を示していた。勝利には270人が必要だった。</w:t>
      </w:r>
    </w:p>
    <w:p>
      <w:pPr>
        <w:pStyle w:val="BodyText"/>
      </w:pPr>
      <w:r>
        <w:rPr>
          <w:rFonts w:hint="eastAsia"/>
        </w:rPr>
        <w:t xml:space="preserve">選挙戦は競争力を維持するのに十分な資金を持っていたが、あらゆる機会を追求するには足りなかった。メリディアン陣営の選対委員会は1億3,800万ドルの現金を保有していた。財務担当スタッフは投票日までにさらに5,200万ドルを見込んでいたが、その予測はメッセージへの寄付者の反応、討論会、ニュースイベント、そして全国世論調査における陣営の立ち位置に左右された。既存の給与、移動費、党大会関連の義務、法務費用、広告予約にはすでに9,600万ドルが割り当てられていた。州担当ディレクターたちは、事務所開設、オーガナイザー、データサービス、世論調査、有権者接触、投票日運営のためにさらに8,400万ドルを求めていた。</w:t>
      </w:r>
    </w:p>
    <w:p>
      <w:pPr>
        <w:pStyle w:val="BodyText"/>
      </w:pPr>
      <w:r>
        <w:rPr>
          <w:rFonts w:hint="eastAsia"/>
        </w:rPr>
        <w:t xml:space="preserve">チェンは48時間以内に最終的なリソース計画を提示するよう求められていた。候補者は7つの接戦州すべてで選挙運動を行いたいと考えていた。広告チームは価格が上昇する前にテレビおよびストリーミング配信枠を予約したいと考えていた。フィールドディレクターは、すでに登録している多くのボランティアの優位性が、採用の遅れによって無駄になると主張した。世論調査ディレクターは、陣営内部の推定値が3週間で2度大きく変動したことを受け、より大きなサンプルとより頻繁な調査を求めていた。財務ディレクターは、陣営は単に「集まることを期待している」だけの資金を使うことはできないと警告した。</w:t>
      </w:r>
    </w:p>
    <w:bookmarkStart w:id="11" w:name="図表1.-接戦となっている選挙地図"/>
    <w:p>
      <w:pPr>
        <w:pStyle w:val="Heading2"/>
      </w:pPr>
      <w:r>
        <w:rPr>
          <w:rFonts w:hint="eastAsia"/>
        </w:rPr>
        <w:t xml:space="preserve">図表1.</w:t>
      </w:r>
      <w:r>
        <w:t xml:space="preserve"> </w:t>
      </w:r>
      <w:r>
        <w:rPr>
          <w:rFonts w:hint="eastAsia"/>
        </w:rPr>
        <w:t xml:space="preserve">接戦となっている選挙地図</w:t>
      </w:r>
    </w:p>
    <w:tbl>
      <w:tblPr>
        <w:tblStyle w:val="Table"/>
        <w:tblW w:type="pct" w:w="4903"/>
        <w:tblLayout w:type="fixed"/>
        <w:tblLook w:firstRow="1" w:lastRow="0" w:firstColumn="0" w:lastColumn="0" w:noHBand="0" w:noVBand="0" w:val="0020"/>
      </w:tblPr>
      <w:tblGrid>
        <w:gridCol w:w="1153"/>
        <w:gridCol w:w="1384"/>
        <w:gridCol w:w="1230"/>
        <w:gridCol w:w="922"/>
        <w:gridCol w:w="1537"/>
        <w:gridCol w:w="1537"/>
      </w:tblGrid>
      <w:tr>
        <w:trPr>
          <w:tblHeader w:val="on"/>
        </w:trPr>
        <w:tc>
          <w:tcPr/>
          <w:p>
            <w:pPr>
              <w:pStyle w:val="Compact"/>
              <w:jc w:val="left"/>
            </w:pPr>
            <w:r>
              <w:rPr>
                <w:rFonts w:hint="eastAsia"/>
              </w:rPr>
              <w:t xml:space="preserve">州</w:t>
            </w:r>
          </w:p>
        </w:tc>
        <w:tc>
          <w:tcPr/>
          <w:p>
            <w:pPr>
              <w:pStyle w:val="Compact"/>
              <w:jc w:val="left"/>
            </w:pPr>
            <w:r>
              <w:rPr>
                <w:rFonts w:hint="eastAsia"/>
              </w:rPr>
              <w:t xml:space="preserve">選挙人数</w:t>
            </w:r>
          </w:p>
        </w:tc>
        <w:tc>
          <w:tcPr/>
          <w:p>
            <w:pPr>
              <w:pStyle w:val="Compact"/>
              <w:jc w:val="right"/>
            </w:pPr>
            <w:r>
              <w:rPr>
                <w:rFonts w:hint="eastAsia"/>
              </w:rPr>
              <w:t xml:space="preserve">メリディアン支持</w:t>
            </w:r>
          </w:p>
        </w:tc>
        <w:tc>
          <w:tcPr/>
          <w:p>
            <w:pPr>
              <w:pStyle w:val="Compact"/>
            </w:pPr>
            <w:r>
              <w:rPr>
                <w:rFonts w:hint="eastAsia"/>
              </w:rPr>
              <w:t xml:space="preserve">率</w:t>
            </w:r>
            <w:r>
              <w:t xml:space="preserve"> </w:t>
            </w:r>
            <w:r>
              <w:rPr>
                <w:rFonts w:hint="eastAsia"/>
              </w:rPr>
              <w:t xml:space="preserve">リード支</w:t>
            </w:r>
          </w:p>
        </w:tc>
        <w:tc>
          <w:tcPr/>
          <w:p>
            <w:pPr>
              <w:pStyle w:val="Compact"/>
            </w:pPr>
            <w:r>
              <w:rPr>
                <w:rFonts w:hint="eastAsia"/>
              </w:rPr>
              <w:t xml:space="preserve">持率</w:t>
            </w:r>
            <w:r>
              <w:t xml:space="preserve"> </w:t>
            </w:r>
            <w:r>
              <w:rPr>
                <w:rFonts w:hint="eastAsia"/>
              </w:rPr>
              <w:t xml:space="preserve">未決定/その他</w:t>
            </w:r>
          </w:p>
        </w:tc>
        <w:tc>
          <w:tcPr/>
          <w:p>
            <w:pPr>
              <w:pStyle w:val="Compact"/>
              <w:jc w:val="center"/>
            </w:pPr>
            <w:r>
              <w:rPr>
                <w:rFonts w:hint="eastAsia"/>
              </w:rPr>
              <w:t xml:space="preserve">推定投票者数</w:t>
            </w:r>
          </w:p>
        </w:tc>
      </w:tr>
      <w:tr>
        <w:tc>
          <w:tcPr/>
          <w:p>
            <w:pPr>
              <w:pStyle w:val="Compact"/>
              <w:jc w:val="left"/>
            </w:pPr>
            <w:r>
              <w:t xml:space="preserve">ノースレイク</w:t>
            </w:r>
          </w:p>
        </w:tc>
        <w:tc>
          <w:tcPr/>
          <w:p>
            <w:pPr>
              <w:pStyle w:val="Compact"/>
              <w:jc w:val="left"/>
            </w:pPr>
            <w:r>
              <w:t xml:space="preserve">19</w:t>
            </w:r>
          </w:p>
        </w:tc>
        <w:tc>
          <w:tcPr/>
          <w:p>
            <w:pPr>
              <w:pStyle w:val="Compact"/>
              <w:jc w:val="right"/>
            </w:pPr>
            <w:r>
              <w:t xml:space="preserve">47.8%</w:t>
            </w:r>
          </w:p>
        </w:tc>
        <w:tc>
          <w:tcPr/>
          <w:p>
            <w:pPr>
              <w:pStyle w:val="Compact"/>
            </w:pPr>
            <w:r>
              <w:t xml:space="preserve">48.6%</w:t>
            </w:r>
          </w:p>
        </w:tc>
        <w:tc>
          <w:tcPr/>
          <w:p>
            <w:pPr>
              <w:pStyle w:val="Compact"/>
            </w:pPr>
            <w:r>
              <w:t xml:space="preserve">3.6%</w:t>
            </w:r>
          </w:p>
        </w:tc>
        <w:tc>
          <w:tcPr/>
          <w:p>
            <w:pPr>
              <w:pStyle w:val="Compact"/>
              <w:jc w:val="center"/>
            </w:pPr>
            <w:r>
              <w:rPr>
                <w:rFonts w:hint="eastAsia"/>
              </w:rPr>
              <w:t xml:space="preserve">690万</w:t>
            </w:r>
          </w:p>
        </w:tc>
      </w:tr>
      <w:tr>
        <w:tc>
          <w:tcPr/>
          <w:p>
            <w:pPr>
              <w:pStyle w:val="Compact"/>
              <w:jc w:val="left"/>
            </w:pPr>
            <w:r>
              <w:t xml:space="preserve">グレートプレーン</w:t>
            </w:r>
          </w:p>
        </w:tc>
        <w:tc>
          <w:tcPr/>
          <w:p>
            <w:pPr>
              <w:pStyle w:val="Compact"/>
              <w:jc w:val="left"/>
            </w:pPr>
            <w:r>
              <w:t xml:space="preserve">ズ 16 4</w:t>
            </w:r>
          </w:p>
        </w:tc>
        <w:tc>
          <w:tcPr/>
          <w:p>
            <w:pPr>
              <w:pStyle w:val="Compact"/>
              <w:jc w:val="right"/>
            </w:pPr>
            <w:r>
              <w:t xml:space="preserve">8.7% 4</w:t>
            </w:r>
          </w:p>
        </w:tc>
        <w:tc>
          <w:tcPr/>
          <w:p>
            <w:pPr>
              <w:pStyle w:val="Compact"/>
            </w:pPr>
            <w:r>
              <w:t xml:space="preserve">7.9% 3</w:t>
            </w:r>
          </w:p>
        </w:tc>
        <w:tc>
          <w:tcPr/>
          <w:p>
            <w:pPr>
              <w:pStyle w:val="Compact"/>
            </w:pPr>
            <w:r>
              <w:t xml:space="preserve">.4% 5</w:t>
            </w:r>
          </w:p>
        </w:tc>
        <w:tc>
          <w:tcPr/>
          <w:p>
            <w:pPr>
              <w:pStyle w:val="Compact"/>
              <w:jc w:val="center"/>
            </w:pPr>
            <w:r>
              <w:rPr>
                <w:rFonts w:hint="eastAsia"/>
              </w:rPr>
              <w:t xml:space="preserve">50万</w:t>
            </w:r>
          </w:p>
        </w:tc>
      </w:tr>
      <w:tr>
        <w:tc>
          <w:tcPr/>
          <w:p>
            <w:pPr>
              <w:pStyle w:val="Compact"/>
              <w:jc w:val="left"/>
            </w:pPr>
            <w:r>
              <w:t xml:space="preserve">ピードモント</w:t>
            </w:r>
          </w:p>
        </w:tc>
        <w:tc>
          <w:tcPr/>
          <w:p>
            <w:pPr>
              <w:pStyle w:val="Compact"/>
              <w:jc w:val="left"/>
            </w:pPr>
            <w:r>
              <w:t xml:space="preserve">16</w:t>
            </w:r>
          </w:p>
        </w:tc>
        <w:tc>
          <w:tcPr/>
          <w:p>
            <w:pPr>
              <w:pStyle w:val="Compact"/>
              <w:jc w:val="right"/>
            </w:pPr>
            <w:r>
              <w:t xml:space="preserve">47.2%</w:t>
            </w:r>
          </w:p>
        </w:tc>
        <w:tc>
          <w:tcPr/>
          <w:p>
            <w:pPr>
              <w:pStyle w:val="Compact"/>
            </w:pPr>
            <w:r>
              <w:t xml:space="preserve">49.1%</w:t>
            </w:r>
          </w:p>
        </w:tc>
        <w:tc>
          <w:tcPr/>
          <w:p>
            <w:pPr>
              <w:pStyle w:val="Compact"/>
            </w:pPr>
            <w:r>
              <w:t xml:space="preserve">3.7%</w:t>
            </w:r>
          </w:p>
        </w:tc>
        <w:tc>
          <w:tcPr/>
          <w:p>
            <w:pPr>
              <w:pStyle w:val="Compact"/>
              <w:jc w:val="center"/>
            </w:pPr>
            <w:r>
              <w:rPr>
                <w:rFonts w:hint="eastAsia"/>
              </w:rPr>
              <w:t xml:space="preserve">580万</w:t>
            </w:r>
          </w:p>
        </w:tc>
      </w:tr>
      <w:tr>
        <w:tc>
          <w:tcPr/>
          <w:p>
            <w:pPr>
              <w:pStyle w:val="Compact"/>
              <w:jc w:val="left"/>
            </w:pPr>
            <w:r>
              <w:t xml:space="preserve">ミッドランド</w:t>
            </w:r>
          </w:p>
        </w:tc>
        <w:tc>
          <w:tcPr/>
          <w:p>
            <w:pPr>
              <w:pStyle w:val="Compact"/>
              <w:jc w:val="left"/>
            </w:pPr>
            <w:r>
              <w:t xml:space="preserve">15</w:t>
            </w:r>
          </w:p>
        </w:tc>
        <w:tc>
          <w:tcPr/>
          <w:p>
            <w:pPr>
              <w:pStyle w:val="Compact"/>
              <w:jc w:val="right"/>
            </w:pPr>
            <w:r>
              <w:t xml:space="preserve">48.9%</w:t>
            </w:r>
          </w:p>
        </w:tc>
        <w:tc>
          <w:tcPr/>
          <w:p>
            <w:pPr>
              <w:pStyle w:val="Compact"/>
            </w:pPr>
            <w:r>
              <w:t xml:space="preserve">48.5%</w:t>
            </w:r>
          </w:p>
        </w:tc>
        <w:tc>
          <w:tcPr/>
          <w:p>
            <w:pPr>
              <w:pStyle w:val="Compact"/>
            </w:pPr>
            <w:r>
              <w:t xml:space="preserve">2.6%</w:t>
            </w:r>
          </w:p>
        </w:tc>
        <w:tc>
          <w:tcPr/>
          <w:p>
            <w:pPr>
              <w:pStyle w:val="Compact"/>
              <w:jc w:val="center"/>
            </w:pPr>
            <w:r>
              <w:rPr>
                <w:rFonts w:hint="eastAsia"/>
              </w:rPr>
              <w:t xml:space="preserve">570万</w:t>
            </w:r>
          </w:p>
        </w:tc>
      </w:tr>
      <w:tr>
        <w:tc>
          <w:tcPr/>
          <w:p>
            <w:pPr>
              <w:pStyle w:val="Compact"/>
              <w:jc w:val="left"/>
            </w:pPr>
            <w:r>
              <w:t xml:space="preserve">ソノラ</w:t>
            </w:r>
          </w:p>
        </w:tc>
        <w:tc>
          <w:tcPr/>
          <w:p>
            <w:pPr>
              <w:pStyle w:val="Compact"/>
              <w:jc w:val="left"/>
            </w:pPr>
            <w:r>
              <w:t xml:space="preserve">11</w:t>
            </w:r>
          </w:p>
        </w:tc>
        <w:tc>
          <w:tcPr/>
          <w:p>
            <w:pPr>
              <w:pStyle w:val="Compact"/>
              <w:jc w:val="right"/>
            </w:pPr>
            <w:r>
              <w:t xml:space="preserve">46.8%</w:t>
            </w:r>
          </w:p>
        </w:tc>
        <w:tc>
          <w:tcPr/>
          <w:p>
            <w:pPr>
              <w:pStyle w:val="Compact"/>
            </w:pPr>
            <w:r>
              <w:t xml:space="preserve">49.6%</w:t>
            </w:r>
          </w:p>
        </w:tc>
        <w:tc>
          <w:tcPr/>
          <w:p>
            <w:pPr>
              <w:pStyle w:val="Compact"/>
            </w:pPr>
            <w:r>
              <w:t xml:space="preserve">3.6%</w:t>
            </w:r>
          </w:p>
        </w:tc>
        <w:tc>
          <w:tcPr/>
          <w:p>
            <w:pPr>
              <w:pStyle w:val="Compact"/>
              <w:jc w:val="center"/>
            </w:pPr>
            <w:r>
              <w:rPr>
                <w:rFonts w:hint="eastAsia"/>
              </w:rPr>
              <w:t xml:space="preserve">350万</w:t>
            </w:r>
          </w:p>
        </w:tc>
      </w:tr>
      <w:tr>
        <w:tc>
          <w:tcPr/>
          <w:p>
            <w:pPr>
              <w:pStyle w:val="Compact"/>
              <w:jc w:val="left"/>
            </w:pPr>
            <w:r>
              <w:t xml:space="preserve">レイクランド</w:t>
            </w:r>
          </w:p>
        </w:tc>
        <w:tc>
          <w:tcPr/>
          <w:p>
            <w:pPr>
              <w:pStyle w:val="Compact"/>
              <w:jc w:val="left"/>
            </w:pPr>
            <w:r>
              <w:t xml:space="preserve">10</w:t>
            </w:r>
          </w:p>
        </w:tc>
        <w:tc>
          <w:tcPr/>
          <w:p>
            <w:pPr>
              <w:pStyle w:val="Compact"/>
              <w:jc w:val="right"/>
            </w:pPr>
            <w:r>
              <w:t xml:space="preserve">49.3%</w:t>
            </w:r>
          </w:p>
        </w:tc>
        <w:tc>
          <w:tcPr/>
          <w:p>
            <w:pPr>
              <w:pStyle w:val="Compact"/>
            </w:pPr>
            <w:r>
              <w:t xml:space="preserve">48.8%</w:t>
            </w:r>
          </w:p>
        </w:tc>
        <w:tc>
          <w:tcPr/>
          <w:p>
            <w:pPr>
              <w:pStyle w:val="Compact"/>
            </w:pPr>
            <w:r>
              <w:t xml:space="preserve">1.9%</w:t>
            </w:r>
          </w:p>
        </w:tc>
        <w:tc>
          <w:tcPr/>
          <w:p>
            <w:pPr>
              <w:pStyle w:val="Compact"/>
              <w:jc w:val="center"/>
            </w:pPr>
            <w:r>
              <w:rPr>
                <w:rFonts w:hint="eastAsia"/>
              </w:rPr>
              <w:t xml:space="preserve">340万</w:t>
            </w:r>
          </w:p>
        </w:tc>
      </w:tr>
      <w:tr>
        <w:tc>
          <w:tcPr/>
          <w:p>
            <w:pPr>
              <w:pStyle w:val="Compact"/>
              <w:jc w:val="left"/>
            </w:pPr>
            <w:r>
              <w:t xml:space="preserve">シルバーベイスン</w:t>
            </w:r>
          </w:p>
        </w:tc>
        <w:tc>
          <w:tcPr/>
          <w:p>
            <w:pPr>
              <w:pStyle w:val="Compact"/>
              <w:jc w:val="left"/>
            </w:pPr>
            <w:r>
              <w:t xml:space="preserve">6 4</w:t>
            </w:r>
          </w:p>
        </w:tc>
        <w:tc>
          <w:tcPr/>
          <w:p>
            <w:pPr>
              <w:pStyle w:val="Compact"/>
              <w:jc w:val="right"/>
            </w:pPr>
            <w:r>
              <w:t xml:space="preserve">7.6% 4</w:t>
            </w:r>
          </w:p>
        </w:tc>
        <w:tc>
          <w:tcPr/>
          <w:p>
            <w:pPr>
              <w:pStyle w:val="Compact"/>
            </w:pPr>
            <w:r>
              <w:t xml:space="preserve">8.9% 3</w:t>
            </w:r>
          </w:p>
        </w:tc>
        <w:tc>
          <w:tcPr/>
          <w:p>
            <w:pPr>
              <w:pStyle w:val="Compact"/>
            </w:pPr>
            <w:r>
              <w:t xml:space="preserve">.5% 1</w:t>
            </w:r>
          </w:p>
        </w:tc>
        <w:tc>
          <w:tcPr/>
          <w:p>
            <w:pPr>
              <w:pStyle w:val="Compact"/>
              <w:jc w:val="center"/>
            </w:pPr>
            <w:r>
              <w:rPr>
                <w:rFonts w:hint="eastAsia"/>
              </w:rPr>
              <w:t xml:space="preserve">50万</w:t>
            </w:r>
          </w:p>
        </w:tc>
      </w:tr>
    </w:tbl>
    <w:p>
      <w:pPr>
        <w:pStyle w:val="BodyText"/>
      </w:pPr>
      <w:r>
        <w:rPr>
          <w:rFonts w:hint="eastAsia"/>
        </w:rPr>
        <w:t xml:space="preserve">注：内部世論調査の推定値は架空のものである。パーセンテージは端数処理のため合計が100にならない場合がある。</w:t>
      </w:r>
    </w:p>
    <w:bookmarkEnd w:id="11"/>
    <w:bookmarkEnd w:id="12"/>
    <w:bookmarkStart w:id="13" w:name="州ごとに決まる全国選挙"/>
    <w:p>
      <w:pPr>
        <w:pStyle w:val="Heading1"/>
      </w:pPr>
      <w:r>
        <w:rPr>
          <w:rFonts w:hint="eastAsia"/>
        </w:rPr>
        <w:t xml:space="preserve">州ごとに決まる全国選挙</w:t>
      </w:r>
    </w:p>
    <w:p>
      <w:pPr>
        <w:pStyle w:val="FirstParagraph"/>
      </w:pPr>
      <w:r>
        <w:rPr>
          <w:rFonts w:hint="eastAsia"/>
        </w:rPr>
        <w:t xml:space="preserve">全国的な得票率は選挙戦の公的な物語を形づくったが、選挙人団が勝者を決定する。近年の歴史は、僅差の州の重要性を裏付けている。2020年には、アリゾナ、ジョージア、ウィスコンシンの3州合計で43,000票未満の差が勝敗を分けた。2024年には、最も注目された7つの接戦州が93人の選挙人を占めていた。そのうち6州は約1〜3パーセンテージポイントの差で決着し、アリゾナの差はそれより大きかった。全国レベルでの1ポイントのシフトは、投票率、候補者の支持傾向、地域固有の争点によって、州ごとにまったく異なる結果を生みうる。</w:t>
      </w:r>
    </w:p>
    <w:p>
      <w:pPr>
        <w:pStyle w:val="BodyText"/>
      </w:pPr>
      <w:r>
        <w:rPr>
          <w:rFonts w:hint="eastAsia"/>
        </w:rPr>
        <w:t xml:space="preserve">有権者層自体も規模が大きく、多様であった。国勢調査局の推定によれば、2024年には投票年齢に達した市民1億7,400万人が登録し、1億5,400万人が投票し、投票率は65.3パーセントであった。投票方法も大きく異なっていた。約40パーセントが投票日当日に対面で投票し、31パーセントが期日前に対面で投票し、29パーセントが郵便で投票した。投票率は年齢、学歴、地域、その他の属性によっても異なった。チェンにとってこれは、説得、有権者登録、期日前投票の動員、郵便投票の支援、投票日当日の運営を単一の活動として扱うことはできないことを意味した。</w:t>
      </w:r>
    </w:p>
    <w:p>
      <w:pPr>
        <w:pStyle w:val="BodyText"/>
      </w:pPr>
      <w:r>
        <w:rPr>
          <w:rFonts w:hint="eastAsia"/>
        </w:rPr>
        <w:t xml:space="preserve">メリディアン陣営の支持連合は、大卒の郊外有権者、若年層、労働組合世帯、成長を続ける大都市圏コミュニティから構成されていた。リード陣営は農村部の有権者、非大卒の高齢層、そして小規模な町に集中するいくつかの層で優勢だった。どちらの支持連合も一様ではなかった。メリディアンは住宅費に関して若年層から高い評価を得ていたが、経済への信頼感に関しては評価が低かった。リードは国境警備とインフレに関して優勢だったが、郊外の女性層からは好ましくない評価を受けていた。陣営の調査チームは、未決定の有権者層には、真に説得可能な有権者と、そもそも投票しそうにない人々の両方が含まれていると考えていた。</w:t>
      </w:r>
    </w:p>
    <w:bookmarkEnd w:id="13"/>
    <w:bookmarkStart w:id="15" w:name="カレンダーもまた資源であった"/>
    <w:p>
      <w:pPr>
        <w:pStyle w:val="Heading1"/>
      </w:pPr>
      <w:r>
        <w:rPr>
          <w:rFonts w:hint="eastAsia"/>
        </w:rPr>
        <w:t xml:space="preserve">カレンダーもまた資源であった</w:t>
      </w:r>
    </w:p>
    <w:p>
      <w:pPr>
        <w:pStyle w:val="FirstParagraph"/>
      </w:pPr>
      <w:r>
        <w:rPr>
          <w:rFonts w:hint="eastAsia"/>
        </w:rPr>
        <w:t xml:space="preserve">候補者が行える出演には限りがあった。警備、移動時間、準備、メディアインタビュー、資金調達活動の制約から、メリディアンは週におよそ16件の大規模な公的イベントに限定されていた。集会は地元ニュースやボランティアの熱意を生み出しうるが、その効果は出席者数と報道量に左右された。政策演説は狭い層の認識を変えうる一方、他の地域ではほとんど注目を集めない可能性があった。全国放送のインタビューは数百万人に届きうるが、質問内容の統制を手放すことになった。資金調達イベントは現金を生み出したが、接戦州で使えたはずの時間を消費した。</w:t>
      </w:r>
    </w:p>
    <w:p>
      <w:pPr>
        <w:pStyle w:val="BodyText"/>
      </w:pPr>
      <w:r>
        <w:rPr>
          <w:rFonts w:hint="eastAsia"/>
        </w:rPr>
        <w:t xml:space="preserve">日程チームは3つの異なるアプローチを提案した。1つ目は、すでに接戦になっているノースレイク、ミッドランド、レイクランドに移動を集中させるもので、これらの州には効率的に組み合わせて訪問できるという利点があった。2つ目はピードモント、グレートプレーンズ、ソノラを重視するもので、未決定有権者の層がより大きく、選挙情勢を変える余地がより大きいと主張していた。3つ目は、全国メディア、資金調達、そしてまだ予測できないイベントへの迅速対応のために、日程のほぼ3分の1を確保するものだった。</w:t>
      </w:r>
    </w:p>
    <w:bookmarkStart w:id="14" w:name="図表2.-候補者の週間時間配分案"/>
    <w:p>
      <w:pPr>
        <w:pStyle w:val="Heading2"/>
      </w:pPr>
      <w:r>
        <w:rPr>
          <w:rFonts w:hint="eastAsia"/>
        </w:rPr>
        <w:t xml:space="preserve">図表2.</w:t>
      </w:r>
      <w:r>
        <w:t xml:space="preserve"> </w:t>
      </w:r>
      <w:r>
        <w:rPr>
          <w:rFonts w:hint="eastAsia"/>
        </w:rPr>
        <w:t xml:space="preserve">候補者の週間時間配分案</w:t>
      </w:r>
    </w:p>
    <w:tbl>
      <w:tblPr>
        <w:tblStyle w:val="Table"/>
        <w:tblW w:type="pct" w:w="4898"/>
        <w:tblLayout w:type="fixed"/>
        <w:tblLook w:firstRow="1" w:lastRow="0" w:firstColumn="0" w:lastColumn="0" w:noHBand="0" w:noVBand="0" w:val="0020"/>
      </w:tblPr>
      <w:tblGrid>
        <w:gridCol w:w="3313"/>
        <w:gridCol w:w="1535"/>
        <w:gridCol w:w="1373"/>
        <w:gridCol w:w="1535"/>
      </w:tblGrid>
      <w:tr>
        <w:trPr>
          <w:tblHeader w:val="on"/>
        </w:trPr>
        <w:tc>
          <w:tcPr/>
          <w:p>
            <w:pPr>
              <w:pStyle w:val="Compact"/>
              <w:jc w:val="left"/>
            </w:pPr>
            <w:r>
              <w:rPr>
                <w:rFonts w:hint="eastAsia"/>
              </w:rPr>
              <w:t xml:space="preserve">活動</w:t>
            </w:r>
          </w:p>
        </w:tc>
        <w:tc>
          <w:tcPr/>
          <w:p>
            <w:pPr>
              <w:pStyle w:val="Compact"/>
              <w:jc w:val="right"/>
            </w:pPr>
            <w:r>
              <w:rPr>
                <w:rFonts w:hint="eastAsia"/>
              </w:rPr>
              <w:t xml:space="preserve">最有力ルートを守る</w:t>
            </w:r>
          </w:p>
        </w:tc>
        <w:tc>
          <w:tcPr/>
          <w:p>
            <w:pPr>
              <w:pStyle w:val="Compact"/>
              <w:jc w:val="right"/>
            </w:pPr>
            <w:r>
              <w:rPr>
                <w:rFonts w:hint="eastAsia"/>
              </w:rPr>
              <w:t xml:space="preserve">選挙地図を拡大</w:t>
            </w:r>
          </w:p>
        </w:tc>
        <w:tc>
          <w:tcPr/>
          <w:p>
            <w:pPr>
              <w:pStyle w:val="Compact"/>
              <w:jc w:val="center"/>
            </w:pPr>
            <w:r>
              <w:rPr>
                <w:rFonts w:hint="eastAsia"/>
              </w:rPr>
              <w:t xml:space="preserve">柔軟性を維持</w:t>
            </w:r>
          </w:p>
        </w:tc>
      </w:tr>
      <w:tr>
        <w:tc>
          <w:tcPr/>
          <w:p>
            <w:pPr>
              <w:pStyle w:val="Compact"/>
              <w:jc w:val="left"/>
            </w:pPr>
            <w:r>
              <w:rPr>
                <w:rFonts w:hint="eastAsia"/>
              </w:rPr>
              <w:t xml:space="preserve">接戦州での集会・タウンホール</w:t>
            </w:r>
          </w:p>
        </w:tc>
        <w:tc>
          <w:tcPr/>
          <w:p>
            <w:pPr>
              <w:pStyle w:val="Compact"/>
              <w:jc w:val="right"/>
            </w:pPr>
            <w:r>
              <w:rPr>
                <w:rFonts w:hint="eastAsia"/>
              </w:rPr>
              <w:t xml:space="preserve">9件</w:t>
            </w:r>
          </w:p>
        </w:tc>
        <w:tc>
          <w:tcPr/>
          <w:p>
            <w:pPr>
              <w:pStyle w:val="Compact"/>
              <w:jc w:val="right"/>
            </w:pPr>
            <w:r>
              <w:rPr>
                <w:rFonts w:hint="eastAsia"/>
              </w:rPr>
              <w:t xml:space="preserve">10件</w:t>
            </w:r>
          </w:p>
        </w:tc>
        <w:tc>
          <w:tcPr/>
          <w:p>
            <w:pPr>
              <w:pStyle w:val="Compact"/>
              <w:jc w:val="center"/>
            </w:pPr>
            <w:r>
              <w:rPr>
                <w:rFonts w:hint="eastAsia"/>
              </w:rPr>
              <w:t xml:space="preserve">7件</w:t>
            </w:r>
          </w:p>
        </w:tc>
      </w:tr>
      <w:tr>
        <w:tc>
          <w:tcPr/>
          <w:p>
            <w:pPr>
              <w:pStyle w:val="Compact"/>
              <w:jc w:val="left"/>
            </w:pPr>
            <w:r>
              <w:rPr>
                <w:rFonts w:hint="eastAsia"/>
              </w:rPr>
              <w:t xml:space="preserve">政策演説／有権者層向けイベント</w:t>
            </w:r>
          </w:p>
        </w:tc>
        <w:tc>
          <w:tcPr/>
          <w:p>
            <w:pPr>
              <w:pStyle w:val="Compact"/>
              <w:jc w:val="right"/>
            </w:pPr>
            <w:r>
              <w:t xml:space="preserve">2</w:t>
            </w:r>
          </w:p>
        </w:tc>
        <w:tc>
          <w:tcPr/>
          <w:p>
            <w:pPr>
              <w:pStyle w:val="Compact"/>
              <w:jc w:val="right"/>
            </w:pPr>
            <w:r>
              <w:t xml:space="preserve">3</w:t>
            </w:r>
          </w:p>
        </w:tc>
        <w:tc>
          <w:tcPr/>
          <w:p>
            <w:pPr>
              <w:pStyle w:val="Compact"/>
              <w:jc w:val="center"/>
            </w:pPr>
            <w:r>
              <w:t xml:space="preserve">2</w:t>
            </w:r>
          </w:p>
        </w:tc>
      </w:tr>
      <w:tr>
        <w:tc>
          <w:tcPr/>
          <w:p>
            <w:pPr>
              <w:pStyle w:val="Compact"/>
              <w:jc w:val="left"/>
            </w:pPr>
            <w:r>
              <w:rPr>
                <w:rFonts w:hint="eastAsia"/>
              </w:rPr>
              <w:t xml:space="preserve">全国放送インタビュー・デジタルイベント</w:t>
            </w:r>
          </w:p>
        </w:tc>
        <w:tc>
          <w:tcPr/>
          <w:p>
            <w:pPr>
              <w:pStyle w:val="Compact"/>
              <w:jc w:val="right"/>
            </w:pPr>
            <w:r>
              <w:t xml:space="preserve">1</w:t>
            </w:r>
          </w:p>
        </w:tc>
        <w:tc>
          <w:tcPr/>
          <w:p>
            <w:pPr>
              <w:pStyle w:val="Compact"/>
              <w:jc w:val="right"/>
            </w:pPr>
            <w:r>
              <w:t xml:space="preserve">1</w:t>
            </w:r>
          </w:p>
        </w:tc>
        <w:tc>
          <w:tcPr/>
          <w:p>
            <w:pPr>
              <w:pStyle w:val="Compact"/>
              <w:jc w:val="center"/>
            </w:pPr>
            <w:r>
              <w:t xml:space="preserve">3</w:t>
            </w:r>
          </w:p>
        </w:tc>
      </w:tr>
      <w:tr>
        <w:tc>
          <w:tcPr/>
          <w:p>
            <w:pPr>
              <w:pStyle w:val="Compact"/>
              <w:jc w:val="left"/>
            </w:pPr>
            <w:r>
              <w:rPr>
                <w:rFonts w:hint="eastAsia"/>
              </w:rPr>
              <w:t xml:space="preserve">資金調達イベント</w:t>
            </w:r>
          </w:p>
        </w:tc>
        <w:tc>
          <w:tcPr/>
          <w:p>
            <w:pPr>
              <w:pStyle w:val="Compact"/>
              <w:jc w:val="right"/>
            </w:pPr>
            <w:r>
              <w:t xml:space="preserve">3</w:t>
            </w:r>
          </w:p>
        </w:tc>
        <w:tc>
          <w:tcPr/>
          <w:p>
            <w:pPr>
              <w:pStyle w:val="Compact"/>
              <w:jc w:val="right"/>
            </w:pPr>
            <w:r>
              <w:t xml:space="preserve">1</w:t>
            </w:r>
          </w:p>
        </w:tc>
        <w:tc>
          <w:tcPr/>
          <w:p>
            <w:pPr>
              <w:pStyle w:val="Compact"/>
              <w:jc w:val="center"/>
            </w:pPr>
            <w:r>
              <w:t xml:space="preserve">2</w:t>
            </w:r>
          </w:p>
        </w:tc>
      </w:tr>
      <w:tr>
        <w:tc>
          <w:tcPr/>
          <w:p>
            <w:pPr>
              <w:pStyle w:val="Compact"/>
              <w:jc w:val="left"/>
            </w:pPr>
            <w:r>
              <w:rPr>
                <w:rFonts w:hint="eastAsia"/>
              </w:rPr>
              <w:t xml:space="preserve">未確定の即応対応枠</w:t>
            </w:r>
          </w:p>
        </w:tc>
        <w:tc>
          <w:tcPr/>
          <w:p>
            <w:pPr>
              <w:pStyle w:val="Compact"/>
              <w:jc w:val="right"/>
            </w:pPr>
            <w:r>
              <w:t xml:space="preserve">1</w:t>
            </w:r>
          </w:p>
        </w:tc>
        <w:tc>
          <w:tcPr/>
          <w:p>
            <w:pPr>
              <w:pStyle w:val="Compact"/>
              <w:jc w:val="right"/>
            </w:pPr>
            <w:r>
              <w:t xml:space="preserve">1</w:t>
            </w:r>
          </w:p>
        </w:tc>
        <w:tc>
          <w:tcPr/>
          <w:p>
            <w:pPr>
              <w:pStyle w:val="Compact"/>
              <w:jc w:val="center"/>
            </w:pPr>
            <w:r>
              <w:t xml:space="preserve">2</w:t>
            </w:r>
          </w:p>
        </w:tc>
      </w:tr>
    </w:tbl>
    <w:bookmarkEnd w:id="14"/>
    <w:bookmarkEnd w:id="15"/>
    <w:bookmarkStart w:id="17" w:name="資金メッセージメディア"/>
    <w:p>
      <w:pPr>
        <w:pStyle w:val="Heading1"/>
      </w:pPr>
      <w:r>
        <w:rPr>
          <w:rFonts w:hint="eastAsia"/>
        </w:rPr>
        <w:t xml:space="preserve">資金、メッセージ、メディア</w:t>
      </w:r>
    </w:p>
    <w:p>
      <w:pPr>
        <w:pStyle w:val="FirstParagraph"/>
      </w:pPr>
      <w:r>
        <w:rPr>
          <w:rFonts w:hint="eastAsia"/>
        </w:rPr>
        <w:t xml:space="preserve">広報チームは残りの選挙戦を3つの段階に分けた。メリディアンの経済政策の明確化、メリディアンとリードの対比、そして支持者の動員である。意見の相違は、タイミングとチャネルをめぐるものだった。テレビは依然として、特に高齢層において大きな視聴者層に届いていたが、選挙陣営や外部団体が限られた枠を予約するにつれて価格は上昇していた。ストリーミング動画は地域的・属性的により細かいターゲティングを可能にしたが、プラットフォーム間の測定は一貫性を欠いていた。検索広告は積極的に情報を求めている有権者に届いたが、ニュース、対立候補、独立系団体と競合した。ソーシャルメディアは迅速な反応を生み出したが、関与の高まりが必ずしも意見や投票行動の変化につながるわけではなかった。</w:t>
      </w:r>
    </w:p>
    <w:p>
      <w:pPr>
        <w:pStyle w:val="BodyText"/>
      </w:pPr>
      <w:r>
        <w:rPr>
          <w:rFonts w:hint="eastAsia"/>
        </w:rPr>
        <w:t xml:space="preserve">メッセージテストは決定的なテーマを生み出さなかった。家計費に関する広告はメリディアンの経済的共感の評価を改善したが、投票先の選択にはほとんど影響しなかった。リードの経歴を対象とした対比広告は対立候補への懸念を高めたが、同時に両候補の不支持率も押し上げた。経歴紹介広告はメリディアンをよく知らない有権者の間で好感度を高めたが、それらの有権者は投票に参加する可能性が不釣り合いに低かった。中絶権に関するメッセージは郊外の女性層を動かしたが、経済テーマを押しのけるリスクがあった。国境警備に関する提案は弱点だった評価を改善した一方、一部の中核支持者を失望させた。</w:t>
      </w:r>
    </w:p>
    <w:p>
      <w:pPr>
        <w:pStyle w:val="BodyText"/>
      </w:pPr>
      <w:r>
        <w:rPr>
          <w:rFonts w:hint="eastAsia"/>
        </w:rPr>
        <w:t xml:space="preserve">資金調達もメッセージ選択をさらに複雑にした。好評だった討論会後の訴えかけは24時間で480万ドルを集めた。その後に送られた「あらゆる面で後れを取っている」という警告文は310万ドルを集めたが、陣営の弱さについてのニュース報道を招いた。メッセージは有権者の意見だけでなく、寄付、ボランティア、報道、そして対立候補にも影響を及ぼしうるものだった。</w:t>
      </w:r>
    </w:p>
    <w:bookmarkStart w:id="16" w:name="図表3.-残りのメディア有権者接触予算案"/>
    <w:p>
      <w:pPr>
        <w:pStyle w:val="Heading2"/>
      </w:pPr>
      <w:r>
        <w:rPr>
          <w:rFonts w:hint="eastAsia"/>
        </w:rPr>
        <w:t xml:space="preserve">図表3.</w:t>
      </w:r>
      <w:r>
        <w:t xml:space="preserve"> </w:t>
      </w:r>
      <w:r>
        <w:rPr>
          <w:rFonts w:hint="eastAsia"/>
        </w:rPr>
        <w:t xml:space="preserve">残りのメディア・有権者接触予算案</w:t>
      </w:r>
    </w:p>
    <w:tbl>
      <w:tblPr>
        <w:tblStyle w:val="Table"/>
        <w:tblW w:type="pct" w:w="4910"/>
        <w:tblLayout w:type="fixed"/>
        <w:tblLook w:firstRow="1" w:lastRow="0" w:firstColumn="0" w:lastColumn="0" w:noHBand="0" w:noVBand="0" w:val="0020"/>
      </w:tblPr>
      <w:tblGrid>
        <w:gridCol w:w="2711"/>
        <w:gridCol w:w="1070"/>
        <w:gridCol w:w="1212"/>
        <w:gridCol w:w="2782"/>
      </w:tblGrid>
      <w:tr>
        <w:trPr>
          <w:tblHeader w:val="on"/>
        </w:trPr>
        <w:tc>
          <w:tcPr/>
          <w:p>
            <w:pPr>
              <w:pStyle w:val="Compact"/>
              <w:jc w:val="left"/>
            </w:pPr>
            <w:r>
              <w:rPr>
                <w:rFonts w:hint="eastAsia"/>
              </w:rPr>
              <w:t xml:space="preserve">区分</w:t>
            </w:r>
          </w:p>
        </w:tc>
        <w:tc>
          <w:tcPr/>
          <w:p>
            <w:pPr>
              <w:pStyle w:val="Compact"/>
              <w:jc w:val="center"/>
            </w:pPr>
            <w:r>
              <w:rPr>
                <w:rFonts w:hint="eastAsia"/>
              </w:rPr>
              <w:t xml:space="preserve">最小プラン</w:t>
            </w:r>
          </w:p>
        </w:tc>
        <w:tc>
          <w:tcPr/>
          <w:p>
            <w:pPr>
              <w:pStyle w:val="Compact"/>
              <w:jc w:val="center"/>
            </w:pPr>
            <w:r>
              <w:rPr>
                <w:rFonts w:hint="eastAsia"/>
              </w:rPr>
              <w:t xml:space="preserve">要求プラン</w:t>
            </w:r>
          </w:p>
        </w:tc>
        <w:tc>
          <w:tcPr/>
          <w:p>
            <w:pPr>
              <w:pStyle w:val="Compact"/>
              <w:jc w:val="center"/>
            </w:pPr>
            <w:r>
              <w:rPr>
                <w:rFonts w:hint="eastAsia"/>
              </w:rPr>
              <w:t xml:space="preserve">主な目的</w:t>
            </w:r>
          </w:p>
        </w:tc>
      </w:tr>
      <w:tr>
        <w:tc>
          <w:tcPr/>
          <w:p>
            <w:pPr>
              <w:pStyle w:val="Compact"/>
              <w:jc w:val="left"/>
            </w:pPr>
            <w:r>
              <w:rPr>
                <w:rFonts w:hint="eastAsia"/>
              </w:rPr>
              <w:t xml:space="preserve">地上波・ケーブルテレビ</w:t>
            </w:r>
          </w:p>
        </w:tc>
        <w:tc>
          <w:tcPr/>
          <w:p>
            <w:pPr>
              <w:pStyle w:val="Compact"/>
              <w:jc w:val="center"/>
            </w:pPr>
            <w:r>
              <w:rPr>
                <w:rFonts w:hint="eastAsia"/>
              </w:rPr>
              <w:t xml:space="preserve">4,600万ドル</w:t>
            </w:r>
          </w:p>
        </w:tc>
        <w:tc>
          <w:tcPr/>
          <w:p>
            <w:pPr>
              <w:pStyle w:val="Compact"/>
              <w:jc w:val="center"/>
            </w:pPr>
            <w:r>
              <w:rPr>
                <w:rFonts w:hint="eastAsia"/>
              </w:rPr>
              <w:t xml:space="preserve">7,200万ドル</w:t>
            </w:r>
          </w:p>
        </w:tc>
        <w:tc>
          <w:tcPr/>
          <w:p>
            <w:pPr>
              <w:pStyle w:val="Compact"/>
              <w:jc w:val="center"/>
            </w:pPr>
            <w:r>
              <w:rPr>
                <w:rFonts w:hint="eastAsia"/>
              </w:rPr>
              <w:t xml:space="preserve">幅広い説得と対比</w:t>
            </w:r>
          </w:p>
        </w:tc>
      </w:tr>
      <w:tr>
        <w:tc>
          <w:tcPr/>
          <w:p>
            <w:pPr>
              <w:pStyle w:val="Compact"/>
              <w:jc w:val="left"/>
            </w:pPr>
            <w:r>
              <w:rPr>
                <w:rFonts w:hint="eastAsia"/>
              </w:rPr>
              <w:t xml:space="preserve">ストリーミング動画</w:t>
            </w:r>
          </w:p>
        </w:tc>
        <w:tc>
          <w:tcPr/>
          <w:p>
            <w:pPr>
              <w:pStyle w:val="Compact"/>
              <w:jc w:val="center"/>
            </w:pPr>
            <w:r>
              <w:rPr>
                <w:rFonts w:hint="eastAsia"/>
              </w:rPr>
              <w:t xml:space="preserve">1,400万ドル</w:t>
            </w:r>
          </w:p>
        </w:tc>
        <w:tc>
          <w:tcPr/>
          <w:p>
            <w:pPr>
              <w:pStyle w:val="Compact"/>
              <w:jc w:val="center"/>
            </w:pPr>
            <w:r>
              <w:rPr>
                <w:rFonts w:hint="eastAsia"/>
              </w:rPr>
              <w:t xml:space="preserve">2,600万ドル</w:t>
            </w:r>
          </w:p>
        </w:tc>
        <w:tc>
          <w:tcPr/>
          <w:p>
            <w:pPr>
              <w:pStyle w:val="Compact"/>
              <w:jc w:val="center"/>
            </w:pPr>
            <w:r>
              <w:rPr>
                <w:rFonts w:hint="eastAsia"/>
              </w:rPr>
              <w:t xml:space="preserve">ターゲット型の説得</w:t>
            </w:r>
          </w:p>
        </w:tc>
      </w:tr>
      <w:tr>
        <w:tc>
          <w:tcPr/>
          <w:p>
            <w:pPr>
              <w:pStyle w:val="Compact"/>
              <w:jc w:val="left"/>
            </w:pPr>
            <w:r>
              <w:rPr>
                <w:rFonts w:hint="eastAsia"/>
              </w:rPr>
              <w:t xml:space="preserve">検索広告・ソーシャルメディア</w:t>
            </w:r>
          </w:p>
        </w:tc>
        <w:tc>
          <w:tcPr/>
          <w:p>
            <w:pPr>
              <w:pStyle w:val="Compact"/>
              <w:jc w:val="center"/>
            </w:pPr>
            <w:r>
              <w:rPr>
                <w:rFonts w:hint="eastAsia"/>
              </w:rPr>
              <w:t xml:space="preserve">1,100万ドル</w:t>
            </w:r>
          </w:p>
        </w:tc>
        <w:tc>
          <w:tcPr/>
          <w:p>
            <w:pPr>
              <w:pStyle w:val="Compact"/>
              <w:jc w:val="center"/>
            </w:pPr>
            <w:r>
              <w:rPr>
                <w:rFonts w:hint="eastAsia"/>
              </w:rPr>
              <w:t xml:space="preserve">1,900万ドル</w:t>
            </w:r>
          </w:p>
        </w:tc>
        <w:tc>
          <w:tcPr/>
          <w:p>
            <w:pPr>
              <w:pStyle w:val="Compact"/>
              <w:jc w:val="center"/>
            </w:pPr>
            <w:r>
              <w:rPr>
                <w:rFonts w:hint="eastAsia"/>
              </w:rPr>
              <w:t xml:space="preserve">情報提供、説得、資金調達</w:t>
            </w:r>
          </w:p>
        </w:tc>
      </w:tr>
      <w:tr>
        <w:tc>
          <w:tcPr/>
          <w:p>
            <w:pPr>
              <w:pStyle w:val="Compact"/>
              <w:jc w:val="left"/>
            </w:pPr>
            <w:r>
              <w:rPr>
                <w:rFonts w:hint="eastAsia"/>
              </w:rPr>
              <w:t xml:space="preserve">ダイレクトメール・印刷物</w:t>
            </w:r>
          </w:p>
        </w:tc>
        <w:tc>
          <w:tcPr/>
          <w:p>
            <w:pPr>
              <w:pStyle w:val="Compact"/>
              <w:jc w:val="center"/>
            </w:pPr>
            <w:r>
              <w:rPr>
                <w:rFonts w:hint="eastAsia"/>
              </w:rPr>
              <w:t xml:space="preserve">700万ドル</w:t>
            </w:r>
          </w:p>
        </w:tc>
        <w:tc>
          <w:tcPr/>
          <w:p>
            <w:pPr>
              <w:pStyle w:val="Compact"/>
              <w:jc w:val="center"/>
            </w:pPr>
            <w:r>
              <w:rPr>
                <w:rFonts w:hint="eastAsia"/>
              </w:rPr>
              <w:t xml:space="preserve">1,200万ドル</w:t>
            </w:r>
          </w:p>
        </w:tc>
        <w:tc>
          <w:tcPr/>
          <w:p>
            <w:pPr>
              <w:pStyle w:val="Compact"/>
              <w:jc w:val="center"/>
            </w:pPr>
            <w:r>
              <w:rPr>
                <w:rFonts w:hint="eastAsia"/>
              </w:rPr>
              <w:t xml:space="preserve">ターゲット型の説得と動員</w:t>
            </w:r>
          </w:p>
        </w:tc>
      </w:tr>
      <w:tr>
        <w:tc>
          <w:tcPr/>
          <w:p>
            <w:pPr>
              <w:pStyle w:val="Compact"/>
              <w:jc w:val="left"/>
            </w:pPr>
            <w:r>
              <w:rPr>
                <w:rFonts w:hint="eastAsia"/>
              </w:rPr>
              <w:t xml:space="preserve">現地有権者接触</w:t>
            </w:r>
          </w:p>
        </w:tc>
        <w:tc>
          <w:tcPr/>
          <w:p>
            <w:pPr>
              <w:pStyle w:val="Compact"/>
              <w:jc w:val="center"/>
            </w:pPr>
            <w:r>
              <w:rPr>
                <w:rFonts w:hint="eastAsia"/>
              </w:rPr>
              <w:t xml:space="preserve">2,200万ドル</w:t>
            </w:r>
          </w:p>
        </w:tc>
        <w:tc>
          <w:tcPr/>
          <w:p>
            <w:pPr>
              <w:pStyle w:val="Compact"/>
              <w:jc w:val="center"/>
            </w:pPr>
            <w:r>
              <w:rPr>
                <w:rFonts w:hint="eastAsia"/>
              </w:rPr>
              <w:t xml:space="preserve">3,800万ドル</w:t>
            </w:r>
          </w:p>
        </w:tc>
        <w:tc>
          <w:tcPr/>
          <w:p>
            <w:pPr>
              <w:pStyle w:val="Compact"/>
              <w:jc w:val="center"/>
            </w:pPr>
            <w:r>
              <w:rPr>
                <w:rFonts w:hint="eastAsia"/>
              </w:rPr>
              <w:t xml:space="preserve">登録、期日前投票、動員</w:t>
            </w:r>
          </w:p>
        </w:tc>
      </w:tr>
      <w:tr>
        <w:tc>
          <w:tcPr/>
          <w:p>
            <w:pPr>
              <w:pStyle w:val="Compact"/>
              <w:jc w:val="left"/>
            </w:pPr>
            <w:r>
              <w:rPr>
                <w:rFonts w:hint="eastAsia"/>
              </w:rPr>
              <w:t xml:space="preserve">世論調査・分析・実験</w:t>
            </w:r>
          </w:p>
        </w:tc>
        <w:tc>
          <w:tcPr/>
          <w:p>
            <w:pPr>
              <w:pStyle w:val="Compact"/>
              <w:jc w:val="center"/>
            </w:pPr>
            <w:r>
              <w:rPr>
                <w:rFonts w:hint="eastAsia"/>
              </w:rPr>
              <w:t xml:space="preserve">800万ドル</w:t>
            </w:r>
          </w:p>
        </w:tc>
        <w:tc>
          <w:tcPr/>
          <w:p>
            <w:pPr>
              <w:pStyle w:val="Compact"/>
              <w:jc w:val="center"/>
            </w:pPr>
            <w:r>
              <w:rPr>
                <w:rFonts w:hint="eastAsia"/>
              </w:rPr>
              <w:t xml:space="preserve">1,500万ドル</w:t>
            </w:r>
          </w:p>
        </w:tc>
        <w:tc>
          <w:tcPr/>
          <w:p>
            <w:pPr>
              <w:pStyle w:val="Compact"/>
              <w:jc w:val="center"/>
            </w:pPr>
            <w:r>
              <w:rPr>
                <w:rFonts w:hint="eastAsia"/>
              </w:rPr>
              <w:t xml:space="preserve">測定と学習</w:t>
            </w:r>
          </w:p>
        </w:tc>
      </w:tr>
    </w:tbl>
    <w:bookmarkEnd w:id="16"/>
    <w:bookmarkEnd w:id="17"/>
    <w:bookmarkStart w:id="19" w:name="現場組織"/>
    <w:p>
      <w:pPr>
        <w:pStyle w:val="Heading1"/>
      </w:pPr>
      <w:r>
        <w:rPr>
          <w:rFonts w:hint="eastAsia"/>
        </w:rPr>
        <w:t xml:space="preserve">現場組織</w:t>
      </w:r>
    </w:p>
    <w:p>
      <w:pPr>
        <w:pStyle w:val="FirstParagraph"/>
      </w:pPr>
      <w:r>
        <w:rPr>
          <w:rFonts w:hint="eastAsia"/>
        </w:rPr>
        <w:t xml:space="preserve">フィールドディレクターのルイス・オルテガは、選挙戦を「対応力を構築していく活動」と捉えていた。事務所、オーガナイザー、ボランティアリーダー、戸別訪問ルート、電話がけチーム、期日前投票修正チーム、法務支援は、必要になる前に整えておかなければならなかった。新たなオーガナイザーの確保には、採用、研修、データアクセス、監督、そして地元との関係構築が必要だった。後になって事務所を閉鎖しても、期待したほどの節約にはならず、士気を損なう可能性があった。そのためオルテガは、7つの州すべてで早期の資源投入を求めていた。</w:t>
      </w:r>
    </w:p>
    <w:p>
      <w:pPr>
        <w:pStyle w:val="BodyText"/>
      </w:pPr>
      <w:r>
        <w:rPr>
          <w:rFonts w:hint="eastAsia"/>
        </w:rPr>
        <w:t xml:space="preserve">最も強固な組織を持っていたのはノースレイクで、陣営は31の事務所、420人の有給スタッフ、そして少なくとも1回のシフトを完了した18,000人以上のボランティアを抱えていた。ソノラはわずか12の事務所と135人のスタッフしか持たず、それがはるかに広い地域に分散していた。グレートプレーンズは2つの大都市圏では強力な党組織を持っていたが、小規模な工業地帯の郡ではカバー力が弱かった。シルバーベイスンは選挙人数こそ少なかったが、メディア市場は比較的安価で、人口が集中していた。ピードモントは新規有権者の潜在的な層が最も大きかったが、登録規則と急速な人口増加により、有権者名簿の信頼性は低かった。</w:t>
      </w:r>
    </w:p>
    <w:bookmarkStart w:id="18" w:name="図表4.-接戦州における現場対応力"/>
    <w:p>
      <w:pPr>
        <w:pStyle w:val="Heading2"/>
      </w:pPr>
      <w:r>
        <w:rPr>
          <w:rFonts w:hint="eastAsia"/>
        </w:rPr>
        <w:t xml:space="preserve">図表4.</w:t>
      </w:r>
      <w:r>
        <w:t xml:space="preserve"> </w:t>
      </w:r>
      <w:r>
        <w:rPr>
          <w:rFonts w:hint="eastAsia"/>
        </w:rPr>
        <w:t xml:space="preserve">接戦州における現場対応力</w:t>
      </w:r>
    </w:p>
    <w:tbl>
      <w:tblPr>
        <w:tblStyle w:val="Table"/>
        <w:tblW w:type="pct" w:w="4877"/>
        <w:tblLayout w:type="fixed"/>
        <w:tblLook w:firstRow="1" w:lastRow="0" w:firstColumn="0" w:lastColumn="0" w:noHBand="0" w:noVBand="0" w:val="0020"/>
      </w:tblPr>
      <w:tblGrid>
        <w:gridCol w:w="1466"/>
        <w:gridCol w:w="977"/>
        <w:gridCol w:w="1271"/>
        <w:gridCol w:w="1955"/>
        <w:gridCol w:w="2053"/>
      </w:tblGrid>
      <w:tr>
        <w:trPr>
          <w:tblHeader w:val="on"/>
        </w:trPr>
        <w:tc>
          <w:tcPr/>
          <w:p>
            <w:pPr>
              <w:pStyle w:val="Compact"/>
              <w:jc w:val="left"/>
            </w:pPr>
            <w:r>
              <w:rPr>
                <w:rFonts w:hint="eastAsia"/>
              </w:rPr>
              <w:t xml:space="preserve">州</w:t>
            </w:r>
          </w:p>
        </w:tc>
        <w:tc>
          <w:tcPr/>
          <w:p>
            <w:pPr>
              <w:pStyle w:val="Compact"/>
              <w:jc w:val="left"/>
            </w:pPr>
            <w:r>
              <w:rPr>
                <w:rFonts w:hint="eastAsia"/>
              </w:rPr>
              <w:t xml:space="preserve">事務所数</w:t>
            </w:r>
          </w:p>
        </w:tc>
        <w:tc>
          <w:tcPr/>
          <w:p>
            <w:pPr>
              <w:pStyle w:val="Compact"/>
              <w:jc w:val="right"/>
            </w:pPr>
            <w:r>
              <w:rPr>
                <w:rFonts w:hint="eastAsia"/>
              </w:rPr>
              <w:t xml:space="preserve">有給スタッフ</w:t>
            </w:r>
          </w:p>
        </w:tc>
        <w:tc>
          <w:tcPr/>
          <w:p>
            <w:pPr>
              <w:pStyle w:val="Compact"/>
              <w:jc w:val="right"/>
            </w:pPr>
            <w:r>
              <w:rPr>
                <w:rFonts w:hint="eastAsia"/>
              </w:rPr>
              <w:t xml:space="preserve">活動中ボランティア</w:t>
            </w:r>
          </w:p>
        </w:tc>
        <w:tc>
          <w:tcPr/>
          <w:p>
            <w:pPr>
              <w:pStyle w:val="Compact"/>
              <w:jc w:val="center"/>
            </w:pPr>
            <w:r>
              <w:rPr>
                <w:rFonts w:hint="eastAsia"/>
              </w:rPr>
              <w:t xml:space="preserve">追加要求額</w:t>
            </w:r>
          </w:p>
        </w:tc>
      </w:tr>
      <w:tr>
        <w:tc>
          <w:tcPr/>
          <w:p>
            <w:pPr>
              <w:pStyle w:val="Compact"/>
              <w:jc w:val="left"/>
            </w:pPr>
            <w:r>
              <w:t xml:space="preserve">ノースレイク</w:t>
            </w:r>
          </w:p>
        </w:tc>
        <w:tc>
          <w:tcPr/>
          <w:p>
            <w:pPr>
              <w:pStyle w:val="Compact"/>
              <w:jc w:val="left"/>
            </w:pPr>
            <w:r>
              <w:t xml:space="preserve">31</w:t>
            </w:r>
          </w:p>
        </w:tc>
        <w:tc>
          <w:tcPr/>
          <w:p>
            <w:pPr>
              <w:pStyle w:val="Compact"/>
              <w:jc w:val="right"/>
            </w:pPr>
            <w:r>
              <w:t xml:space="preserve">420</w:t>
            </w:r>
          </w:p>
        </w:tc>
        <w:tc>
          <w:tcPr/>
          <w:p>
            <w:pPr>
              <w:pStyle w:val="Compact"/>
              <w:jc w:val="right"/>
            </w:pPr>
            <w:r>
              <w:t xml:space="preserve">18,200</w:t>
            </w:r>
          </w:p>
        </w:tc>
        <w:tc>
          <w:tcPr/>
          <w:p>
            <w:pPr>
              <w:pStyle w:val="Compact"/>
              <w:jc w:val="center"/>
            </w:pPr>
            <w:r>
              <w:rPr>
                <w:rFonts w:hint="eastAsia"/>
              </w:rPr>
              <w:t xml:space="preserve">850万ドル</w:t>
            </w:r>
          </w:p>
        </w:tc>
      </w:tr>
      <w:tr>
        <w:tc>
          <w:tcPr/>
          <w:p>
            <w:pPr>
              <w:pStyle w:val="Compact"/>
              <w:jc w:val="left"/>
            </w:pPr>
            <w:r>
              <w:t xml:space="preserve">グレートプレーン</w:t>
            </w:r>
          </w:p>
        </w:tc>
        <w:tc>
          <w:tcPr/>
          <w:p>
            <w:pPr>
              <w:pStyle w:val="Compact"/>
              <w:jc w:val="left"/>
            </w:pPr>
            <w:r>
              <w:t xml:space="preserve">ズ 22 2</w:t>
            </w:r>
          </w:p>
        </w:tc>
        <w:tc>
          <w:tcPr/>
          <w:p>
            <w:pPr>
              <w:pStyle w:val="Compact"/>
              <w:jc w:val="right"/>
            </w:pPr>
            <w:r>
              <w:t xml:space="preserve">86 1</w:t>
            </w:r>
          </w:p>
        </w:tc>
        <w:tc>
          <w:tcPr/>
          <w:p>
            <w:pPr>
              <w:pStyle w:val="Compact"/>
              <w:jc w:val="right"/>
            </w:pPr>
            <w:r>
              <w:t xml:space="preserve">0,400 7</w:t>
            </w:r>
          </w:p>
        </w:tc>
        <w:tc>
          <w:tcPr/>
          <w:p>
            <w:pPr>
              <w:pStyle w:val="Compact"/>
              <w:jc w:val="center"/>
            </w:pPr>
            <w:r>
              <w:rPr>
                <w:rFonts w:hint="eastAsia"/>
              </w:rPr>
              <w:t xml:space="preserve">20万ドル</w:t>
            </w:r>
          </w:p>
        </w:tc>
      </w:tr>
      <w:tr>
        <w:tc>
          <w:tcPr/>
          <w:p>
            <w:pPr>
              <w:pStyle w:val="Compact"/>
              <w:jc w:val="left"/>
            </w:pPr>
            <w:r>
              <w:t xml:space="preserve">ピードモント</w:t>
            </w:r>
          </w:p>
        </w:tc>
        <w:tc>
          <w:tcPr/>
          <w:p>
            <w:pPr>
              <w:pStyle w:val="Compact"/>
              <w:jc w:val="left"/>
            </w:pPr>
            <w:r>
              <w:t xml:space="preserve">20</w:t>
            </w:r>
          </w:p>
        </w:tc>
        <w:tc>
          <w:tcPr/>
          <w:p>
            <w:pPr>
              <w:pStyle w:val="Compact"/>
              <w:jc w:val="right"/>
            </w:pPr>
            <w:r>
              <w:t xml:space="preserve">305</w:t>
            </w:r>
          </w:p>
        </w:tc>
        <w:tc>
          <w:tcPr/>
          <w:p>
            <w:pPr>
              <w:pStyle w:val="Compact"/>
              <w:jc w:val="right"/>
            </w:pPr>
            <w:r>
              <w:t xml:space="preserve">9,100</w:t>
            </w:r>
          </w:p>
        </w:tc>
        <w:tc>
          <w:tcPr/>
          <w:p>
            <w:pPr>
              <w:pStyle w:val="Compact"/>
              <w:jc w:val="center"/>
            </w:pPr>
            <w:r>
              <w:rPr>
                <w:rFonts w:hint="eastAsia"/>
              </w:rPr>
              <w:t xml:space="preserve">940万ドル</w:t>
            </w:r>
          </w:p>
        </w:tc>
      </w:tr>
      <w:tr>
        <w:tc>
          <w:tcPr/>
          <w:p>
            <w:pPr>
              <w:pStyle w:val="Compact"/>
              <w:jc w:val="left"/>
            </w:pPr>
            <w:r>
              <w:t xml:space="preserve">ミッドランド</w:t>
            </w:r>
          </w:p>
        </w:tc>
        <w:tc>
          <w:tcPr/>
          <w:p>
            <w:pPr>
              <w:pStyle w:val="Compact"/>
              <w:jc w:val="left"/>
            </w:pPr>
            <w:r>
              <w:t xml:space="preserve">25</w:t>
            </w:r>
          </w:p>
        </w:tc>
        <w:tc>
          <w:tcPr/>
          <w:p>
            <w:pPr>
              <w:pStyle w:val="Compact"/>
              <w:jc w:val="right"/>
            </w:pPr>
            <w:r>
              <w:t xml:space="preserve">338</w:t>
            </w:r>
          </w:p>
        </w:tc>
        <w:tc>
          <w:tcPr/>
          <w:p>
            <w:pPr>
              <w:pStyle w:val="Compact"/>
              <w:jc w:val="right"/>
            </w:pPr>
            <w:r>
              <w:t xml:space="preserve">13,700</w:t>
            </w:r>
          </w:p>
        </w:tc>
        <w:tc>
          <w:tcPr/>
          <w:p>
            <w:pPr>
              <w:pStyle w:val="Compact"/>
              <w:jc w:val="center"/>
            </w:pPr>
            <w:r>
              <w:rPr>
                <w:rFonts w:hint="eastAsia"/>
              </w:rPr>
              <w:t xml:space="preserve">780万ドル</w:t>
            </w:r>
          </w:p>
        </w:tc>
      </w:tr>
      <w:tr>
        <w:tc>
          <w:tcPr/>
          <w:p>
            <w:pPr>
              <w:pStyle w:val="Compact"/>
              <w:jc w:val="left"/>
            </w:pPr>
            <w:r>
              <w:t xml:space="preserve">ソノラ</w:t>
            </w:r>
          </w:p>
        </w:tc>
        <w:tc>
          <w:tcPr/>
          <w:p>
            <w:pPr>
              <w:pStyle w:val="Compact"/>
              <w:jc w:val="left"/>
            </w:pPr>
            <w:r>
              <w:t xml:space="preserve">12</w:t>
            </w:r>
          </w:p>
        </w:tc>
        <w:tc>
          <w:tcPr/>
          <w:p>
            <w:pPr>
              <w:pStyle w:val="Compact"/>
              <w:jc w:val="right"/>
            </w:pPr>
            <w:r>
              <w:t xml:space="preserve">135</w:t>
            </w:r>
          </w:p>
        </w:tc>
        <w:tc>
          <w:tcPr/>
          <w:p>
            <w:pPr>
              <w:pStyle w:val="Compact"/>
              <w:jc w:val="right"/>
            </w:pPr>
            <w:r>
              <w:t xml:space="preserve">5,300</w:t>
            </w:r>
          </w:p>
        </w:tc>
        <w:tc>
          <w:tcPr/>
          <w:p>
            <w:pPr>
              <w:pStyle w:val="Compact"/>
              <w:jc w:val="center"/>
            </w:pPr>
            <w:r>
              <w:rPr>
                <w:rFonts w:hint="eastAsia"/>
              </w:rPr>
              <w:t xml:space="preserve">890万ドル</w:t>
            </w:r>
          </w:p>
        </w:tc>
      </w:tr>
      <w:tr>
        <w:tc>
          <w:tcPr/>
          <w:p>
            <w:pPr>
              <w:pStyle w:val="Compact"/>
              <w:jc w:val="left"/>
            </w:pPr>
            <w:r>
              <w:t xml:space="preserve">レイクランド</w:t>
            </w:r>
          </w:p>
        </w:tc>
        <w:tc>
          <w:tcPr/>
          <w:p>
            <w:pPr>
              <w:pStyle w:val="Compact"/>
              <w:jc w:val="left"/>
            </w:pPr>
            <w:r>
              <w:t xml:space="preserve">18</w:t>
            </w:r>
          </w:p>
        </w:tc>
        <w:tc>
          <w:tcPr/>
          <w:p>
            <w:pPr>
              <w:pStyle w:val="Compact"/>
              <w:jc w:val="right"/>
            </w:pPr>
            <w:r>
              <w:t xml:space="preserve">224</w:t>
            </w:r>
          </w:p>
        </w:tc>
        <w:tc>
          <w:tcPr/>
          <w:p>
            <w:pPr>
              <w:pStyle w:val="Compact"/>
              <w:jc w:val="right"/>
            </w:pPr>
            <w:r>
              <w:t xml:space="preserve">8,800</w:t>
            </w:r>
          </w:p>
        </w:tc>
        <w:tc>
          <w:tcPr/>
          <w:p>
            <w:pPr>
              <w:pStyle w:val="Compact"/>
              <w:jc w:val="center"/>
            </w:pPr>
            <w:r>
              <w:rPr>
                <w:rFonts w:hint="eastAsia"/>
              </w:rPr>
              <w:t xml:space="preserve">570万ドル</w:t>
            </w:r>
          </w:p>
        </w:tc>
      </w:tr>
      <w:tr>
        <w:tc>
          <w:tcPr/>
          <w:p>
            <w:pPr>
              <w:pStyle w:val="Compact"/>
              <w:jc w:val="left"/>
            </w:pPr>
            <w:r>
              <w:t xml:space="preserve">シルバーベイスン</w:t>
            </w:r>
          </w:p>
        </w:tc>
        <w:tc>
          <w:tcPr/>
          <w:p>
            <w:pPr>
              <w:pStyle w:val="Compact"/>
              <w:jc w:val="left"/>
            </w:pPr>
            <w:r>
              <w:t xml:space="preserve">9 9</w:t>
            </w:r>
          </w:p>
        </w:tc>
        <w:tc>
          <w:tcPr/>
          <w:p>
            <w:pPr>
              <w:pStyle w:val="Compact"/>
              <w:jc w:val="right"/>
            </w:pPr>
            <w:r>
              <w:t xml:space="preserve">6 3</w:t>
            </w:r>
          </w:p>
        </w:tc>
        <w:tc>
          <w:tcPr/>
          <w:p>
            <w:pPr>
              <w:pStyle w:val="Compact"/>
              <w:jc w:val="right"/>
            </w:pPr>
            <w:r>
              <w:t xml:space="preserve">,900 3</w:t>
            </w:r>
          </w:p>
        </w:tc>
        <w:tc>
          <w:tcPr/>
          <w:p>
            <w:pPr>
              <w:pStyle w:val="Compact"/>
              <w:jc w:val="center"/>
            </w:pPr>
            <w:r>
              <w:rPr>
                <w:rFonts w:hint="eastAsia"/>
              </w:rPr>
              <w:t xml:space="preserve">40万ドル</w:t>
            </w:r>
          </w:p>
        </w:tc>
      </w:tr>
    </w:tbl>
    <w:bookmarkEnd w:id="18"/>
    <w:bookmarkEnd w:id="19"/>
    <w:bookmarkStart w:id="21" w:name="世論調査は実際に何を語っていたのか"/>
    <w:p>
      <w:pPr>
        <w:pStyle w:val="Heading1"/>
      </w:pPr>
      <w:r>
        <w:rPr>
          <w:rFonts w:hint="eastAsia"/>
        </w:rPr>
        <w:t xml:space="preserve">世論調査は実際に何を語っていたのか</w:t>
      </w:r>
    </w:p>
    <w:p>
      <w:pPr>
        <w:pStyle w:val="FirstParagraph"/>
      </w:pPr>
      <w:r>
        <w:rPr>
          <w:rFonts w:hint="eastAsia"/>
        </w:rPr>
        <w:t xml:space="preserve">世論調査ディレクターのプリヤ・シャーは、図表1を正確なものとして扱うべきではないと警告した。それぞれの推定値は、調査、投票率の仮定、無回答の調整、そして「投票しそうな有権者」に関する判断を組み合わせたものだった。いくつかの州では、投票見込み者モデルを変更するだけで、報告されているサンプリング誤差以上に差が動いた。回答者もまた、考えを変えたり、実際には投票しなかったりする可能性があった。</w:t>
      </w:r>
    </w:p>
    <w:p>
      <w:pPr>
        <w:pStyle w:val="BodyText"/>
      </w:pPr>
      <w:r>
        <w:rPr>
          <w:rFonts w:hint="eastAsia"/>
        </w:rPr>
        <w:t xml:space="preserve">シャーは、州全体を対象とするもう一度の世論調査ラウンドの代わりに、統制されたメッセージ実験、インタビュー、そして迅速な調査を提案した。州のマネージャーたちは郡単位の指針を求めていたが、寄付者や党幹部は見出しになるような数字を期待していた。チェンは、陣営が意思決定を改善するための情報を買おうとしているのか、それとも各部門が既存の選好を正当化するために使える数字を買おうとしているのか、疑問を抱いた。</w:t>
      </w:r>
    </w:p>
    <w:bookmarkStart w:id="20" w:name="図表5.-内部世論調査の選択肢"/>
    <w:p>
      <w:pPr>
        <w:pStyle w:val="Heading2"/>
      </w:pPr>
      <w:r>
        <w:rPr>
          <w:rFonts w:hint="eastAsia"/>
        </w:rPr>
        <w:t xml:space="preserve">図表5.</w:t>
      </w:r>
      <w:r>
        <w:t xml:space="preserve"> </w:t>
      </w:r>
      <w:r>
        <w:rPr>
          <w:rFonts w:hint="eastAsia"/>
        </w:rPr>
        <w:t xml:space="preserve">内部世論調査の選択肢</w:t>
      </w:r>
    </w:p>
    <w:tbl>
      <w:tblPr>
        <w:tblStyle w:val="Table"/>
        <w:tblW w:type="pct" w:w="4919"/>
        <w:tblLayout w:type="fixed"/>
        <w:tblLook w:firstRow="1" w:lastRow="0" w:firstColumn="0" w:lastColumn="0" w:noHBand="0" w:noVBand="0" w:val="0020"/>
      </w:tblPr>
      <w:tblGrid>
        <w:gridCol w:w="2768"/>
        <w:gridCol w:w="1030"/>
        <w:gridCol w:w="1674"/>
        <w:gridCol w:w="2318"/>
      </w:tblGrid>
      <w:tr>
        <w:trPr>
          <w:tblHeader w:val="on"/>
        </w:trPr>
        <w:tc>
          <w:tcPr/>
          <w:p>
            <w:pPr>
              <w:pStyle w:val="Compact"/>
              <w:jc w:val="left"/>
            </w:pPr>
            <w:r>
              <w:t xml:space="preserve">プログラム</w:t>
            </w:r>
          </w:p>
        </w:tc>
        <w:tc>
          <w:tcPr/>
          <w:p>
            <w:pPr>
              <w:pStyle w:val="Compact"/>
              <w:jc w:val="center"/>
            </w:pPr>
            <w:r>
              <w:rPr>
                <w:rFonts w:hint="eastAsia"/>
              </w:rPr>
              <w:t xml:space="preserve">費用</w:t>
            </w:r>
          </w:p>
        </w:tc>
        <w:tc>
          <w:tcPr/>
          <w:p>
            <w:pPr>
              <w:pStyle w:val="Compact"/>
              <w:jc w:val="center"/>
            </w:pPr>
            <w:r>
              <w:t xml:space="preserve">タイミング</w:t>
            </w:r>
          </w:p>
        </w:tc>
        <w:tc>
          <w:tcPr/>
          <w:p>
            <w:pPr>
              <w:pStyle w:val="Compact"/>
              <w:jc w:val="center"/>
            </w:pPr>
            <w:r>
              <w:rPr>
                <w:rFonts w:hint="eastAsia"/>
              </w:rPr>
              <w:t xml:space="preserve">何が明らかになりうるか</w:t>
            </w:r>
          </w:p>
        </w:tc>
      </w:tr>
      <w:tr>
        <w:tc>
          <w:tcPr/>
          <w:p>
            <w:pPr>
              <w:pStyle w:val="Compact"/>
              <w:jc w:val="left"/>
            </w:pPr>
            <w:r>
              <w:rPr>
                <w:rFonts w:hint="eastAsia"/>
              </w:rPr>
              <w:t xml:space="preserve">接戦州全体の世論調査、月2回</w:t>
            </w:r>
          </w:p>
        </w:tc>
        <w:tc>
          <w:tcPr/>
          <w:p>
            <w:pPr>
              <w:pStyle w:val="Compact"/>
              <w:jc w:val="center"/>
            </w:pPr>
            <w:r>
              <w:rPr>
                <w:rFonts w:hint="eastAsia"/>
              </w:rPr>
              <w:t xml:space="preserve">680万ドル</w:t>
            </w:r>
          </w:p>
        </w:tc>
        <w:tc>
          <w:tcPr/>
          <w:p>
            <w:pPr>
              <w:pStyle w:val="Compact"/>
              <w:jc w:val="center"/>
            </w:pPr>
            <w:r>
              <w:rPr>
                <w:rFonts w:hint="eastAsia"/>
              </w:rPr>
              <w:t xml:space="preserve">5〜7日で結果判明</w:t>
            </w:r>
          </w:p>
        </w:tc>
        <w:tc>
          <w:tcPr/>
          <w:p>
            <w:pPr>
              <w:pStyle w:val="Compact"/>
              <w:jc w:val="center"/>
            </w:pPr>
            <w:r>
              <w:rPr>
                <w:rFonts w:hint="eastAsia"/>
              </w:rPr>
              <w:t xml:space="preserve">州ごとの差と主要な有権者層</w:t>
            </w:r>
          </w:p>
        </w:tc>
      </w:tr>
      <w:tr>
        <w:tc>
          <w:tcPr/>
          <w:p>
            <w:pPr>
              <w:pStyle w:val="Compact"/>
              <w:jc w:val="left"/>
            </w:pPr>
            <w:r>
              <w:rPr>
                <w:rFonts w:hint="eastAsia"/>
              </w:rPr>
              <w:t xml:space="preserve">複数州にまたがる日次追跡調査</w:t>
            </w:r>
          </w:p>
        </w:tc>
        <w:tc>
          <w:tcPr/>
          <w:p>
            <w:pPr>
              <w:pStyle w:val="Compact"/>
              <w:jc w:val="center"/>
            </w:pPr>
            <w:r>
              <w:rPr>
                <w:rFonts w:hint="eastAsia"/>
              </w:rPr>
              <w:t xml:space="preserve">490万ドル</w:t>
            </w:r>
          </w:p>
        </w:tc>
        <w:tc>
          <w:tcPr/>
          <w:p>
            <w:pPr>
              <w:pStyle w:val="Compact"/>
              <w:jc w:val="center"/>
            </w:pPr>
            <w:r>
              <w:rPr>
                <w:rFonts w:hint="eastAsia"/>
              </w:rPr>
              <w:t xml:space="preserve">3日間のローリング推定</w:t>
            </w:r>
          </w:p>
        </w:tc>
        <w:tc>
          <w:tcPr/>
          <w:p>
            <w:pPr>
              <w:pStyle w:val="Compact"/>
              <w:jc w:val="center"/>
            </w:pPr>
            <w:r>
              <w:rPr>
                <w:rFonts w:hint="eastAsia"/>
              </w:rPr>
              <w:t xml:space="preserve">変化の方向性と速度</w:t>
            </w:r>
          </w:p>
        </w:tc>
      </w:tr>
      <w:tr>
        <w:tc>
          <w:tcPr/>
          <w:p>
            <w:pPr>
              <w:pStyle w:val="Compact"/>
              <w:jc w:val="left"/>
            </w:pPr>
            <w:r>
              <w:rPr>
                <w:rFonts w:hint="eastAsia"/>
              </w:rPr>
              <w:t xml:space="preserve">メッセージ実験とインタビュー</w:t>
            </w:r>
          </w:p>
        </w:tc>
        <w:tc>
          <w:tcPr/>
          <w:p>
            <w:pPr>
              <w:pStyle w:val="Compact"/>
              <w:jc w:val="center"/>
            </w:pPr>
            <w:r>
              <w:rPr>
                <w:rFonts w:hint="eastAsia"/>
              </w:rPr>
              <w:t xml:space="preserve">320万ドル</w:t>
            </w:r>
          </w:p>
        </w:tc>
        <w:tc>
          <w:tcPr/>
          <w:p>
            <w:pPr>
              <w:pStyle w:val="Compact"/>
              <w:jc w:val="center"/>
            </w:pPr>
            <w:r>
              <w:rPr>
                <w:rFonts w:hint="eastAsia"/>
              </w:rPr>
              <w:t xml:space="preserve">2〜10日</w:t>
            </w:r>
          </w:p>
        </w:tc>
        <w:tc>
          <w:tcPr/>
          <w:p>
            <w:pPr>
              <w:pStyle w:val="Compact"/>
              <w:jc w:val="center"/>
            </w:pPr>
            <w:r>
              <w:rPr>
                <w:rFonts w:hint="eastAsia"/>
              </w:rPr>
              <w:t xml:space="preserve">テーマや言葉遣いへの反応</w:t>
            </w:r>
          </w:p>
        </w:tc>
      </w:tr>
      <w:tr>
        <w:tc>
          <w:tcPr/>
          <w:p>
            <w:pPr>
              <w:pStyle w:val="Compact"/>
              <w:jc w:val="left"/>
            </w:pPr>
            <w:r>
              <w:rPr>
                <w:rFonts w:hint="eastAsia"/>
              </w:rPr>
              <w:t xml:space="preserve">郡単位の有権者名簿モデル更新</w:t>
            </w:r>
          </w:p>
        </w:tc>
        <w:tc>
          <w:tcPr/>
          <w:p>
            <w:pPr>
              <w:pStyle w:val="Compact"/>
              <w:jc w:val="center"/>
            </w:pPr>
            <w:r>
              <w:rPr>
                <w:rFonts w:hint="eastAsia"/>
              </w:rPr>
              <w:t xml:space="preserve">260万ドル</w:t>
            </w:r>
          </w:p>
        </w:tc>
        <w:tc>
          <w:tcPr/>
          <w:p>
            <w:pPr>
              <w:pStyle w:val="Compact"/>
              <w:jc w:val="center"/>
            </w:pPr>
            <w:r>
              <w:rPr>
                <w:rFonts w:hint="eastAsia"/>
              </w:rPr>
              <w:t xml:space="preserve">3週間</w:t>
            </w:r>
          </w:p>
        </w:tc>
        <w:tc>
          <w:tcPr/>
          <w:p>
            <w:pPr>
              <w:pStyle w:val="Compact"/>
              <w:jc w:val="center"/>
            </w:pPr>
            <w:r>
              <w:rPr>
                <w:rFonts w:hint="eastAsia"/>
              </w:rPr>
              <w:t xml:space="preserve">地域別ターゲティングと動員</w:t>
            </w:r>
          </w:p>
        </w:tc>
      </w:tr>
      <w:tr>
        <w:tc>
          <w:tcPr/>
          <w:p>
            <w:pPr>
              <w:pStyle w:val="Compact"/>
              <w:jc w:val="left"/>
            </w:pPr>
            <w:r>
              <w:rPr>
                <w:rFonts w:hint="eastAsia"/>
              </w:rPr>
              <w:t xml:space="preserve">最小限のコンプライアンス・基準調査</w:t>
            </w:r>
          </w:p>
        </w:tc>
        <w:tc>
          <w:tcPr/>
          <w:p>
            <w:pPr>
              <w:pStyle w:val="Compact"/>
              <w:jc w:val="center"/>
            </w:pPr>
            <w:r>
              <w:rPr>
                <w:rFonts w:hint="eastAsia"/>
              </w:rPr>
              <w:t xml:space="preserve">110万ドル</w:t>
            </w:r>
          </w:p>
        </w:tc>
        <w:tc>
          <w:tcPr/>
          <w:p>
            <w:pPr>
              <w:pStyle w:val="Compact"/>
              <w:jc w:val="center"/>
            </w:pPr>
            <w:r>
              <w:rPr>
                <w:rFonts w:hint="eastAsia"/>
              </w:rPr>
              <w:t xml:space="preserve">必要に応じて</w:t>
            </w:r>
          </w:p>
        </w:tc>
        <w:tc>
          <w:tcPr/>
          <w:p>
            <w:pPr>
              <w:pStyle w:val="Compact"/>
              <w:jc w:val="center"/>
            </w:pPr>
            <w:r>
              <w:rPr>
                <w:rFonts w:hint="eastAsia"/>
              </w:rPr>
              <w:t xml:space="preserve">基本的な選挙戦モニタリング</w:t>
            </w:r>
          </w:p>
        </w:tc>
      </w:tr>
    </w:tbl>
    <w:bookmarkEnd w:id="20"/>
    <w:bookmarkEnd w:id="21"/>
    <w:bookmarkStart w:id="22" w:name="陣営がスケジュールできない出来事"/>
    <w:p>
      <w:pPr>
        <w:pStyle w:val="Heading1"/>
      </w:pPr>
      <w:r>
        <w:rPr>
          <w:rFonts w:hint="eastAsia"/>
        </w:rPr>
        <w:t xml:space="preserve">陣営がスケジュールできない出来事</w:t>
      </w:r>
    </w:p>
    <w:p>
      <w:pPr>
        <w:pStyle w:val="FirstParagraph"/>
      </w:pPr>
      <w:r>
        <w:rPr>
          <w:rFonts w:hint="eastAsia"/>
        </w:rPr>
        <w:t xml:space="preserve">計画は、陣営が制御できない環境の中で実行されることになる。経済統計の発表、国際的な危機、自然災害、裁判所の判断、候補者の失言、情報漏洩、健康懸念、対立候補の広告は、いずれも数時間のうちに注目の方向を変えうる。外部団体は陣営と連携することなく資金を投じることができ、それはメリディアンのメッセージを後押しすることもあれば、安全とみなされていた州の防衛を強いることもあった。</w:t>
      </w:r>
    </w:p>
    <w:p>
      <w:pPr>
        <w:pStyle w:val="BodyText"/>
      </w:pPr>
      <w:r>
        <w:rPr>
          <w:rFonts w:hint="eastAsia"/>
        </w:rPr>
        <w:t xml:space="preserve">財務予測も不確実だった。少額寄付は出来事に素早く反応したが、寄付者の「疲れ」は増していた。高額な資金調達は限られた数のイベントに依存していた。外部団体はメディア環境を作り替えることができた。2023〜2024年のサイクルでは、連邦の政治委員会全体で数十億ドル規模の資金が扱われた。メリディアン陣営は、それよりはるかに大きなシステムの中の一つの主体にすぎなかった。</w:t>
      </w:r>
    </w:p>
    <w:bookmarkEnd w:id="22"/>
    <w:bookmarkStart w:id="24" w:name="実質的には一連の決定であった意思決定"/>
    <w:p>
      <w:pPr>
        <w:pStyle w:val="Heading1"/>
      </w:pPr>
      <w:r>
        <w:rPr>
          <w:rFonts w:hint="eastAsia"/>
        </w:rPr>
        <w:t xml:space="preserve">実質的には一連の決定であった意思決定</w:t>
      </w:r>
    </w:p>
    <w:p>
      <w:pPr>
        <w:pStyle w:val="FirstParagraph"/>
      </w:pPr>
      <w:r>
        <w:rPr>
          <w:rFonts w:hint="eastAsia"/>
        </w:rPr>
        <w:t xml:space="preserve">チェンのスタッフは4つの計画を提示した。ノースレイク、ミッドランド、レイクランドに集中する案。7つの州すべてに全面投資する案。現場組織と期日前投票を重視する案。そして最終月のために大きな準備金を確保する案である。それぞれの計画は、どこで票を動かせるか、そして今後起こる出来事がどれだけ重要になるかについて、異なる見方を含んでいた。</w:t>
      </w:r>
    </w:p>
    <w:p>
      <w:pPr>
        <w:pStyle w:val="BodyText"/>
      </w:pPr>
      <w:r>
        <w:rPr>
          <w:rFonts w:hint="eastAsia"/>
        </w:rPr>
        <w:t xml:space="preserve">午前7時40分、チェンは対立陣営がノースレイクのテレビ枠を1,800万ドル分予約したこと、週末の寄付が予測を22パーセント下回ったこと、そして候補者がソノラでの大規模演説を望んでいることを知らされた。それぞれの要求は単独では妥当に見えたが、合わせると陣営の対応能力を超えていた。</w:t>
      </w:r>
    </w:p>
    <w:bookmarkStart w:id="23" w:name="図表6.-4つのリソース戦略"/>
    <w:p>
      <w:pPr>
        <w:pStyle w:val="Heading2"/>
      </w:pPr>
      <w:r>
        <w:rPr>
          <w:rFonts w:hint="eastAsia"/>
        </w:rPr>
        <w:t xml:space="preserve">図表6.</w:t>
      </w:r>
      <w:r>
        <w:t xml:space="preserve"> </w:t>
      </w:r>
      <w:r>
        <w:rPr>
          <w:rFonts w:hint="eastAsia"/>
        </w:rPr>
        <w:t xml:space="preserve">4つのリソース戦略</w:t>
      </w:r>
    </w:p>
    <w:tbl>
      <w:tblPr>
        <w:tblStyle w:val="Table"/>
        <w:tblW w:type="pct" w:w="4923"/>
        <w:tblLayout w:type="fixed"/>
        <w:tblLook w:firstRow="1" w:lastRow="0" w:firstColumn="0" w:lastColumn="0" w:noHBand="0" w:noVBand="0" w:val="0020"/>
      </w:tblPr>
      <w:tblGrid>
        <w:gridCol w:w="1340"/>
        <w:gridCol w:w="1401"/>
        <w:gridCol w:w="1705"/>
        <w:gridCol w:w="3350"/>
      </w:tblGrid>
      <w:tr>
        <w:trPr>
          <w:tblHeader w:val="on"/>
        </w:trPr>
        <w:tc>
          <w:tcPr/>
          <w:p>
            <w:pPr>
              <w:pStyle w:val="Compact"/>
              <w:jc w:val="left"/>
            </w:pPr>
            <w:r>
              <w:rPr>
                <w:rFonts w:hint="eastAsia"/>
              </w:rPr>
              <w:t xml:space="preserve">戦略</w:t>
            </w:r>
          </w:p>
        </w:tc>
        <w:tc>
          <w:tcPr/>
          <w:p>
            <w:pPr>
              <w:pStyle w:val="Compact"/>
              <w:jc w:val="center"/>
            </w:pPr>
            <w:r>
              <w:rPr>
                <w:rFonts w:hint="eastAsia"/>
              </w:rPr>
              <w:t xml:space="preserve">即時投入額</w:t>
            </w:r>
          </w:p>
        </w:tc>
        <w:tc>
          <w:tcPr/>
          <w:p>
            <w:pPr>
              <w:pStyle w:val="Compact"/>
              <w:jc w:val="left"/>
            </w:pPr>
            <w:r>
              <w:rPr>
                <w:rFonts w:hint="eastAsia"/>
              </w:rPr>
              <w:t xml:space="preserve">最終月のための保有現金</w:t>
            </w:r>
          </w:p>
        </w:tc>
        <w:tc>
          <w:tcPr/>
          <w:p>
            <w:pPr>
              <w:pStyle w:val="Compact"/>
              <w:jc w:val="left"/>
            </w:pPr>
            <w:r>
              <w:rPr>
                <w:rFonts w:hint="eastAsia"/>
              </w:rPr>
              <w:t xml:space="preserve">基本的な考え方</w:t>
            </w:r>
          </w:p>
        </w:tc>
      </w:tr>
      <w:tr>
        <w:tc>
          <w:tcPr/>
          <w:p>
            <w:pPr>
              <w:pStyle w:val="Compact"/>
              <w:jc w:val="left"/>
            </w:pPr>
            <w:r>
              <w:rPr>
                <w:rFonts w:hint="eastAsia"/>
              </w:rPr>
              <w:t xml:space="preserve">最短経路</w:t>
            </w:r>
          </w:p>
        </w:tc>
        <w:tc>
          <w:tcPr/>
          <w:p>
            <w:pPr>
              <w:pStyle w:val="Compact"/>
              <w:jc w:val="center"/>
            </w:pPr>
            <w:r>
              <w:rPr>
                <w:rFonts w:hint="eastAsia"/>
              </w:rPr>
              <w:t xml:space="preserve">1億5,100万ドル</w:t>
            </w:r>
            <w:r>
              <w:t xml:space="preserve"> 3</w:t>
            </w:r>
          </w:p>
        </w:tc>
        <w:tc>
          <w:tcPr/>
          <w:p>
            <w:pPr>
              <w:pStyle w:val="Compact"/>
              <w:jc w:val="left"/>
            </w:pPr>
            <w:r>
              <w:rPr>
                <w:rFonts w:hint="eastAsia"/>
              </w:rPr>
              <w:t xml:space="preserve">,900万ドル</w:t>
            </w:r>
            <w:r>
              <w:t xml:space="preserve"> 2</w:t>
            </w:r>
          </w:p>
        </w:tc>
        <w:tc>
          <w:tcPr/>
          <w:p>
            <w:pPr>
              <w:pStyle w:val="Compact"/>
              <w:jc w:val="left"/>
            </w:pPr>
            <w:r>
              <w:rPr>
                <w:rFonts w:hint="eastAsia"/>
              </w:rPr>
              <w:t xml:space="preserve">70人への最も現実的なルートを守る</w:t>
            </w:r>
          </w:p>
        </w:tc>
      </w:tr>
      <w:tr>
        <w:tc>
          <w:tcPr/>
          <w:p>
            <w:pPr>
              <w:pStyle w:val="Compact"/>
              <w:jc w:val="left"/>
            </w:pPr>
            <w:r>
              <w:rPr>
                <w:rFonts w:hint="eastAsia"/>
              </w:rPr>
              <w:t xml:space="preserve">7州全面対決</w:t>
            </w:r>
          </w:p>
        </w:tc>
        <w:tc>
          <w:tcPr/>
          <w:p>
            <w:pPr>
              <w:pStyle w:val="Compact"/>
              <w:jc w:val="center"/>
            </w:pPr>
            <w:r>
              <w:rPr>
                <w:rFonts w:hint="eastAsia"/>
              </w:rPr>
              <w:t xml:space="preserve">1億7,800万ドル</w:t>
            </w:r>
            <w:r>
              <w:t xml:space="preserve"> 1</w:t>
            </w:r>
          </w:p>
        </w:tc>
        <w:tc>
          <w:tcPr/>
          <w:p>
            <w:pPr>
              <w:pStyle w:val="Compact"/>
              <w:jc w:val="left"/>
            </w:pPr>
            <w:r>
              <w:rPr>
                <w:rFonts w:hint="eastAsia"/>
              </w:rPr>
              <w:t xml:space="preserve">,200万ドル</w:t>
            </w:r>
            <w:r>
              <w:t xml:space="preserve"> す</w:t>
            </w:r>
          </w:p>
        </w:tc>
        <w:tc>
          <w:tcPr/>
          <w:p>
            <w:pPr>
              <w:pStyle w:val="Compact"/>
              <w:jc w:val="left"/>
            </w:pPr>
            <w:r>
              <w:rPr>
                <w:rFonts w:hint="eastAsia"/>
              </w:rPr>
              <w:t xml:space="preserve">べての接戦州で完全な競争力を維持する</w:t>
            </w:r>
          </w:p>
        </w:tc>
      </w:tr>
      <w:tr>
        <w:tc>
          <w:tcPr/>
          <w:p>
            <w:pPr>
              <w:pStyle w:val="Compact"/>
              <w:jc w:val="left"/>
            </w:pPr>
            <w:r>
              <w:rPr>
                <w:rFonts w:hint="eastAsia"/>
              </w:rPr>
              <w:t xml:space="preserve">組織優先</w:t>
            </w:r>
          </w:p>
        </w:tc>
        <w:tc>
          <w:tcPr/>
          <w:p>
            <w:pPr>
              <w:pStyle w:val="Compact"/>
              <w:jc w:val="center"/>
            </w:pPr>
            <w:r>
              <w:rPr>
                <w:rFonts w:hint="eastAsia"/>
              </w:rPr>
              <w:t xml:space="preserve">1億5,900万ドル</w:t>
            </w:r>
            <w:r>
              <w:t xml:space="preserve"> 3</w:t>
            </w:r>
          </w:p>
        </w:tc>
        <w:tc>
          <w:tcPr/>
          <w:p>
            <w:pPr>
              <w:pStyle w:val="Compact"/>
              <w:jc w:val="left"/>
            </w:pPr>
            <w:r>
              <w:rPr>
                <w:rFonts w:hint="eastAsia"/>
              </w:rPr>
              <w:t xml:space="preserve">,100万ドル</w:t>
            </w:r>
            <w:r>
              <w:t xml:space="preserve"> </w:t>
            </w:r>
            <w:r>
              <w:rPr>
                <w:rFonts w:hint="eastAsia"/>
              </w:rPr>
              <w:t xml:space="preserve">現</w:t>
            </w:r>
          </w:p>
        </w:tc>
        <w:tc>
          <w:tcPr/>
          <w:p>
            <w:pPr>
              <w:pStyle w:val="Compact"/>
              <w:jc w:val="left"/>
            </w:pPr>
            <w:r>
              <w:rPr>
                <w:rFonts w:hint="eastAsia"/>
              </w:rPr>
              <w:t xml:space="preserve">場対応力と期日前投票が決定的になる</w:t>
            </w:r>
          </w:p>
        </w:tc>
      </w:tr>
      <w:tr>
        <w:tc>
          <w:tcPr/>
          <w:p>
            <w:pPr>
              <w:pStyle w:val="Compact"/>
              <w:jc w:val="left"/>
            </w:pPr>
            <w:r>
              <w:rPr>
                <w:rFonts w:hint="eastAsia"/>
              </w:rPr>
              <w:t xml:space="preserve">適応的な準備金</w:t>
            </w:r>
          </w:p>
        </w:tc>
        <w:tc>
          <w:tcPr/>
          <w:p>
            <w:pPr>
              <w:pStyle w:val="Compact"/>
              <w:jc w:val="center"/>
            </w:pPr>
            <w:r>
              <w:rPr>
                <w:rFonts w:hint="eastAsia"/>
              </w:rPr>
              <w:t xml:space="preserve">1億3,200万ドル</w:t>
            </w:r>
            <w:r>
              <w:t xml:space="preserve"> 5</w:t>
            </w:r>
          </w:p>
        </w:tc>
        <w:tc>
          <w:tcPr/>
          <w:p>
            <w:pPr>
              <w:pStyle w:val="Compact"/>
              <w:jc w:val="left"/>
            </w:pPr>
            <w:r>
              <w:rPr>
                <w:rFonts w:hint="eastAsia"/>
              </w:rPr>
              <w:t xml:space="preserve">,800万ドル</w:t>
            </w:r>
            <w:r>
              <w:t xml:space="preserve"> </w:t>
            </w:r>
            <w:r>
              <w:rPr>
                <w:rFonts w:hint="eastAsia"/>
              </w:rPr>
              <w:t xml:space="preserve">今</w:t>
            </w:r>
          </w:p>
        </w:tc>
        <w:tc>
          <w:tcPr/>
          <w:p>
            <w:pPr>
              <w:pStyle w:val="Compact"/>
              <w:jc w:val="left"/>
            </w:pPr>
            <w:r>
              <w:rPr>
                <w:rFonts w:hint="eastAsia"/>
              </w:rPr>
              <w:t xml:space="preserve">後の出来事と情報が優先順位を変える</w:t>
            </w:r>
          </w:p>
        </w:tc>
      </w:tr>
    </w:tbl>
    <w:bookmarkEnd w:id="23"/>
    <w:bookmarkEnd w:id="24"/>
    <w:bookmarkStart w:id="25" w:name="議論のための設問"/>
    <w:p>
      <w:pPr>
        <w:pStyle w:val="Heading1"/>
      </w:pPr>
      <w:r>
        <w:rPr>
          <w:rFonts w:hint="eastAsia"/>
        </w:rPr>
        <w:t xml:space="preserve">議論のための設問</w:t>
      </w:r>
    </w:p>
    <w:p>
      <w:pPr>
        <w:numPr>
          <w:ilvl w:val="0"/>
          <w:numId w:val="1001"/>
        </w:numPr>
      </w:pPr>
      <w:r>
        <w:rPr>
          <w:rFonts w:hint="eastAsia"/>
        </w:rPr>
        <w:t xml:space="preserve">マヤ・チェンが直面している中心的な問題は何であり、それはなぜ、最も僅差の世論調査結果を示す州を選ぶことよりも難しいのか。</w:t>
      </w:r>
    </w:p>
    <w:p>
      <w:pPr>
        <w:numPr>
          <w:ilvl w:val="0"/>
          <w:numId w:val="1001"/>
        </w:numPr>
      </w:pPr>
      <w:r>
        <w:rPr>
          <w:rFonts w:hint="eastAsia"/>
        </w:rPr>
        <w:t xml:space="preserve">選挙人数、世論調査の差、投票率、メディア費用、組織対応力が異なる州を、陣営はどのように評価すべきか。</w:t>
      </w:r>
    </w:p>
    <w:p>
      <w:pPr>
        <w:numPr>
          <w:ilvl w:val="0"/>
          <w:numId w:val="1001"/>
        </w:numPr>
      </w:pPr>
      <w:r>
        <w:rPr>
          <w:rFonts w:hint="eastAsia"/>
        </w:rPr>
        <w:t xml:space="preserve">どれだけの資金を即座に投入すべきであり、どれだけを最終月のために確保しておくべきか。</w:t>
      </w:r>
    </w:p>
    <w:p>
      <w:pPr>
        <w:numPr>
          <w:ilvl w:val="0"/>
          <w:numId w:val="1001"/>
        </w:numPr>
      </w:pPr>
      <w:r>
        <w:rPr>
          <w:rFonts w:hint="eastAsia"/>
        </w:rPr>
        <w:t xml:space="preserve">候補者の移動時間は、説得、動員、資金調達、全国メディア、即応対応の間でどのように配分されるべきか。</w:t>
      </w:r>
    </w:p>
    <w:p>
      <w:pPr>
        <w:numPr>
          <w:ilvl w:val="0"/>
          <w:numId w:val="1001"/>
        </w:numPr>
      </w:pPr>
      <w:r>
        <w:rPr>
          <w:rFonts w:hint="eastAsia"/>
        </w:rPr>
        <w:t xml:space="preserve">どの広告・有権者接触チャネルが優先されるべきか。チャネル間で資金を移動させる根拠となる証拠は何か。</w:t>
      </w:r>
    </w:p>
    <w:p>
      <w:pPr>
        <w:numPr>
          <w:ilvl w:val="0"/>
          <w:numId w:val="1001"/>
        </w:numPr>
      </w:pPr>
      <w:r>
        <w:rPr>
          <w:rFonts w:hint="eastAsia"/>
        </w:rPr>
        <w:t xml:space="preserve">今後3週間、陣営はどのような情報を収集すべきか。提案されている世論調査・調査活動のうち、最も価値があると思われるものはどれか。</w:t>
      </w:r>
    </w:p>
    <w:p>
      <w:pPr>
        <w:numPr>
          <w:ilvl w:val="0"/>
          <w:numId w:val="1001"/>
        </w:numPr>
      </w:pPr>
      <w:r>
        <w:rPr>
          <w:rFonts w:hint="eastAsia"/>
        </w:rPr>
        <w:t xml:space="preserve">有権者の態度における本当の変化と、世論調査上のノイズや投票率に関する仮定の変化とを、陣営はどのように区別すべきか。</w:t>
      </w:r>
    </w:p>
    <w:p>
      <w:pPr>
        <w:numPr>
          <w:ilvl w:val="0"/>
          <w:numId w:val="1001"/>
        </w:numPr>
      </w:pPr>
      <w:r>
        <w:rPr>
          <w:rFonts w:hint="eastAsia"/>
        </w:rPr>
        <w:t xml:space="preserve">陣営は270人への狭い道筋に集中すべきか、それとも7つの接戦州すべてで信頼に足る運営を維持すべきか。</w:t>
      </w:r>
    </w:p>
    <w:p>
      <w:pPr>
        <w:numPr>
          <w:ilvl w:val="0"/>
          <w:numId w:val="1001"/>
        </w:numPr>
      </w:pPr>
      <w:r>
        <w:rPr>
          <w:rFonts w:hint="eastAsia"/>
        </w:rPr>
        <w:t xml:space="preserve">ある州での活動を拡大、縮小、あるいは終了させる引き金となるべき指標は何か。</w:t>
      </w:r>
    </w:p>
    <w:p>
      <w:pPr>
        <w:numPr>
          <w:ilvl w:val="0"/>
          <w:numId w:val="1001"/>
        </w:numPr>
      </w:pPr>
      <w:r>
        <w:rPr>
          <w:rFonts w:hint="eastAsia"/>
        </w:rPr>
        <w:t xml:space="preserve">陣営は、大きなニュース報道、対立候補の支出、候補者の健康懸念、誤情報、あるいは選挙運営上の混乱に、どのように備えるべきか。</w:t>
      </w:r>
    </w:p>
    <w:bookmarkEnd w:id="25"/>
    <w:bookmarkStart w:id="31" w:name="意思決定フレーミングのための設問"/>
    <w:p>
      <w:pPr>
        <w:pStyle w:val="Heading1"/>
      </w:pPr>
      <w:r>
        <w:rPr>
          <w:rFonts w:hint="eastAsia"/>
        </w:rPr>
        <w:t xml:space="preserve">意思決定フレーミングのための設問</w:t>
      </w:r>
    </w:p>
    <w:p>
      <w:pPr>
        <w:numPr>
          <w:ilvl w:val="0"/>
          <w:numId w:val="1002"/>
        </w:numPr>
      </w:pPr>
      <w:r>
        <w:rPr>
          <w:rFonts w:hint="eastAsia"/>
        </w:rPr>
        <w:t xml:space="preserve">意思決定者の責任を特定し、記述せよ。これによって問題の範囲が定まるはずである。</w:t>
      </w:r>
    </w:p>
    <w:p>
      <w:pPr>
        <w:numPr>
          <w:ilvl w:val="0"/>
          <w:numId w:val="1002"/>
        </w:numPr>
      </w:pPr>
      <w:hyperlink r:id="rId26">
        <w:r>
          <w:rPr>
            <w:rStyle w:val="Hyperlink"/>
          </w:rPr>
          <w:t xml:space="preserve">メトリクス・ピラミッド・ツール</w:t>
        </w:r>
      </w:hyperlink>
      <w:r>
        <w:rPr>
          <w:rFonts w:hint="eastAsia"/>
        </w:rPr>
        <w:t xml:space="preserve">を用いて、さまざまな成果指標を特定し、優先順位をつけよ。指標を保持する楕円をクリックして、それが最大化すべき指標(緑)、最小化すべき指標(赤)、下限としての目標(明るい緑)、上限としての目標(明るい赤)、あるいは目標値(紫)のいずれであるかを示すこと。</w:t>
      </w:r>
    </w:p>
    <w:p>
      <w:pPr>
        <w:numPr>
          <w:ilvl w:val="0"/>
          <w:numId w:val="1002"/>
        </w:numPr>
      </w:pPr>
      <w:hyperlink r:id="rId27">
        <w:r>
          <w:rPr>
            <w:rStyle w:val="Hyperlink"/>
            <w:rFonts w:hint="eastAsia"/>
          </w:rPr>
          <w:t xml:space="preserve">決定優先順位付けツール</w:t>
        </w:r>
      </w:hyperlink>
      <w:r>
        <w:rPr>
          <w:rFonts w:hint="eastAsia"/>
        </w:rPr>
        <w:t xml:space="preserve">を用いて、まずさまざまな種類の決定を列挙せよ(</w:t>
      </w:r>
      <w:hyperlink r:id="rId28">
        <w:r>
          <w:rPr>
            <w:rStyle w:val="Hyperlink"/>
            <w:rFonts w:hint="eastAsia"/>
          </w:rPr>
          <w:t xml:space="preserve">決定の種類</w:t>
        </w:r>
      </w:hyperlink>
      <w:r>
        <w:rPr>
          <w:rFonts w:hint="eastAsia"/>
        </w:rPr>
        <w:t xml:space="preserve">を手引きとして用いること)。これらは、右側にあるマトリクスの行を構成することになり、列は上記のピラミッドにおける優先順位に従って左から右に並べられた成果指標である。各セルをクリックし、それぞれの決定が各指標に与える影響が高い(赤)、中程度(オレンジ)、低い(黄)、あるいは影響なし(白)のいずれであるかを示すこと。</w:t>
      </w:r>
    </w:p>
    <w:p>
      <w:pPr>
        <w:numPr>
          <w:ilvl w:val="0"/>
          <w:numId w:val="1002"/>
        </w:numPr>
      </w:pPr>
      <w:r>
        <w:rPr>
          <w:rFonts w:hint="eastAsia"/>
        </w:rPr>
        <w:t xml:space="preserve">各行の一番左にあるハンドル(三本線)をつかんで、行を上下に動かすことができる。最も重要な指標に最も大きな影響を与える決定が上位に来るよう、行を並べ替えよ。左上隅のセルには、赤とオレンジのセルが最も密集しているはずである。この時点で、あなたの検討において最も注意を払うべき決定を特定せよ。最も重要な指標に対して中程度あるいは高い影響を持つ決定が一つもない場合は、決定の一覧を見直すこと。</w:t>
      </w:r>
    </w:p>
    <w:p>
      <w:pPr>
        <w:numPr>
          <w:ilvl w:val="0"/>
          <w:numId w:val="1002"/>
        </w:numPr>
      </w:pPr>
      <w:hyperlink r:id="rId29">
        <w:r>
          <w:rPr>
            <w:rStyle w:val="Hyperlink"/>
            <w:rFonts w:hint="eastAsia"/>
          </w:rPr>
          <w:t xml:space="preserve">不確実性優先順位付けツール</w:t>
        </w:r>
      </w:hyperlink>
      <w:r>
        <w:rPr>
          <w:rFonts w:hint="eastAsia"/>
        </w:rPr>
        <w:t xml:space="preserve">を用いて、不確実性についても同様のプロセスを繰り返し、列挙と優先順位付けを行え。</w:t>
      </w:r>
      <w:hyperlink r:id="rId30">
        <w:r>
          <w:rPr>
            <w:rStyle w:val="Hyperlink"/>
            <w:rFonts w:hint="eastAsia"/>
          </w:rPr>
          <w:t xml:space="preserve">不確実性の分類</w:t>
        </w:r>
      </w:hyperlink>
      <w:r>
        <w:rPr>
          <w:rFonts w:hint="eastAsia"/>
        </w:rPr>
        <w:t xml:space="preserve">を、これらを特定する手引きとして用いること。</w:t>
      </w:r>
    </w:p>
    <w:p>
      <w:pPr>
        <w:numPr>
          <w:ilvl w:val="0"/>
          <w:numId w:val="1002"/>
        </w:numPr>
      </w:pPr>
      <w:r>
        <w:rPr>
          <w:rFonts w:hint="eastAsia"/>
        </w:rPr>
        <w:t xml:space="preserve">平均として評価できる不確実性と、リスクイベントとして評価すべき不確実性とを区別することが重要である。</w:t>
      </w:r>
    </w:p>
    <w:p>
      <w:pPr>
        <w:numPr>
          <w:ilvl w:val="1"/>
          <w:numId w:val="1003"/>
        </w:numPr>
      </w:pPr>
      <w:r>
        <w:rPr>
          <w:rFonts w:hint="eastAsia"/>
        </w:rPr>
        <w:t xml:space="preserve">どの不確実性の要因が、時間をかけた平均的なパフォーマンスによって捉えられるか。</w:t>
      </w:r>
    </w:p>
    <w:p>
      <w:pPr>
        <w:numPr>
          <w:ilvl w:val="1"/>
          <w:numId w:val="1003"/>
        </w:numPr>
      </w:pPr>
      <w:r>
        <w:rPr>
          <w:rFonts w:hint="eastAsia"/>
        </w:rPr>
        <w:t xml:space="preserve">どの不確実性の要因が、平均では適切に捉えられないリスクの一形態を表しているか。</w:t>
      </w:r>
    </w:p>
    <w:p>
      <w:pPr>
        <w:numPr>
          <w:ilvl w:val="0"/>
          <w:numId w:val="1002"/>
        </w:numPr>
      </w:pPr>
      <w:r>
        <w:rPr>
          <w:rFonts w:hint="eastAsia"/>
        </w:rPr>
        <w:t xml:space="preserve">最も重要な指標に対して最も高い影響を持つと思われる決定を一つ選べ。</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この決定を下すために、どのようなデータが必要と思われるか。決定が高いあるいは中程度の影響を持つ、あらゆる成果指標の算出を含めること。</w:t>
      </w:r>
    </w:p>
    <w:p>
      <w:pPr>
        <w:numPr>
          <w:ilvl w:val="0"/>
          <w:numId w:val="1002"/>
        </w:numPr>
      </w:pPr>
      <w:r>
        <w:rPr>
          <w:rFonts w:hint="eastAsia"/>
        </w:rPr>
        <w:t xml:space="preserve">(7)で特定したのと同じ決定を用いて、その決定を実行するために協働する必要がある人々、部門、グループ、組織を特定せよ。</w:t>
      </w:r>
    </w:p>
    <w:bookmarkEnd w:id="31"/>
    <w:bookmarkStart w:id="32" w:name="出典注記"/>
    <w:p>
      <w:pPr>
        <w:pStyle w:val="Heading1"/>
      </w:pPr>
      <w:r>
        <w:rPr>
          <w:rFonts w:hint="eastAsia"/>
        </w:rPr>
        <w:t xml:space="preserve">出典注記</w:t>
      </w:r>
    </w:p>
    <w:p>
      <w:pPr>
        <w:pStyle w:val="FirstParagraph"/>
      </w:pPr>
      <w:r>
        <w:rPr>
          <w:rFonts w:hint="eastAsia"/>
        </w:rPr>
        <w:t xml:space="preserve">選挙戦、候補者、政党、スタッフ、世論調査の推定値、財務予測、および図表はすべて架空のものである。この概念的基盤は、Warren</w:t>
      </w:r>
      <w:r>
        <w:t xml:space="preserve"> B. Powell </w:t>
      </w:r>
      <w:r>
        <w:rPr>
          <w:rFonts w:hint="eastAsia"/>
        </w:rPr>
        <w:t xml:space="preserve">著</w:t>
      </w:r>
      <w:r>
        <w:t xml:space="preserve"> </w:t>
      </w:r>
      <w:r>
        <w:rPr>
          <w:i/>
          <w:iCs/>
        </w:rPr>
        <w:t xml:space="preserve">Bridging Decision Problems</w:t>
      </w:r>
      <w:r>
        <w:t xml:space="preserve">, Volume I, </w:t>
      </w:r>
      <w:r>
        <w:rPr>
          <w:rFonts w:hint="eastAsia"/>
        </w:rPr>
        <w:t xml:space="preserve">第2章の「大統領選挙の実施」の節に基づいている。その節は、大統領選挙運動を、候補者およびスタッフの配置、情報収集、メッセージの発信、広告、現地事務所、世論調査、寄付、支出、支持率の変動、世論調査のバイアス、ニュースイベント、対立候補からの攻撃、外部団体による支出、そして候補者の健康状態を伴う、予算制約下の運用上の問題として描いている。</w:t>
      </w:r>
    </w:p>
    <w:p>
      <w:pPr>
        <w:pStyle w:val="BodyText"/>
      </w:pPr>
      <w:r>
        <w:rPr>
          <w:rFonts w:hint="eastAsia"/>
        </w:rPr>
        <w:t xml:space="preserve">公的な文脈：米国国勢調査局の報告によれば、2024年大統領選挙において投票年齢の市民1億7,400万人が登録し、1億5,400万人が投票し、投票率は65.3パーセントであった。39.6パーセントが投票日当日に対面で投票し、30.7パーセントが期日前に対面で投票し、29.0パーセントが郵便で投票した。連邦選挙委員会(FEC)は、2024年の公式結果として、選挙人票312対226、そして大統領候補への総投票数155,238,302票を報告した。FECの集計はまた、2023〜2024年のサイクルにおいて、連邦の候補者、政党、政治委員会が数十億ドル規模の資金を扱ったことを示している。出典：U.S.</w:t>
      </w:r>
      <w:r>
        <w:t xml:space="preserve"> Census Bureau,</w:t>
      </w:r>
      <w:r>
        <w:t xml:space="preserve"> </w:t>
      </w:r>
      <w:r>
        <w:t xml:space="preserve">“2024 Presidential Election Voting and Registration Tables Now Available”</w:t>
      </w:r>
      <w:r>
        <w:t xml:space="preserve"> </w:t>
      </w:r>
      <w:r>
        <w:t xml:space="preserve">(April 30, 2025); Federal Election Commission,</w:t>
      </w:r>
      <w:r>
        <w:t xml:space="preserve"> </w:t>
      </w:r>
      <w:r>
        <w:t xml:space="preserve">“Official 2024 Presidential General Election Results”</w:t>
      </w:r>
      <w:r>
        <w:t xml:space="preserve">; および FEC,</w:t>
      </w:r>
      <w:r>
        <w:t xml:space="preserve"> </w:t>
      </w:r>
      <w:r>
        <w:t xml:space="preserve">“Statistical Summary of 24-Month Campaign Activity of the 2023-2024 Election Cycle”</w:t>
      </w:r>
      <w:r>
        <w:t xml:space="preserve"> </w:t>
      </w:r>
      <w:r>
        <w:t xml:space="preserve">(April 23, 2025)。</w:t>
      </w:r>
    </w:p>
    <w:bookmarkEnd w:id="32"/>
    <w:bookmarkStart w:id="35" w:name="chatgptの注記"/>
    <w:p>
      <w:pPr>
        <w:pStyle w:val="Heading1"/>
      </w:pPr>
      <w:r>
        <w:rPr>
          <w:rFonts w:hint="eastAsia"/>
        </w:rPr>
        <w:t xml:space="preserve">ChatGPTの注記</w:t>
      </w:r>
    </w:p>
    <w:bookmarkStart w:id="33" w:name="プロンプト"/>
    <w:p>
      <w:pPr>
        <w:pStyle w:val="Heading2"/>
      </w:pPr>
      <w:r>
        <w:t xml:space="preserve">プロンプト</w:t>
      </w:r>
    </w:p>
    <w:p>
      <w:pPr>
        <w:pStyle w:val="FirstParagraph"/>
      </w:pPr>
      <w:r>
        <w:t xml:space="preserve">https://warrenpowell.org/bridging-vol1/chapter-2/#presidentialelection </w:t>
      </w:r>
      <w:r>
        <w:rPr>
          <w:rFonts w:hint="eastAsia"/>
        </w:rPr>
        <w:t xml:space="preserve">にあるセクションの内容に基づき、4〜6ページのケーススタディを作成せよ。そのセクションにある指標、決定、不確実性に基づいた文脈を作成すること。ただし、それらを明示的に指し示すことはしないこと。データに基づいてケースの問題に動機づけを与えること。</w:t>
      </w:r>
    </w:p>
    <w:bookmarkEnd w:id="33"/>
    <w:bookmarkStart w:id="34" w:name="要約"/>
    <w:p>
      <w:pPr>
        <w:pStyle w:val="Heading2"/>
      </w:pPr>
      <w:r>
        <w:rPr>
          <w:rFonts w:hint="eastAsia"/>
        </w:rPr>
        <w:t xml:space="preserve">要約</w:t>
      </w:r>
    </w:p>
    <w:p>
      <w:pPr>
        <w:pStyle w:val="FirstParagraph"/>
      </w:pPr>
      <w:r>
        <w:rPr>
          <w:rFonts w:hint="eastAsia"/>
        </w:rPr>
        <w:t xml:space="preserve">このケースは、投票日の11週間前、7つの接戦州にまたがる93人の選挙人が分散している架空の大統領選挙戦を舞台とする。候補者の移動、広告、現地事務所、世論調査、資金調達、有権者動員、そして財務上の準備金をめぐる競合する要求を、望ましい戦略を特定することなく検討していく。</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warrenpowell.org/decision-framing-tool/#decision-prioritization-tool" TargetMode="External" /><Relationship Type="http://schemas.openxmlformats.org/officeDocument/2006/relationships/hyperlink" Id="rId26" Target="https://warrenpowell.org/decision-framing-tool/#metrics-pyramid-tool" TargetMode="External" /><Relationship Type="http://schemas.openxmlformats.org/officeDocument/2006/relationships/hyperlink" Id="rId29" Target="https://warrenpowell.org/decision-framing-tool/#uncertainty-prioritization-tool" TargetMode="External" /><Relationship Type="http://schemas.openxmlformats.org/officeDocument/2006/relationships/hyperlink" Id="rId28" Target="https://warrenpowell.org/decisionsdecisions/#types-of-decision-settings" TargetMode="External" /><Relationship Type="http://schemas.openxmlformats.org/officeDocument/2006/relationships/hyperlink" Id="rId3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7" Target="https://warrenpowell.org/decision-framing-tool/#decision-prioritization-tool" TargetMode="External" /><Relationship Type="http://schemas.openxmlformats.org/officeDocument/2006/relationships/hyperlink" Id="rId26" Target="https://warrenpowell.org/decision-framing-tool/#metrics-pyramid-tool" TargetMode="External" /><Relationship Type="http://schemas.openxmlformats.org/officeDocument/2006/relationships/hyperlink" Id="rId29" Target="https://warrenpowell.org/decision-framing-tool/#uncertainty-prioritization-tool" TargetMode="External" /><Relationship Type="http://schemas.openxmlformats.org/officeDocument/2006/relationships/hyperlink" Id="rId28" Target="https://warrenpowell.org/decisionsdecisions/#types-of-decision-settings" TargetMode="External" /><Relationship Type="http://schemas.openxmlformats.org/officeDocument/2006/relationships/hyperlink" Id="rId3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2026-09-11T17:49:08Z</dcterms:created>
  <dcterms:modified xsi:type="dcterms:W3CDTF">2026-09-11T17:49:08Z</dcterms:modified>
</cp:coreProperties>
</file>

<file path=docProps/custom.xml><?xml version="1.0" encoding="utf-8"?>
<Properties xmlns="http://schemas.openxmlformats.org/officeDocument/2006/custom-properties" xmlns:vt="http://schemas.openxmlformats.org/officeDocument/2006/docPropsVTypes"/>
</file>