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NORTHBRIDGE INDUSTRIAL SYSTEMS</w:t>
      </w:r>
    </w:p>
    <w:p>
      <w:pPr>
        <w:pStyle w:val="BodyText"/>
      </w:pPr>
      <w:r>
        <w:rPr>
          <w:rFonts w:hint="eastAsia"/>
        </w:rPr>
        <w:t xml:space="preserve">90日間の支払い決定</w:t>
      </w:r>
    </w:p>
    <w:p>
      <w:pPr>
        <w:pStyle w:val="BodyText"/>
      </w:pPr>
      <w:r>
        <w:rPr>
          <w:rFonts w:hint="eastAsia"/>
        </w:rPr>
        <w:t xml:space="preserve">重要なサプライヤーを不安定化させることなく流動性を守る、サプライチェーンファイナンスのケーススタディ</w:t>
      </w:r>
    </w:p>
    <w:p>
      <w:pPr>
        <w:pStyle w:val="BodyText"/>
      </w:pPr>
      <w:r>
        <w:rPr>
          <w:rFonts w:hint="eastAsia"/>
        </w:rPr>
        <w:t xml:space="preserve">このケースは架空のものであり、教育目的の議論のために作成されている。名称、出来事、組織、および運用データは創作されたものであるが、業界の背景は公開情報に基づいている。</w:t>
      </w:r>
    </w:p>
    <w:tbl>
      <w:tblPr>
        <w:tblStyle w:val="Table"/>
        <w:tblW w:type="auto" w:w="0"/>
        <w:tblLook w:firstRow="0" w:lastRow="0" w:firstColumn="0" w:lastColumn="0" w:noHBand="0" w:noVBand="0" w:val="0000"/>
      </w:tblPr>
      <w:tblGrid>
        <w:gridCol w:w="7920"/>
      </w:tblGrid>
      <w:tr>
        <w:tc>
          <w:tcPr/>
          <w:p>
            <w:pPr>
              <w:pStyle w:val="Compact"/>
              <w:jc w:val="left"/>
            </w:pPr>
            <w:r>
              <w:rPr>
                <w:rFonts w:hint="eastAsia"/>
              </w:rPr>
              <w:t xml:space="preserve">Northbridgeには自社の短期債務を履行するには十分な現金があるが、関税に起因する在庫購入を吸収し、信用格付けを維持し、経営難を訴えるすべてのサプライヤーへの支払いを早めるには不十分である。提案されているサプライヤーファイナンス・プログラムは助けになるかもしれないが、それは同時にNorthbridgeの支払い条件を延長し、銀行、保険会社、取引データへの新たな依存関係を生み出すことにもなる。</w:t>
            </w:r>
          </w:p>
        </w:tc>
      </w:tr>
    </w:tbl>
    <w:bookmarkStart w:id="10" w:name="好調な受注残高逼迫するキャッシュサイクル"/>
    <w:p>
      <w:pPr>
        <w:pStyle w:val="Heading1"/>
      </w:pPr>
      <w:r>
        <w:rPr>
          <w:rFonts w:hint="eastAsia"/>
        </w:rPr>
        <w:t xml:space="preserve">好調な受注残高、逼迫するキャッシュサイクル</w:t>
      </w:r>
    </w:p>
    <w:p>
      <w:pPr>
        <w:pStyle w:val="FirstParagraph"/>
      </w:pPr>
      <w:r>
        <w:rPr>
          <w:rFonts w:hint="eastAsia"/>
        </w:rPr>
        <w:t xml:space="preserve">2026年9月のある火曜日の朝7時10分、Northbridge</w:t>
      </w:r>
      <w:r>
        <w:t xml:space="preserve"> Industrial SystemsのCFOであるMaya </w:t>
      </w:r>
      <w:r>
        <w:rPr>
          <w:rFonts w:hint="eastAsia"/>
        </w:rPr>
        <w:t xml:space="preserve">Chenは、オハイオ州の家族経営の機械加工サプライヤーであるAlloyWorks</w:t>
      </w:r>
      <w:r>
        <w:t xml:space="preserve"> </w:t>
      </w:r>
      <w:r>
        <w:rPr>
          <w:rFonts w:hint="eastAsia"/>
        </w:rPr>
        <w:t xml:space="preserve">Precisionのオーナーからのメールを開いた。AlloyWorksは、Northbridgeの産業用冷却システムで使用される小さいながらも不可欠なバルブハウジングを生産していた。サプライヤーからのメッセージは簡潔だった。Northbridgeが支払いを75日から30日に短縮できなければ、AlloyWorksは生産を縮小するか、買い手を探さなければならないというものだった。</w:t>
      </w:r>
    </w:p>
    <w:p>
      <w:pPr>
        <w:pStyle w:val="BodyText"/>
      </w:pPr>
      <w:r>
        <w:rPr>
          <w:rFonts w:hint="eastAsia"/>
        </w:rPr>
        <w:t xml:space="preserve">Northbridgeは、データセンター、食品加工業者、病院、先進製造工場向けのポンプ、制御機器、熱管理アセンブリを製造していた。年間売上高は28億ドルに達し、受注残高は会社史上最高であった。しかしキャッシュコンバージョンは悪化していた。顧客はより長い支払い条件を要求し、出荷の混乱に備えて在庫が増加し、新たな関税によって輸入モーター、電子制御機器、特殊金属のコストが上昇していた。会社は利益を出し続けていたが、現金は利益が示唆する以上の速さで吸収されていた。</w:t>
      </w:r>
    </w:p>
    <w:p>
      <w:pPr>
        <w:pStyle w:val="BodyText"/>
      </w:pPr>
      <w:r>
        <w:rPr>
          <w:rFonts w:hint="eastAsia"/>
        </w:rPr>
        <w:t xml:space="preserve">この問題は1社のサプライヤーにとどまらなかった。調達部門は、47社のサプライヤーを、事業運営上重要でありながら財務的に脆弱であると特定していた。これらのサプライヤーを合計すると年間購買額の18%に過ぎなかったが、Northbridgeの完成品の63%の部品を供給していた。その多くは、低コストの銀行融資を利用できなかった。他の企業は、変動金利、個人保証、あるいはオンライン貸付業者によるリボルビング融資枠を利用していた。前年、Northbridgeが標準的な支払い条件を60日から75日に延長した際、多くのサプライヤーは抗議することなくその変更を受け入れた。しかし今や、調達マネージャーたちは、工具購入の遅延、残業の削減、価格引き上げの要求を報告していた。</w:t>
      </w:r>
    </w:p>
    <w:p>
      <w:pPr>
        <w:pStyle w:val="BodyText"/>
      </w:pPr>
      <w:r>
        <w:rPr>
          <w:rFonts w:hint="eastAsia"/>
        </w:rPr>
        <w:t xml:space="preserve">より広い市場も安心材料にはならなかった。連邦準備銀行の2026年小規模事業者調査によると、前年に融資を申請した企業は60%に上り、その多くは運転資金を賄うためのものであったが、申請額の全額を受け取った企業は42%に過ぎなかった。製造業企業もまた、関税関連のコスト圧力を報告する可能性が最も高い部類に入っていた。同時に、サプライチェーンファイナンスは急速に拡大していた。Secured</w:t>
      </w:r>
      <w:r>
        <w:t xml:space="preserve"> Finance </w:t>
      </w:r>
      <w:r>
        <w:rPr>
          <w:rFonts w:hint="eastAsia"/>
        </w:rPr>
        <w:t xml:space="preserve">Networkの2025年の調査によると、米国の売掛債権の約12%がこのような取り決めを通じて資金調達されており、年間約2.56兆ドルの活動に相当すると推定されている。</w:t>
      </w:r>
    </w:p>
    <w:bookmarkStart w:id="9" w:name="図表1.-northbridgeの運転資本ポジション"/>
    <w:p>
      <w:pPr>
        <w:pStyle w:val="Heading2"/>
      </w:pPr>
      <w:r>
        <w:rPr>
          <w:rFonts w:hint="eastAsia"/>
        </w:rPr>
        <w:t xml:space="preserve">図表1.</w:t>
      </w:r>
      <w:r>
        <w:t xml:space="preserve"> </w:t>
      </w:r>
      <w:r>
        <w:rPr>
          <w:rFonts w:hint="eastAsia"/>
        </w:rPr>
        <w:t xml:space="preserve">Northbridgeの運転資本ポジション</w:t>
      </w:r>
    </w:p>
    <w:tbl>
      <w:tblPr>
        <w:tblStyle w:val="Table"/>
        <w:tblW w:type="pct" w:w="4872"/>
        <w:tblLayout w:type="fixed"/>
        <w:tblLook w:firstRow="1" w:lastRow="0" w:firstColumn="0" w:lastColumn="0" w:noHBand="0" w:noVBand="0" w:val="0020"/>
      </w:tblPr>
      <w:tblGrid>
        <w:gridCol w:w="2944"/>
        <w:gridCol w:w="1421"/>
        <w:gridCol w:w="1421"/>
        <w:gridCol w:w="1929"/>
      </w:tblGrid>
      <w:tr>
        <w:trPr>
          <w:tblHeader w:val="on"/>
        </w:trPr>
        <w:tc>
          <w:tcPr/>
          <w:p>
            <w:pPr>
              <w:pStyle w:val="Compact"/>
              <w:jc w:val="left"/>
            </w:pPr>
            <w:r>
              <w:rPr>
                <w:rFonts w:hint="eastAsia"/>
              </w:rPr>
              <w:t xml:space="preserve">指標</w:t>
            </w:r>
          </w:p>
        </w:tc>
        <w:tc>
          <w:tcPr/>
          <w:p>
            <w:pPr>
              <w:pStyle w:val="Compact"/>
              <w:jc w:val="center"/>
            </w:pPr>
            <w:r>
              <w:t xml:space="preserve">FY2024</w:t>
            </w:r>
          </w:p>
        </w:tc>
        <w:tc>
          <w:tcPr/>
          <w:p>
            <w:pPr>
              <w:pStyle w:val="Compact"/>
              <w:jc w:val="center"/>
            </w:pPr>
            <w:r>
              <w:t xml:space="preserve">FY2025</w:t>
            </w:r>
          </w:p>
        </w:tc>
        <w:tc>
          <w:tcPr/>
          <w:p>
            <w:pPr>
              <w:pStyle w:val="Compact"/>
              <w:jc w:val="center"/>
            </w:pPr>
            <w:r>
              <w:rPr>
                <w:rFonts w:hint="eastAsia"/>
              </w:rPr>
              <w:t xml:space="preserve">現在の予測</w:t>
            </w:r>
          </w:p>
        </w:tc>
      </w:tr>
      <w:tr>
        <w:tc>
          <w:tcPr/>
          <w:p>
            <w:pPr>
              <w:pStyle w:val="Compact"/>
              <w:jc w:val="left"/>
            </w:pPr>
            <w:r>
              <w:rPr>
                <w:rFonts w:hint="eastAsia"/>
              </w:rPr>
              <w:t xml:space="preserve">売上高</w:t>
            </w:r>
          </w:p>
        </w:tc>
        <w:tc>
          <w:tcPr/>
          <w:p>
            <w:pPr>
              <w:pStyle w:val="Compact"/>
              <w:jc w:val="center"/>
            </w:pPr>
            <w:r>
              <w:t xml:space="preserve">$2.42B</w:t>
            </w:r>
          </w:p>
        </w:tc>
        <w:tc>
          <w:tcPr/>
          <w:p>
            <w:pPr>
              <w:pStyle w:val="Compact"/>
              <w:jc w:val="center"/>
            </w:pPr>
            <w:r>
              <w:t xml:space="preserve">$2.61B</w:t>
            </w:r>
          </w:p>
        </w:tc>
        <w:tc>
          <w:tcPr/>
          <w:p>
            <w:pPr>
              <w:pStyle w:val="Compact"/>
              <w:jc w:val="center"/>
            </w:pPr>
            <w:r>
              <w:t xml:space="preserve">$2.80B</w:t>
            </w:r>
          </w:p>
        </w:tc>
      </w:tr>
      <w:tr>
        <w:tc>
          <w:tcPr/>
          <w:p>
            <w:pPr>
              <w:pStyle w:val="Compact"/>
              <w:jc w:val="left"/>
            </w:pPr>
            <w:r>
              <w:t xml:space="preserve">EBITDAマージン</w:t>
            </w:r>
          </w:p>
        </w:tc>
        <w:tc>
          <w:tcPr/>
          <w:p>
            <w:pPr>
              <w:pStyle w:val="Compact"/>
              <w:jc w:val="center"/>
            </w:pPr>
            <w:r>
              <w:t xml:space="preserve">13.8%</w:t>
            </w:r>
          </w:p>
        </w:tc>
        <w:tc>
          <w:tcPr/>
          <w:p>
            <w:pPr>
              <w:pStyle w:val="Compact"/>
              <w:jc w:val="center"/>
            </w:pPr>
            <w:r>
              <w:t xml:space="preserve">13.2%</w:t>
            </w:r>
          </w:p>
        </w:tc>
        <w:tc>
          <w:tcPr/>
          <w:p>
            <w:pPr>
              <w:pStyle w:val="Compact"/>
              <w:jc w:val="center"/>
            </w:pPr>
            <w:r>
              <w:t xml:space="preserve">12.6%</w:t>
            </w:r>
          </w:p>
        </w:tc>
      </w:tr>
      <w:tr>
        <w:tc>
          <w:tcPr/>
          <w:p>
            <w:pPr>
              <w:pStyle w:val="Compact"/>
              <w:jc w:val="left"/>
            </w:pPr>
            <w:r>
              <w:rPr>
                <w:rFonts w:hint="eastAsia"/>
              </w:rPr>
              <w:t xml:space="preserve">売上債権回転日数</w:t>
            </w:r>
          </w:p>
        </w:tc>
        <w:tc>
          <w:tcPr/>
          <w:p>
            <w:pPr>
              <w:pStyle w:val="Compact"/>
              <w:jc w:val="center"/>
            </w:pPr>
            <w:r>
              <w:t xml:space="preserve">51</w:t>
            </w:r>
          </w:p>
        </w:tc>
        <w:tc>
          <w:tcPr/>
          <w:p>
            <w:pPr>
              <w:pStyle w:val="Compact"/>
              <w:jc w:val="center"/>
            </w:pPr>
            <w:r>
              <w:t xml:space="preserve">57</w:t>
            </w:r>
          </w:p>
        </w:tc>
        <w:tc>
          <w:tcPr/>
          <w:p>
            <w:pPr>
              <w:pStyle w:val="Compact"/>
              <w:jc w:val="center"/>
            </w:pPr>
            <w:r>
              <w:t xml:space="preserve">64</w:t>
            </w:r>
          </w:p>
        </w:tc>
      </w:tr>
      <w:tr>
        <w:tc>
          <w:tcPr/>
          <w:p>
            <w:pPr>
              <w:pStyle w:val="Compact"/>
              <w:jc w:val="left"/>
            </w:pPr>
            <w:r>
              <w:rPr>
                <w:rFonts w:hint="eastAsia"/>
              </w:rPr>
              <w:t xml:space="preserve">在庫回転日数</w:t>
            </w:r>
          </w:p>
        </w:tc>
        <w:tc>
          <w:tcPr/>
          <w:p>
            <w:pPr>
              <w:pStyle w:val="Compact"/>
              <w:jc w:val="center"/>
            </w:pPr>
            <w:r>
              <w:t xml:space="preserve">72</w:t>
            </w:r>
          </w:p>
        </w:tc>
        <w:tc>
          <w:tcPr/>
          <w:p>
            <w:pPr>
              <w:pStyle w:val="Compact"/>
              <w:jc w:val="center"/>
            </w:pPr>
            <w:r>
              <w:t xml:space="preserve">84</w:t>
            </w:r>
          </w:p>
        </w:tc>
        <w:tc>
          <w:tcPr/>
          <w:p>
            <w:pPr>
              <w:pStyle w:val="Compact"/>
              <w:jc w:val="center"/>
            </w:pPr>
            <w:r>
              <w:t xml:space="preserve">96</w:t>
            </w:r>
          </w:p>
        </w:tc>
      </w:tr>
      <w:tr>
        <w:tc>
          <w:tcPr/>
          <w:p>
            <w:pPr>
              <w:pStyle w:val="Compact"/>
              <w:jc w:val="left"/>
            </w:pPr>
            <w:r>
              <w:rPr>
                <w:rFonts w:hint="eastAsia"/>
              </w:rPr>
              <w:t xml:space="preserve">買掛債務回転日数</w:t>
            </w:r>
          </w:p>
        </w:tc>
        <w:tc>
          <w:tcPr/>
          <w:p>
            <w:pPr>
              <w:pStyle w:val="Compact"/>
              <w:jc w:val="center"/>
            </w:pPr>
            <w:r>
              <w:t xml:space="preserve">58</w:t>
            </w:r>
          </w:p>
        </w:tc>
        <w:tc>
          <w:tcPr/>
          <w:p>
            <w:pPr>
              <w:pStyle w:val="Compact"/>
              <w:jc w:val="center"/>
            </w:pPr>
            <w:r>
              <w:t xml:space="preserve">69</w:t>
            </w:r>
          </w:p>
        </w:tc>
        <w:tc>
          <w:tcPr/>
          <w:p>
            <w:pPr>
              <w:pStyle w:val="Compact"/>
              <w:jc w:val="center"/>
            </w:pPr>
            <w:r>
              <w:t xml:space="preserve">75</w:t>
            </w:r>
          </w:p>
        </w:tc>
      </w:tr>
      <w:tr>
        <w:tc>
          <w:tcPr/>
          <w:p>
            <w:pPr>
              <w:pStyle w:val="Compact"/>
              <w:jc w:val="left"/>
            </w:pPr>
            <w:r>
              <w:t xml:space="preserve">フリーキャッシュフロー</w:t>
            </w:r>
          </w:p>
        </w:tc>
        <w:tc>
          <w:tcPr/>
          <w:p>
            <w:pPr>
              <w:pStyle w:val="Compact"/>
              <w:jc w:val="center"/>
            </w:pPr>
            <w:r>
              <w:t xml:space="preserve">$146M</w:t>
            </w:r>
          </w:p>
        </w:tc>
        <w:tc>
          <w:tcPr/>
          <w:p>
            <w:pPr>
              <w:pStyle w:val="Compact"/>
              <w:jc w:val="center"/>
            </w:pPr>
            <w:r>
              <w:t xml:space="preserve">$82M</w:t>
            </w:r>
          </w:p>
        </w:tc>
        <w:tc>
          <w:tcPr/>
          <w:p>
            <w:pPr>
              <w:pStyle w:val="Compact"/>
              <w:jc w:val="center"/>
            </w:pPr>
            <w:r>
              <w:t xml:space="preserve">$31M</w:t>
            </w:r>
          </w:p>
        </w:tc>
      </w:tr>
      <w:tr>
        <w:tc>
          <w:tcPr/>
          <w:p>
            <w:pPr>
              <w:pStyle w:val="Compact"/>
              <w:jc w:val="left"/>
            </w:pPr>
            <w:r>
              <w:rPr>
                <w:rFonts w:hint="eastAsia"/>
              </w:rPr>
              <w:t xml:space="preserve">現金及び現金同等物</w:t>
            </w:r>
          </w:p>
        </w:tc>
        <w:tc>
          <w:tcPr/>
          <w:p>
            <w:pPr>
              <w:pStyle w:val="Compact"/>
              <w:jc w:val="center"/>
            </w:pPr>
            <w:r>
              <w:t xml:space="preserve">$238M</w:t>
            </w:r>
          </w:p>
        </w:tc>
        <w:tc>
          <w:tcPr/>
          <w:p>
            <w:pPr>
              <w:pStyle w:val="Compact"/>
              <w:jc w:val="center"/>
            </w:pPr>
            <w:r>
              <w:t xml:space="preserve">$201M</w:t>
            </w:r>
          </w:p>
        </w:tc>
        <w:tc>
          <w:tcPr/>
          <w:p>
            <w:pPr>
              <w:pStyle w:val="Compact"/>
              <w:jc w:val="center"/>
            </w:pPr>
            <w:r>
              <w:t xml:space="preserve">$167M</w:t>
            </w:r>
          </w:p>
        </w:tc>
      </w:tr>
      <w:tr>
        <w:tc>
          <w:tcPr/>
          <w:p>
            <w:pPr>
              <w:pStyle w:val="Compact"/>
              <w:jc w:val="left"/>
            </w:pPr>
            <w:r>
              <w:rPr>
                <w:rFonts w:hint="eastAsia"/>
              </w:rPr>
              <w:t xml:space="preserve">利用可能なリボルビング信用枠</w:t>
            </w:r>
          </w:p>
        </w:tc>
        <w:tc>
          <w:tcPr/>
          <w:p>
            <w:pPr>
              <w:pStyle w:val="Compact"/>
              <w:jc w:val="center"/>
            </w:pPr>
            <w:r>
              <w:t xml:space="preserve">$420M</w:t>
            </w:r>
          </w:p>
        </w:tc>
        <w:tc>
          <w:tcPr/>
          <w:p>
            <w:pPr>
              <w:pStyle w:val="Compact"/>
              <w:jc w:val="center"/>
            </w:pPr>
            <w:r>
              <w:t xml:space="preserve">$335M</w:t>
            </w:r>
          </w:p>
        </w:tc>
        <w:tc>
          <w:tcPr/>
          <w:p>
            <w:pPr>
              <w:pStyle w:val="Compact"/>
              <w:jc w:val="center"/>
            </w:pPr>
            <w:r>
              <w:t xml:space="preserve">$280M</w:t>
            </w:r>
          </w:p>
        </w:tc>
      </w:tr>
    </w:tbl>
    <w:bookmarkEnd w:id="9"/>
    <w:bookmarkEnd w:id="10"/>
    <w:bookmarkStart w:id="12" w:name="提案されたプログラム"/>
    <w:p>
      <w:pPr>
        <w:pStyle w:val="Heading1"/>
      </w:pPr>
      <w:r>
        <w:rPr>
          <w:rFonts w:hint="eastAsia"/>
        </w:rPr>
        <w:t xml:space="preserve">提案されたプログラム</w:t>
      </w:r>
    </w:p>
    <w:p>
      <w:pPr>
        <w:pStyle w:val="FirstParagraph"/>
      </w:pPr>
      <w:r>
        <w:rPr>
          <w:rFonts w:hint="eastAsia"/>
        </w:rPr>
        <w:t xml:space="preserve">Northbridgeのメインバンクは、買い手主導のサプライヤーファイナンス・プログラムを提案した。Northbridgeが自社の基幹システムで請求書を承認した後、対象となるサプライヤーは銀行に早期支払いを要求できる。銀行は主にNorthbridgeの信用力に基づいた割引価格でサプライヤーに支払いを行い、Northbridgeは請求書の契約上の満期日に銀行へ支払いを行う。参加は任意とする。</w:t>
      </w:r>
    </w:p>
    <w:p>
      <w:pPr>
        <w:pStyle w:val="BodyText"/>
      </w:pPr>
      <w:r>
        <w:rPr>
          <w:rFonts w:hint="eastAsia"/>
        </w:rPr>
        <w:t xml:space="preserve">銀行は、このプログラムが関係の両側を改善できると主張した。サプライヤーは75日や90日待つ代わりに、数日以内に現金を受け取ることができる。Northbridgeは、サプライヤーに自社の借入金利でその遅延を融資させることなく、支払い条件を維持、あるいはさらに延長することさえ可能になる。請求書承認の自動化によって、紛争や事務作業も減らせるかもしれない。銀行は承認済み請求書の初期上限を3.5億ドルとし、Northbridgeへの年間プログラム手数料を240万ドルと見積もった(参加サプライヤーが支払う割引額を除く)。</w:t>
      </w:r>
    </w:p>
    <w:p>
      <w:pPr>
        <w:pStyle w:val="BodyText"/>
      </w:pPr>
      <w:r>
        <w:rPr>
          <w:rFonts w:hint="eastAsia"/>
        </w:rPr>
        <w:t xml:space="preserve">Chenはいくつかの複雑な問題を認識していた。銀行は、顧客確認(KYC)、制裁、不正、信用審査に合格したサプライヤーのみを受け入れる。実績の乏しい小規模サプライヤーは、最も支援を必要としている場合であっても除外される可能性がある。サプライヤーはこのプログラムを、より長い支払い条件を受け入れるよう圧力をかけられていると解釈するかもしれない。Northbridgeは新しいプラットフォームを通じて請求書とサプライヤーのデータを提供する必要があり、サイバーセキュリティと導入上のリスクが生じる。会計基準では、サプライヤーファイナンス債務についての追加開示が求められており、たとえ分類上は買掛金内にとどまっていても、アナリストは拡大するプログラムを負債的なものと見なす可能性がある。</w:t>
      </w:r>
    </w:p>
    <w:p>
      <w:pPr>
        <w:pStyle w:val="BodyText"/>
      </w:pPr>
      <w:r>
        <w:rPr>
          <w:rFonts w:hint="eastAsia"/>
        </w:rPr>
        <w:t xml:space="preserve">誰が支払うべきかという問題もあった。銀行の提案では、60日早い支払いを要求するサプライヤーは、年率換算で約6.4%に相当する割引を支払うことになる。一部のサプライヤーにとって、これは既存の借入コストをはるかに下回るものだった。一方、特に大手多国籍サプライヤーにとっては魅力に欠けるものだった。Northbridgeは、選定したサプライヤーの割引の全部または一部を補助することもできたが、そうすることで運転資本上のメリットが減少し、公平性についての議論を招くことになる。</w:t>
      </w:r>
    </w:p>
    <w:bookmarkStart w:id="11" w:name="図表2.-サプライヤー経済性の例示"/>
    <w:p>
      <w:pPr>
        <w:pStyle w:val="Heading2"/>
      </w:pPr>
      <w:r>
        <w:rPr>
          <w:rFonts w:hint="eastAsia"/>
        </w:rPr>
        <w:t xml:space="preserve">図表2.</w:t>
      </w:r>
      <w:r>
        <w:t xml:space="preserve"> </w:t>
      </w:r>
      <w:r>
        <w:rPr>
          <w:rFonts w:hint="eastAsia"/>
        </w:rPr>
        <w:t xml:space="preserve">サプライヤー経済性の例示</w:t>
      </w:r>
    </w:p>
    <w:tbl>
      <w:tblPr>
        <w:tblStyle w:val="Table"/>
        <w:tblW w:type="pct" w:w="4936"/>
        <w:tblLayout w:type="fixed"/>
        <w:tblLook w:firstRow="1" w:lastRow="0" w:firstColumn="0" w:lastColumn="0" w:noHBand="0" w:noVBand="0" w:val="0020"/>
      </w:tblPr>
      <w:tblGrid>
        <w:gridCol w:w="1664"/>
        <w:gridCol w:w="1362"/>
        <w:gridCol w:w="908"/>
        <w:gridCol w:w="1261"/>
        <w:gridCol w:w="1311"/>
        <w:gridCol w:w="1311"/>
      </w:tblGrid>
      <w:tr>
        <w:trPr>
          <w:tblHeader w:val="on"/>
        </w:trPr>
        <w:tc>
          <w:tcPr/>
          <w:p>
            <w:pPr>
              <w:pStyle w:val="Compact"/>
              <w:jc w:val="left"/>
            </w:pPr>
            <w:r>
              <w:t xml:space="preserve">サプライヤーグループ</w:t>
            </w:r>
          </w:p>
        </w:tc>
        <w:tc>
          <w:tcPr/>
          <w:p>
            <w:pPr>
              <w:pStyle w:val="Compact"/>
              <w:jc w:val="center"/>
            </w:pPr>
            <w:r>
              <w:rPr>
                <w:rFonts w:hint="eastAsia"/>
              </w:rPr>
              <w:t xml:space="preserve">Northbridgeへの年間売上</w:t>
            </w:r>
          </w:p>
        </w:tc>
        <w:tc>
          <w:tcPr/>
          <w:p>
            <w:pPr>
              <w:pStyle w:val="Compact"/>
              <w:jc w:val="left"/>
            </w:pPr>
            <w:r>
              <w:rPr>
                <w:rFonts w:hint="eastAsia"/>
              </w:rPr>
              <w:t xml:space="preserve">現在の支払い条件</w:t>
            </w:r>
          </w:p>
        </w:tc>
        <w:tc>
          <w:tcPr/>
          <w:p>
            <w:pPr>
              <w:pStyle w:val="Compact"/>
              <w:jc w:val="center"/>
            </w:pPr>
            <w:r>
              <w:rPr>
                <w:rFonts w:hint="eastAsia"/>
              </w:rPr>
              <w:t xml:space="preserve">一般的な借入コスト</w:t>
            </w:r>
          </w:p>
        </w:tc>
        <w:tc>
          <w:tcPr/>
          <w:p>
            <w:pPr>
              <w:pStyle w:val="Compact"/>
            </w:pPr>
            <w:r>
              <w:rPr>
                <w:rFonts w:hint="eastAsia"/>
              </w:rPr>
              <w:t xml:space="preserve">提案されている早期支払いコ</w:t>
            </w:r>
          </w:p>
        </w:tc>
        <w:tc>
          <w:tcPr/>
          <w:p>
            <w:pPr>
              <w:pStyle w:val="Compact"/>
            </w:pPr>
            <w:r>
              <w:t xml:space="preserve">スト </w:t>
            </w:r>
            <w:r>
              <w:rPr>
                <w:rFonts w:hint="eastAsia"/>
              </w:rPr>
              <w:t xml:space="preserve">事業運営上の重要性</w:t>
            </w:r>
          </w:p>
        </w:tc>
      </w:tr>
      <w:tr>
        <w:tc>
          <w:tcPr/>
          <w:p>
            <w:pPr>
              <w:pStyle w:val="Compact"/>
              <w:jc w:val="left"/>
            </w:pPr>
            <w:r>
              <w:rPr>
                <w:rFonts w:hint="eastAsia"/>
              </w:rPr>
              <w:t xml:space="preserve">戦略的電子機器</w:t>
            </w:r>
          </w:p>
        </w:tc>
        <w:tc>
          <w:tcPr/>
          <w:p>
            <w:pPr>
              <w:pStyle w:val="Compact"/>
              <w:jc w:val="center"/>
            </w:pPr>
            <w:r>
              <w:t xml:space="preserve">$310M</w:t>
            </w:r>
          </w:p>
        </w:tc>
        <w:tc>
          <w:tcPr/>
          <w:p>
            <w:pPr>
              <w:pStyle w:val="Compact"/>
              <w:jc w:val="left"/>
            </w:pPr>
            <w:r>
              <w:rPr>
                <w:rFonts w:hint="eastAsia"/>
              </w:rPr>
              <w:t xml:space="preserve">75日</w:t>
            </w:r>
          </w:p>
        </w:tc>
        <w:tc>
          <w:tcPr/>
          <w:p>
            <w:pPr>
              <w:pStyle w:val="Compact"/>
              <w:jc w:val="center"/>
            </w:pPr>
            <w:r>
              <w:t xml:space="preserve">7%–9%</w:t>
            </w:r>
          </w:p>
        </w:tc>
        <w:tc>
          <w:tcPr/>
          <w:p>
            <w:pPr>
              <w:pStyle w:val="Compact"/>
            </w:pPr>
            <w:r>
              <w:t xml:space="preserve">6.0%–6.8%</w:t>
            </w:r>
          </w:p>
        </w:tc>
        <w:tc>
          <w:tcPr/>
          <w:p>
            <w:pPr>
              <w:pStyle w:val="Compact"/>
            </w:pPr>
            <w:r>
              <w:rPr>
                <w:rFonts w:hint="eastAsia"/>
              </w:rPr>
              <w:t xml:space="preserve">高</w:t>
            </w:r>
          </w:p>
        </w:tc>
      </w:tr>
      <w:tr>
        <w:tc>
          <w:tcPr/>
          <w:p>
            <w:pPr>
              <w:pStyle w:val="Compact"/>
              <w:jc w:val="left"/>
            </w:pPr>
            <w:r>
              <w:rPr>
                <w:rFonts w:hint="eastAsia"/>
              </w:rPr>
              <w:t xml:space="preserve">地域機械加工業者</w:t>
            </w:r>
          </w:p>
        </w:tc>
        <w:tc>
          <w:tcPr/>
          <w:p>
            <w:pPr>
              <w:pStyle w:val="Compact"/>
              <w:jc w:val="center"/>
            </w:pPr>
            <w:r>
              <w:t xml:space="preserve">$185M</w:t>
            </w:r>
          </w:p>
        </w:tc>
        <w:tc>
          <w:tcPr/>
          <w:p>
            <w:pPr>
              <w:pStyle w:val="Compact"/>
              <w:jc w:val="left"/>
            </w:pPr>
            <w:r>
              <w:rPr>
                <w:rFonts w:hint="eastAsia"/>
              </w:rPr>
              <w:t xml:space="preserve">75日</w:t>
            </w:r>
          </w:p>
        </w:tc>
        <w:tc>
          <w:tcPr/>
          <w:p>
            <w:pPr>
              <w:pStyle w:val="Compact"/>
              <w:jc w:val="center"/>
            </w:pPr>
            <w:r>
              <w:t xml:space="preserve">10%–15%</w:t>
            </w:r>
          </w:p>
        </w:tc>
        <w:tc>
          <w:tcPr/>
          <w:p>
            <w:pPr>
              <w:pStyle w:val="Compact"/>
            </w:pPr>
            <w:r>
              <w:t xml:space="preserve">6.0%–6.8%</w:t>
            </w:r>
          </w:p>
        </w:tc>
        <w:tc>
          <w:tcPr/>
          <w:p>
            <w:pPr>
              <w:pStyle w:val="Compact"/>
            </w:pPr>
            <w:r>
              <w:rPr>
                <w:rFonts w:hint="eastAsia"/>
              </w:rPr>
              <w:t xml:space="preserve">非常に高い</w:t>
            </w:r>
          </w:p>
        </w:tc>
      </w:tr>
      <w:tr>
        <w:tc>
          <w:tcPr/>
          <w:p>
            <w:pPr>
              <w:pStyle w:val="Compact"/>
              <w:jc w:val="left"/>
            </w:pPr>
            <w:r>
              <w:rPr>
                <w:rFonts w:hint="eastAsia"/>
              </w:rPr>
              <w:t xml:space="preserve">梱包・間接材</w:t>
            </w:r>
          </w:p>
        </w:tc>
        <w:tc>
          <w:tcPr/>
          <w:p>
            <w:pPr>
              <w:pStyle w:val="Compact"/>
              <w:jc w:val="center"/>
            </w:pPr>
            <w:r>
              <w:t xml:space="preserve">$92M</w:t>
            </w:r>
          </w:p>
        </w:tc>
        <w:tc>
          <w:tcPr/>
          <w:p>
            <w:pPr>
              <w:pStyle w:val="Compact"/>
              <w:jc w:val="left"/>
            </w:pPr>
            <w:r>
              <w:rPr>
                <w:rFonts w:hint="eastAsia"/>
              </w:rPr>
              <w:t xml:space="preserve">60日</w:t>
            </w:r>
          </w:p>
        </w:tc>
        <w:tc>
          <w:tcPr/>
          <w:p>
            <w:pPr>
              <w:pStyle w:val="Compact"/>
              <w:jc w:val="center"/>
            </w:pPr>
            <w:r>
              <w:t xml:space="preserve">9%–18%</w:t>
            </w:r>
          </w:p>
        </w:tc>
        <w:tc>
          <w:tcPr/>
          <w:p>
            <w:pPr>
              <w:pStyle w:val="Compact"/>
            </w:pPr>
            <w:r>
              <w:t xml:space="preserve">5.8%–6.5%</w:t>
            </w:r>
          </w:p>
        </w:tc>
        <w:tc>
          <w:tcPr/>
          <w:p>
            <w:pPr>
              <w:pStyle w:val="Compact"/>
            </w:pPr>
            <w:r>
              <w:rPr>
                <w:rFonts w:hint="eastAsia"/>
              </w:rPr>
              <w:t xml:space="preserve">中</w:t>
            </w:r>
          </w:p>
        </w:tc>
      </w:tr>
      <w:tr>
        <w:tc>
          <w:tcPr/>
          <w:p>
            <w:pPr>
              <w:pStyle w:val="Compact"/>
              <w:jc w:val="left"/>
            </w:pPr>
            <w:r>
              <w:t xml:space="preserve">グローバルモーター</w:t>
            </w:r>
          </w:p>
        </w:tc>
        <w:tc>
          <w:tcPr/>
          <w:p>
            <w:pPr>
              <w:pStyle w:val="Compact"/>
              <w:jc w:val="center"/>
            </w:pPr>
            <w:r>
              <w:t xml:space="preserve">$420M</w:t>
            </w:r>
          </w:p>
        </w:tc>
        <w:tc>
          <w:tcPr/>
          <w:p>
            <w:pPr>
              <w:pStyle w:val="Compact"/>
              <w:jc w:val="left"/>
            </w:pPr>
            <w:r>
              <w:rPr>
                <w:rFonts w:hint="eastAsia"/>
              </w:rPr>
              <w:t xml:space="preserve">90日</w:t>
            </w:r>
          </w:p>
        </w:tc>
        <w:tc>
          <w:tcPr/>
          <w:p>
            <w:pPr>
              <w:pStyle w:val="Compact"/>
              <w:jc w:val="center"/>
            </w:pPr>
            <w:r>
              <w:t xml:space="preserve">4%–6%</w:t>
            </w:r>
          </w:p>
        </w:tc>
        <w:tc>
          <w:tcPr/>
          <w:p>
            <w:pPr>
              <w:pStyle w:val="Compact"/>
            </w:pPr>
            <w:r>
              <w:t xml:space="preserve">6.2%–7.0%</w:t>
            </w:r>
          </w:p>
        </w:tc>
        <w:tc>
          <w:tcPr/>
          <w:p>
            <w:pPr>
              <w:pStyle w:val="Compact"/>
            </w:pPr>
            <w:r>
              <w:rPr>
                <w:rFonts w:hint="eastAsia"/>
              </w:rPr>
              <w:t xml:space="preserve">高</w:t>
            </w:r>
          </w:p>
        </w:tc>
      </w:tr>
      <w:tr>
        <w:tc>
          <w:tcPr/>
          <w:p>
            <w:pPr>
              <w:pStyle w:val="Compact"/>
              <w:jc w:val="left"/>
            </w:pPr>
            <w:r>
              <w:rPr>
                <w:rFonts w:hint="eastAsia"/>
              </w:rPr>
              <w:t xml:space="preserve">マイノリティ経営の小規模サプライヤ</w:t>
            </w:r>
          </w:p>
        </w:tc>
        <w:tc>
          <w:tcPr/>
          <w:p>
            <w:pPr>
              <w:pStyle w:val="Compact"/>
              <w:jc w:val="center"/>
            </w:pPr>
            <w:r>
              <w:t xml:space="preserve">ー $76M</w:t>
            </w:r>
          </w:p>
        </w:tc>
        <w:tc>
          <w:tcPr/>
          <w:p>
            <w:pPr>
              <w:pStyle w:val="Compact"/>
              <w:jc w:val="left"/>
            </w:pPr>
            <w:r>
              <w:rPr>
                <w:rFonts w:hint="eastAsia"/>
              </w:rPr>
              <w:t xml:space="preserve">60–75日</w:t>
            </w:r>
          </w:p>
        </w:tc>
        <w:tc>
          <w:tcPr/>
          <w:p>
            <w:pPr>
              <w:pStyle w:val="Compact"/>
              <w:jc w:val="center"/>
            </w:pPr>
            <w:r>
              <w:t xml:space="preserve">12%–24%</w:t>
            </w:r>
          </w:p>
        </w:tc>
        <w:tc>
          <w:tcPr/>
          <w:p>
            <w:pPr>
              <w:pStyle w:val="Compact"/>
            </w:pPr>
            <w:r>
              <w:t xml:space="preserve">6.0%–7.2%</w:t>
            </w:r>
          </w:p>
        </w:tc>
        <w:tc>
          <w:tcPr/>
          <w:p>
            <w:pPr>
              <w:pStyle w:val="Compact"/>
            </w:pPr>
            <w:r>
              <w:rPr>
                <w:rFonts w:hint="eastAsia"/>
              </w:rPr>
              <w:t xml:space="preserve">様々</w:t>
            </w:r>
          </w:p>
        </w:tc>
      </w:tr>
    </w:tbl>
    <w:bookmarkEnd w:id="11"/>
    <w:bookmarkEnd w:id="12"/>
    <w:bookmarkStart w:id="14" w:name="現金だけがリスクエクスポージャーではなかった"/>
    <w:p>
      <w:pPr>
        <w:pStyle w:val="Heading1"/>
      </w:pPr>
      <w:r>
        <w:rPr>
          <w:rFonts w:hint="eastAsia"/>
        </w:rPr>
        <w:t xml:space="preserve">現金だけがリスクエクスポージャーではなかった</w:t>
      </w:r>
    </w:p>
    <w:p>
      <w:pPr>
        <w:pStyle w:val="FirstParagraph"/>
      </w:pPr>
      <w:r>
        <w:rPr>
          <w:rFonts w:hint="eastAsia"/>
        </w:rPr>
        <w:t xml:space="preserve">財務部は、サプライヤーファイナンス提案を、より大きな財務リスク問題の一要素として捉えていた。Northbridgeは、ユーロ、円、メキシコペソ、米ドルで部品を購入していた。輸送中または第三者倉庫にある在庫は約4.1億ドルに上った。二社の大規模国際顧客への売上は不払いに対して保険がかけられていたが、国内売掛債権の大半はそうではなかった。会社は海上貨物保険、財産保険、そして1つのアジア調達回廊向けの限定的なポリティカルリスク保険を保有していた。この保険ポートフォリオは時間をかけて異なる事業部門によって組み立てられたものであり、それが現在の会社のエクスポージャーに合致しているかどうかは誰にも分からなかった。</w:t>
      </w:r>
    </w:p>
    <w:p>
      <w:pPr>
        <w:pStyle w:val="BodyText"/>
      </w:pPr>
      <w:r>
        <w:rPr>
          <w:rFonts w:hint="eastAsia"/>
        </w:rPr>
        <w:t xml:space="preserve">最近の関税変更は、輸入購買の現金プロファイルを変えていた。関税は商品が入国する際に支払わなければならず、Northbridgeが顧客から現金を回収する何週間も前になることが多かった。調達部門は一部の購買をメキシコまたは国内サプライヤーへ移すことができたが、認定には6か月から18か月かかる場合があり、新しい工具を必要とすることもあった。将来の関税引き上げに先立って追加の在庫を購入することで、マージンと生産を守ることができるが、その分現金が消費され、陳腐化のリスクが高まる。</w:t>
      </w:r>
    </w:p>
    <w:p>
      <w:pPr>
        <w:pStyle w:val="BodyText"/>
      </w:pPr>
      <w:r>
        <w:rPr>
          <w:rFonts w:hint="eastAsia"/>
        </w:rPr>
        <w:t xml:space="preserve">通貨ヘッジも別の議論を生んだ。財務部は通常、今後6か月分の予測外貨購買の60%、7か月目から12か月目までの30%をヘッジしていた。調達部門は今、突然の為替変動が関税上昇を増幅させる可能性があるとして、より高いカバレッジを求めていた。営業幹部は、積極的なヘッジがまさに需要が弱まるタイミングでコストを固定してしまう可能性があると反論した。会社の欧州売上はある程度の自然なヘッジを生み出していたが、それらの入金のタイミングと金額は不確実だった。</w:t>
      </w:r>
    </w:p>
    <w:bookmarkStart w:id="13" w:name="図表3.-選定された財務エクスポージャー"/>
    <w:p>
      <w:pPr>
        <w:pStyle w:val="Heading2"/>
      </w:pPr>
      <w:r>
        <w:rPr>
          <w:rFonts w:hint="eastAsia"/>
        </w:rPr>
        <w:t xml:space="preserve">図表3.</w:t>
      </w:r>
      <w:r>
        <w:t xml:space="preserve"> </w:t>
      </w:r>
      <w:r>
        <w:rPr>
          <w:rFonts w:hint="eastAsia"/>
        </w:rPr>
        <w:t xml:space="preserve">選定された財務エクスポージャー</w:t>
      </w:r>
    </w:p>
    <w:tbl>
      <w:tblPr>
        <w:tblStyle w:val="Table"/>
        <w:tblW w:type="pct" w:w="4927"/>
        <w:tblLayout w:type="fixed"/>
        <w:tblLook w:firstRow="1" w:lastRow="0" w:firstColumn="0" w:lastColumn="0" w:noHBand="0" w:noVBand="0" w:val="0020"/>
      </w:tblPr>
      <w:tblGrid>
        <w:gridCol w:w="2601"/>
        <w:gridCol w:w="1098"/>
        <w:gridCol w:w="1676"/>
        <w:gridCol w:w="2428"/>
      </w:tblGrid>
      <w:tr>
        <w:trPr>
          <w:tblHeader w:val="on"/>
        </w:trPr>
        <w:tc>
          <w:tcPr/>
          <w:p>
            <w:pPr>
              <w:pStyle w:val="Compact"/>
              <w:jc w:val="left"/>
            </w:pPr>
            <w:r>
              <w:t xml:space="preserve">エクスポージャー</w:t>
            </w:r>
          </w:p>
        </w:tc>
        <w:tc>
          <w:tcPr/>
          <w:p>
            <w:pPr>
              <w:pStyle w:val="Compact"/>
              <w:jc w:val="center"/>
            </w:pPr>
            <w:r>
              <w:rPr>
                <w:rFonts w:hint="eastAsia"/>
              </w:rPr>
              <w:t xml:space="preserve">推定額</w:t>
            </w:r>
          </w:p>
        </w:tc>
        <w:tc>
          <w:tcPr/>
          <w:p>
            <w:pPr>
              <w:pStyle w:val="Compact"/>
              <w:jc w:val="center"/>
            </w:pPr>
            <w:r>
              <w:rPr>
                <w:rFonts w:hint="eastAsia"/>
              </w:rPr>
              <w:t xml:space="preserve">現在の対応策</w:t>
            </w:r>
          </w:p>
        </w:tc>
        <w:tc>
          <w:tcPr/>
          <w:p>
            <w:pPr>
              <w:pStyle w:val="Compact"/>
              <w:jc w:val="center"/>
            </w:pPr>
            <w:r>
              <w:rPr>
                <w:rFonts w:hint="eastAsia"/>
              </w:rPr>
              <w:t xml:space="preserve">経営上の懸念事項</w:t>
            </w:r>
          </w:p>
        </w:tc>
      </w:tr>
      <w:tr>
        <w:tc>
          <w:tcPr/>
          <w:p>
            <w:pPr>
              <w:pStyle w:val="Compact"/>
              <w:jc w:val="left"/>
            </w:pPr>
            <w:r>
              <w:rPr>
                <w:rFonts w:hint="eastAsia"/>
              </w:rPr>
              <w:t xml:space="preserve">承認済みサプライヤー請求書</w:t>
            </w:r>
          </w:p>
        </w:tc>
        <w:tc>
          <w:tcPr/>
          <w:p>
            <w:pPr>
              <w:pStyle w:val="Compact"/>
              <w:jc w:val="center"/>
            </w:pPr>
            <w:r>
              <w:t xml:space="preserve">$485M</w:t>
            </w:r>
          </w:p>
        </w:tc>
        <w:tc>
          <w:tcPr/>
          <w:p>
            <w:pPr>
              <w:pStyle w:val="Compact"/>
              <w:jc w:val="center"/>
            </w:pPr>
            <w:r>
              <w:rPr>
                <w:rFonts w:hint="eastAsia"/>
              </w:rPr>
              <w:t xml:space="preserve">専用プログラムなし</w:t>
            </w:r>
          </w:p>
        </w:tc>
        <w:tc>
          <w:tcPr/>
          <w:p>
            <w:pPr>
              <w:pStyle w:val="Compact"/>
              <w:jc w:val="center"/>
            </w:pPr>
            <w:r>
              <w:rPr>
                <w:rFonts w:hint="eastAsia"/>
              </w:rPr>
              <w:t xml:space="preserve">サプライヤーの流動性と支払いタイミング</w:t>
            </w:r>
          </w:p>
        </w:tc>
      </w:tr>
      <w:tr>
        <w:tc>
          <w:tcPr/>
          <w:p>
            <w:pPr>
              <w:pStyle w:val="Compact"/>
              <w:jc w:val="left"/>
            </w:pPr>
            <w:r>
              <w:rPr>
                <w:rFonts w:hint="eastAsia"/>
              </w:rPr>
              <w:t xml:space="preserve">今後12か月の外貨購買</w:t>
            </w:r>
          </w:p>
        </w:tc>
        <w:tc>
          <w:tcPr/>
          <w:p>
            <w:pPr>
              <w:pStyle w:val="Compact"/>
              <w:jc w:val="center"/>
            </w:pPr>
            <w:r>
              <w:t xml:space="preserve">$690M</w:t>
            </w:r>
          </w:p>
        </w:tc>
        <w:tc>
          <w:tcPr/>
          <w:p>
            <w:pPr>
              <w:pStyle w:val="Compact"/>
              <w:jc w:val="center"/>
            </w:pPr>
            <w:r>
              <w:rPr>
                <w:rFonts w:hint="eastAsia"/>
              </w:rPr>
              <w:t xml:space="preserve">47%ヘッジ済み</w:t>
            </w:r>
          </w:p>
        </w:tc>
        <w:tc>
          <w:tcPr/>
          <w:p>
            <w:pPr>
              <w:pStyle w:val="Compact"/>
              <w:jc w:val="center"/>
            </w:pPr>
            <w:r>
              <w:rPr>
                <w:rFonts w:hint="eastAsia"/>
              </w:rPr>
              <w:t xml:space="preserve">レート、予測誤差、ヘッジコスト</w:t>
            </w:r>
          </w:p>
        </w:tc>
      </w:tr>
      <w:tr>
        <w:tc>
          <w:tcPr/>
          <w:p>
            <w:pPr>
              <w:pStyle w:val="Compact"/>
              <w:jc w:val="left"/>
            </w:pPr>
            <w:r>
              <w:rPr>
                <w:rFonts w:hint="eastAsia"/>
              </w:rPr>
              <w:t xml:space="preserve">輸送中および第三者倉庫の在庫</w:t>
            </w:r>
          </w:p>
        </w:tc>
        <w:tc>
          <w:tcPr/>
          <w:p>
            <w:pPr>
              <w:pStyle w:val="Compact"/>
              <w:jc w:val="center"/>
            </w:pPr>
            <w:r>
              <w:t xml:space="preserve">$410M</w:t>
            </w:r>
          </w:p>
        </w:tc>
        <w:tc>
          <w:tcPr/>
          <w:p>
            <w:pPr>
              <w:pStyle w:val="Compact"/>
              <w:jc w:val="center"/>
            </w:pPr>
            <w:r>
              <w:rPr>
                <w:rFonts w:hint="eastAsia"/>
              </w:rPr>
              <w:t xml:space="preserve">貨物/財産保険</w:t>
            </w:r>
          </w:p>
        </w:tc>
        <w:tc>
          <w:tcPr/>
          <w:p>
            <w:pPr>
              <w:pStyle w:val="Compact"/>
              <w:jc w:val="center"/>
            </w:pPr>
            <w:r>
              <w:rPr>
                <w:rFonts w:hint="eastAsia"/>
              </w:rPr>
              <w:t xml:space="preserve">損失、遅延、免責額、保険の隙間</w:t>
            </w:r>
          </w:p>
        </w:tc>
      </w:tr>
      <w:tr>
        <w:tc>
          <w:tcPr/>
          <w:p>
            <w:pPr>
              <w:pStyle w:val="Compact"/>
              <w:jc w:val="left"/>
            </w:pPr>
            <w:r>
              <w:rPr>
                <w:rFonts w:hint="eastAsia"/>
              </w:rPr>
              <w:t xml:space="preserve">売上債権</w:t>
            </w:r>
          </w:p>
        </w:tc>
        <w:tc>
          <w:tcPr/>
          <w:p>
            <w:pPr>
              <w:pStyle w:val="Compact"/>
              <w:jc w:val="center"/>
            </w:pPr>
            <w:r>
              <w:t xml:space="preserve">$612M</w:t>
            </w:r>
          </w:p>
        </w:tc>
        <w:tc>
          <w:tcPr/>
          <w:p>
            <w:pPr>
              <w:pStyle w:val="Compact"/>
              <w:jc w:val="center"/>
            </w:pPr>
            <w:r>
              <w:rPr>
                <w:rFonts w:hint="eastAsia"/>
              </w:rPr>
              <w:t xml:space="preserve">選択的な信用保険</w:t>
            </w:r>
          </w:p>
        </w:tc>
        <w:tc>
          <w:tcPr/>
          <w:p>
            <w:pPr>
              <w:pStyle w:val="Compact"/>
              <w:jc w:val="center"/>
            </w:pPr>
            <w:r>
              <w:rPr>
                <w:rFonts w:hint="eastAsia"/>
              </w:rPr>
              <w:t xml:space="preserve">顧客の債務不履行および支払い遅延</w:t>
            </w:r>
          </w:p>
        </w:tc>
      </w:tr>
      <w:tr>
        <w:tc>
          <w:tcPr/>
          <w:p>
            <w:pPr>
              <w:pStyle w:val="Compact"/>
              <w:jc w:val="left"/>
            </w:pPr>
            <w:r>
              <w:rPr>
                <w:rFonts w:hint="eastAsia"/>
              </w:rPr>
              <w:t xml:space="preserve">今後12か月の関税現金支出</w:t>
            </w:r>
          </w:p>
        </w:tc>
        <w:tc>
          <w:tcPr/>
          <w:p>
            <w:pPr>
              <w:pStyle w:val="Compact"/>
              <w:jc w:val="center"/>
            </w:pPr>
            <w:r>
              <w:t xml:space="preserve">$96M</w:t>
            </w:r>
          </w:p>
        </w:tc>
        <w:tc>
          <w:tcPr/>
          <w:p>
            <w:pPr>
              <w:pStyle w:val="Compact"/>
              <w:jc w:val="center"/>
            </w:pPr>
            <w:r>
              <w:t xml:space="preserve">なし</w:t>
            </w:r>
          </w:p>
        </w:tc>
        <w:tc>
          <w:tcPr/>
          <w:p>
            <w:pPr>
              <w:pStyle w:val="Compact"/>
              <w:jc w:val="center"/>
            </w:pPr>
            <w:r>
              <w:rPr>
                <w:rFonts w:hint="eastAsia"/>
              </w:rPr>
              <w:t xml:space="preserve">タイミング、政策変更、製品価格</w:t>
            </w:r>
          </w:p>
        </w:tc>
      </w:tr>
    </w:tbl>
    <w:bookmarkEnd w:id="13"/>
    <w:bookmarkEnd w:id="14"/>
    <w:bookmarkStart w:id="16" w:name="部門ごとに異なる成功の定義"/>
    <w:p>
      <w:pPr>
        <w:pStyle w:val="Heading1"/>
      </w:pPr>
      <w:r>
        <w:rPr>
          <w:rFonts w:hint="eastAsia"/>
        </w:rPr>
        <w:t xml:space="preserve">部門ごとに異なる「成功」の定義</w:t>
      </w:r>
    </w:p>
    <w:p>
      <w:pPr>
        <w:pStyle w:val="FirstParagraph"/>
      </w:pPr>
      <w:r>
        <w:rPr>
          <w:rFonts w:hint="eastAsia"/>
        </w:rPr>
        <w:t xml:space="preserve">調達部門は迅速な導入を支持していた。その責任者たちは、1社のサプライヤーの破綻によるコストは、数年分のプログラム手数料を上回りかねないと主張した。例えば、AlloyWorksでの操業停止は、週間8.6百万ドルの売上を生む製品ファミリーの生産を中断させかねない。調達部門は、まず最大手100社のサプライヤーを登録し、その後プラットフォームが安定してから対象を小規模企業に拡大することを提案した。</w:t>
      </w:r>
    </w:p>
    <w:p>
      <w:pPr>
        <w:pStyle w:val="BodyText"/>
      </w:pPr>
      <w:r>
        <w:rPr>
          <w:rFonts w:hint="eastAsia"/>
        </w:rPr>
        <w:t xml:space="preserve">事業運営部門は、規模に基づく段階的展開に反対した。最大手のサプライヤーの中には多くの顧客を抱え、容易に資本を調達できる企業もある一方、小規模で専門性の高い企業こそが最も深刻な事業継続リスクを生み出していた。事業運営部門は、財務健全性、部品の独自性、在庫カバレッジ、認定所要期間、リスクに晒される売上を組み合わせた脆弱性スコアを求めていた。また、重要なサプライヤーが銀行プログラムの資格を得られない場合に備え、工具、原材料、あるいは一時的な前払いのための別途緊急基金をNorthbridgeが維持することも求めていた。</w:t>
      </w:r>
    </w:p>
    <w:p>
      <w:pPr>
        <w:pStyle w:val="BodyText"/>
      </w:pPr>
      <w:r>
        <w:rPr>
          <w:rFonts w:hint="eastAsia"/>
        </w:rPr>
        <w:t xml:space="preserve">財務部はNorthbridge自身の流動性を守ることを望んでいた。会社は2.4億ドルの工場拡張を計画しており、取締役会に対して純負債をEBITDAの2.0倍未満に維持すると約束していた。財務部は、早期支払いの資格があるすべてのサプライヤーについて標準支払い条件を90日に延長する一方、参加できない脆弱なサプライヤーには45日または60日の条件を維持することを提案した。これにより現金保持は最大化されるが、調達部門は、サプライヤーがこれを、銀行を利用してさらに長い支払い条件を課すものと見なす可能性があると警告した。</w:t>
      </w:r>
    </w:p>
    <w:p>
      <w:pPr>
        <w:pStyle w:val="BodyText"/>
      </w:pPr>
      <w:r>
        <w:rPr>
          <w:rFonts w:hint="eastAsia"/>
        </w:rPr>
        <w:t xml:space="preserve">サステナビリティおよびサプライヤー多様性チームは別の懸念を提起した。純粋に財務的な審査基準は、若い企業、地方の企業、マイノリティ経営企業、あるいは最近設立された企業を体系的に除外してしまう可能性がある。そうしたサプライヤーは、事業運営上の実績が良好であっても、監査済み財務諸表や長期の信用履歴を欠いていることが多い。したがって、サプライヤーネットワークを安定させるために設計されたプログラムが、既に資本アクセスに最も恵まれているサプライヤーに最も安価な融資を振り向けてしまう可能性がある。</w:t>
      </w:r>
    </w:p>
    <w:bookmarkStart w:id="15" w:name="図表4.-議論中の3つのプログラム設計案"/>
    <w:p>
      <w:pPr>
        <w:pStyle w:val="Heading2"/>
      </w:pPr>
      <w:r>
        <w:rPr>
          <w:rFonts w:hint="eastAsia"/>
        </w:rPr>
        <w:t xml:space="preserve">図表4.</w:t>
      </w:r>
      <w:r>
        <w:t xml:space="preserve"> </w:t>
      </w:r>
      <w:r>
        <w:rPr>
          <w:rFonts w:hint="eastAsia"/>
        </w:rPr>
        <w:t xml:space="preserve">議論中の3つのプログラム設計案</w:t>
      </w:r>
    </w:p>
    <w:tbl>
      <w:tblPr>
        <w:tblStyle w:val="Table"/>
        <w:tblW w:type="pct" w:w="4952"/>
        <w:tblLayout w:type="fixed"/>
        <w:tblLook w:firstRow="1" w:lastRow="0" w:firstColumn="0" w:lastColumn="0" w:noHBand="0" w:noVBand="0" w:val="0020"/>
      </w:tblPr>
      <w:tblGrid>
        <w:gridCol w:w="829"/>
        <w:gridCol w:w="1244"/>
        <w:gridCol w:w="1621"/>
        <w:gridCol w:w="1320"/>
        <w:gridCol w:w="1357"/>
        <w:gridCol w:w="1470"/>
      </w:tblGrid>
      <w:tr>
        <w:trPr>
          <w:tblHeader w:val="on"/>
        </w:trPr>
        <w:tc>
          <w:tcPr/>
          <w:p>
            <w:pPr>
              <w:pStyle w:val="Compact"/>
              <w:jc w:val="left"/>
            </w:pPr>
            <w:r>
              <w:rPr>
                <w:rFonts w:hint="eastAsia"/>
              </w:rPr>
              <w:t xml:space="preserve">設計案</w:t>
            </w:r>
          </w:p>
        </w:tc>
        <w:tc>
          <w:tcPr/>
          <w:p>
            <w:pPr>
              <w:pStyle w:val="Compact"/>
              <w:jc w:val="left"/>
            </w:pPr>
            <w:r>
              <w:rPr>
                <w:rFonts w:hint="eastAsia"/>
              </w:rPr>
              <w:t xml:space="preserve">支払い条件</w:t>
            </w:r>
          </w:p>
        </w:tc>
        <w:tc>
          <w:tcPr/>
          <w:p>
            <w:pPr>
              <w:pStyle w:val="Compact"/>
              <w:jc w:val="center"/>
            </w:pPr>
            <w:r>
              <w:rPr>
                <w:rFonts w:hint="eastAsia"/>
              </w:rPr>
              <w:t xml:space="preserve">早期支払いの資金源</w:t>
            </w:r>
          </w:p>
        </w:tc>
        <w:tc>
          <w:tcPr/>
          <w:p>
            <w:pPr>
              <w:pStyle w:val="Compact"/>
              <w:jc w:val="center"/>
            </w:pPr>
            <w:r>
              <w:rPr>
                <w:rFonts w:hint="eastAsia"/>
              </w:rPr>
              <w:t xml:space="preserve">初期対象範囲</w:t>
            </w:r>
          </w:p>
        </w:tc>
        <w:tc>
          <w:tcPr/>
          <w:p>
            <w:pPr>
              <w:pStyle w:val="Compact"/>
              <w:jc w:val="center"/>
            </w:pPr>
            <w:r>
              <w:rPr>
                <w:rFonts w:hint="eastAsia"/>
              </w:rPr>
              <w:t xml:space="preserve">初年度の推定キャッシュ効果</w:t>
            </w:r>
          </w:p>
        </w:tc>
        <w:tc>
          <w:tcPr/>
          <w:p>
            <w:pPr>
              <w:pStyle w:val="Compact"/>
              <w:jc w:val="left"/>
            </w:pPr>
            <w:r>
              <w:rPr>
                <w:rFonts w:hint="eastAsia"/>
              </w:rPr>
              <w:t xml:space="preserve">主な懸念事項</w:t>
            </w:r>
          </w:p>
        </w:tc>
      </w:tr>
      <w:tr>
        <w:tc>
          <w:tcPr/>
          <w:p>
            <w:pPr>
              <w:pStyle w:val="Compact"/>
              <w:jc w:val="left"/>
            </w:pPr>
            <w:r>
              <w:rPr>
                <w:rFonts w:hint="eastAsia"/>
              </w:rPr>
              <w:t xml:space="preserve">広範な延長</w:t>
            </w:r>
          </w:p>
        </w:tc>
        <w:tc>
          <w:tcPr/>
          <w:p>
            <w:pPr>
              <w:pStyle w:val="Compact"/>
              <w:jc w:val="left"/>
            </w:pPr>
            <w:r>
              <w:rPr>
                <w:rFonts w:hint="eastAsia"/>
              </w:rPr>
              <w:t xml:space="preserve">資格あるサプライヤーに90日</w:t>
            </w:r>
          </w:p>
        </w:tc>
        <w:tc>
          <w:tcPr/>
          <w:p>
            <w:pPr>
              <w:pStyle w:val="Compact"/>
              <w:jc w:val="center"/>
            </w:pPr>
            <w:r>
              <w:rPr>
                <w:rFonts w:hint="eastAsia"/>
              </w:rPr>
              <w:t xml:space="preserve">銀行資金提供、サプライヤーが割引を負担</w:t>
            </w:r>
          </w:p>
        </w:tc>
        <w:tc>
          <w:tcPr/>
          <w:p>
            <w:pPr>
              <w:pStyle w:val="Compact"/>
              <w:jc w:val="center"/>
            </w:pPr>
            <w:r>
              <w:rPr>
                <w:rFonts w:hint="eastAsia"/>
              </w:rPr>
              <w:t xml:space="preserve">上位250社のサプライヤー</w:t>
            </w:r>
          </w:p>
        </w:tc>
        <w:tc>
          <w:tcPr/>
          <w:p>
            <w:pPr>
              <w:pStyle w:val="Compact"/>
              <w:jc w:val="center"/>
            </w:pPr>
            <w:r>
              <w:t xml:space="preserve">$118M</w:t>
            </w:r>
          </w:p>
        </w:tc>
        <w:tc>
          <w:tcPr/>
          <w:p>
            <w:pPr>
              <w:pStyle w:val="Compact"/>
              <w:jc w:val="left"/>
            </w:pPr>
            <w:r>
              <w:rPr>
                <w:rFonts w:hint="eastAsia"/>
              </w:rPr>
              <w:t xml:space="preserve">サプライヤーの反発と見え方</w:t>
            </w:r>
          </w:p>
        </w:tc>
      </w:tr>
      <w:tr>
        <w:tc>
          <w:tcPr/>
          <w:p>
            <w:pPr>
              <w:pStyle w:val="Compact"/>
              <w:jc w:val="left"/>
            </w:pPr>
            <w:r>
              <w:rPr>
                <w:rFonts w:hint="eastAsia"/>
              </w:rPr>
              <w:t xml:space="preserve">的を絞った回復力強化</w:t>
            </w:r>
          </w:p>
        </w:tc>
        <w:tc>
          <w:tcPr/>
          <w:p>
            <w:pPr>
              <w:pStyle w:val="Compact"/>
              <w:jc w:val="left"/>
            </w:pPr>
            <w:r>
              <w:rPr>
                <w:rFonts w:hint="eastAsia"/>
              </w:rPr>
              <w:t xml:space="preserve">現行条件を維持</w:t>
            </w:r>
          </w:p>
        </w:tc>
        <w:tc>
          <w:tcPr/>
          <w:p>
            <w:pPr>
              <w:pStyle w:val="Compact"/>
              <w:jc w:val="center"/>
            </w:pPr>
            <w:r>
              <w:rPr>
                <w:rFonts w:hint="eastAsia"/>
              </w:rPr>
              <w:t xml:space="preserve">銀行に加え限定的な会社補助金</w:t>
            </w:r>
          </w:p>
        </w:tc>
        <w:tc>
          <w:tcPr/>
          <w:p>
            <w:pPr>
              <w:pStyle w:val="Compact"/>
              <w:jc w:val="center"/>
            </w:pPr>
            <w:r>
              <w:rPr>
                <w:rFonts w:hint="eastAsia"/>
              </w:rPr>
              <w:t xml:space="preserve">47社の脆弱かつ重要なサプライヤ</w:t>
            </w:r>
          </w:p>
        </w:tc>
        <w:tc>
          <w:tcPr/>
          <w:p>
            <w:pPr>
              <w:pStyle w:val="Compact"/>
              <w:jc w:val="center"/>
            </w:pPr>
            <w:r>
              <w:t xml:space="preserve">ー $34M</w:t>
            </w:r>
          </w:p>
        </w:tc>
        <w:tc>
          <w:tcPr/>
          <w:p>
            <w:pPr>
              <w:pStyle w:val="Compact"/>
              <w:jc w:val="left"/>
            </w:pPr>
            <w:r>
              <w:rPr>
                <w:rFonts w:hint="eastAsia"/>
              </w:rPr>
              <w:t xml:space="preserve">キャッシュ効果が小さい、選定が複雑</w:t>
            </w:r>
          </w:p>
        </w:tc>
      </w:tr>
      <w:tr>
        <w:tc>
          <w:tcPr/>
          <w:p>
            <w:pPr>
              <w:pStyle w:val="Compact"/>
              <w:jc w:val="left"/>
            </w:pPr>
            <w:r>
              <w:rPr>
                <w:rFonts w:hint="eastAsia"/>
              </w:rPr>
              <w:t xml:space="preserve">段階的ポートフォリオ</w:t>
            </w:r>
          </w:p>
        </w:tc>
        <w:tc>
          <w:tcPr/>
          <w:p>
            <w:pPr>
              <w:pStyle w:val="Compact"/>
              <w:jc w:val="left"/>
            </w:pPr>
            <w:r>
              <w:rPr>
                <w:rFonts w:hint="eastAsia"/>
              </w:rPr>
              <w:t xml:space="preserve">セグメント別に60–90日</w:t>
            </w:r>
          </w:p>
        </w:tc>
        <w:tc>
          <w:tcPr/>
          <w:p>
            <w:pPr>
              <w:pStyle w:val="Compact"/>
              <w:jc w:val="center"/>
            </w:pPr>
            <w:r>
              <w:rPr>
                <w:rFonts w:hint="eastAsia"/>
              </w:rPr>
              <w:t xml:space="preserve">銀行、会社の現金、または緊急支援</w:t>
            </w:r>
          </w:p>
        </w:tc>
        <w:tc>
          <w:tcPr/>
          <w:p>
            <w:pPr>
              <w:pStyle w:val="Compact"/>
              <w:jc w:val="center"/>
            </w:pPr>
            <w:r>
              <w:rPr>
                <w:rFonts w:hint="eastAsia"/>
              </w:rPr>
              <w:t xml:space="preserve">約160社のサプライヤー</w:t>
            </w:r>
          </w:p>
        </w:tc>
        <w:tc>
          <w:tcPr/>
          <w:p>
            <w:pPr>
              <w:pStyle w:val="Compact"/>
              <w:jc w:val="center"/>
            </w:pPr>
            <w:r>
              <w:t xml:space="preserve">$72M</w:t>
            </w:r>
          </w:p>
        </w:tc>
        <w:tc>
          <w:tcPr/>
          <w:p>
            <w:pPr>
              <w:pStyle w:val="Compact"/>
              <w:jc w:val="left"/>
            </w:pPr>
            <w:r>
              <w:rPr>
                <w:rFonts w:hint="eastAsia"/>
              </w:rPr>
              <w:t xml:space="preserve">ガバナンスと事務負担</w:t>
            </w:r>
          </w:p>
        </w:tc>
      </w:tr>
    </w:tbl>
    <w:bookmarkEnd w:id="15"/>
    <w:bookmarkEnd w:id="16"/>
    <w:bookmarkStart w:id="18" w:name="情報の問題"/>
    <w:p>
      <w:pPr>
        <w:pStyle w:val="Heading1"/>
      </w:pPr>
      <w:r>
        <w:rPr>
          <w:rFonts w:hint="eastAsia"/>
        </w:rPr>
        <w:t xml:space="preserve">情報の問題</w:t>
      </w:r>
    </w:p>
    <w:p>
      <w:pPr>
        <w:pStyle w:val="FirstParagraph"/>
      </w:pPr>
      <w:r>
        <w:rPr>
          <w:rFonts w:hint="eastAsia"/>
        </w:rPr>
        <w:t xml:space="preserve">このプログラムは承認済み請求書に依存していたが、Northbridgeの請求書処理は一貫性を欠いていた。請求書承認の中央値は8日であったが、17%は20日以上を要していた。よくある原因は、数量の不一致、受領記録の欠落、価格の不一致、誤った法人宛への請求書送付であった。サプライヤーは承認されるまで早期支払いを要求できないため、処理が遅ければメリットの大半が失われる可能性があった。</w:t>
      </w:r>
    </w:p>
    <w:p>
      <w:pPr>
        <w:pStyle w:val="BodyText"/>
      </w:pPr>
      <w:r>
        <w:rPr>
          <w:rFonts w:hint="eastAsia"/>
        </w:rPr>
        <w:t xml:space="preserve">会社はまた、サプライヤーの財務健全性を測る信頼できる指標も欠いていた。調達部門は、年次アンケート、商業信用スコア、品質実績、納期実績、そしてバイヤーからの非公式な観察結果を収集していた。これらの情報源は時に矛盾していた。あるサプライヤーは信用スコアが弱かったが、12年間一度も出荷を欠かしたことがなかった。別のサプライヤーは財務諸表が良好であったが、最近工場長を失い、労働力の離職に苦しんでいた。Chenは、Northbridgeがサプライヤーに直接資金ニーズについて尋ねるべきかどうか考えたが、調達部門は、サプライヤーが窮状を隠すか、あるいは有利な扱いを得るために誇張するのではないかと懸念していた。</w:t>
      </w:r>
    </w:p>
    <w:p>
      <w:pPr>
        <w:pStyle w:val="BodyText"/>
      </w:pPr>
      <w:r>
        <w:rPr>
          <w:rFonts w:hint="eastAsia"/>
        </w:rPr>
        <w:t xml:space="preserve">銀行は、口座データ、請求書履歴、出荷記録、外部リスクスコアを統合することを提案した。このプラットフォームは、異常な重複請求、集中度、あるいは支払い行動の急激な変化にフラグを立てることができる。法務顧問は、誤検知がサプライヤー関係を損なう可能性がある一方、見逃された警告は誤った安心感を生む可能性があると警告した。サイバーセキュリティ担当者は、完全統合を用いたプログラムの場合は9か月、より限定的なファイルベースの導入であれば4か月の導入期間になると見積もった。</w:t>
      </w:r>
    </w:p>
    <w:bookmarkStart w:id="17" w:name="図表5.-請求書およびサプライヤーリスク指標"/>
    <w:p>
      <w:pPr>
        <w:pStyle w:val="Heading2"/>
      </w:pPr>
      <w:r>
        <w:rPr>
          <w:rFonts w:hint="eastAsia"/>
        </w:rPr>
        <w:t xml:space="preserve">図表5.</w:t>
      </w:r>
      <w:r>
        <w:t xml:space="preserve"> </w:t>
      </w:r>
      <w:r>
        <w:rPr>
          <w:rFonts w:hint="eastAsia"/>
        </w:rPr>
        <w:t xml:space="preserve">請求書およびサプライヤーリスク指標</w:t>
      </w:r>
    </w:p>
    <w:tbl>
      <w:tblPr>
        <w:tblStyle w:val="Table"/>
        <w:tblW w:type="pct" w:w="4898"/>
        <w:tblLayout w:type="fixed"/>
        <w:tblLook w:firstRow="1" w:lastRow="0" w:firstColumn="0" w:lastColumn="0" w:noHBand="0" w:noVBand="0" w:val="0020"/>
      </w:tblPr>
      <w:tblGrid>
        <w:gridCol w:w="4202"/>
        <w:gridCol w:w="1373"/>
        <w:gridCol w:w="2182"/>
      </w:tblGrid>
      <w:tr>
        <w:trPr>
          <w:tblHeader w:val="on"/>
        </w:trPr>
        <w:tc>
          <w:tcPr/>
          <w:p>
            <w:pPr>
              <w:pStyle w:val="Compact"/>
              <w:jc w:val="left"/>
            </w:pPr>
            <w:r>
              <w:rPr>
                <w:rFonts w:hint="eastAsia"/>
              </w:rPr>
              <w:t xml:space="preserve">指標</w:t>
            </w:r>
          </w:p>
        </w:tc>
        <w:tc>
          <w:tcPr/>
          <w:p>
            <w:pPr>
              <w:pStyle w:val="Compact"/>
              <w:jc w:val="center"/>
            </w:pPr>
            <w:r>
              <w:rPr>
                <w:rFonts w:hint="eastAsia"/>
              </w:rPr>
              <w:t xml:space="preserve">現在の結果</w:t>
            </w:r>
          </w:p>
        </w:tc>
        <w:tc>
          <w:tcPr/>
          <w:p>
            <w:pPr>
              <w:pStyle w:val="Compact"/>
              <w:jc w:val="center"/>
            </w:pPr>
            <w:r>
              <w:rPr>
                <w:rFonts w:hint="eastAsia"/>
              </w:rPr>
              <w:t xml:space="preserve">提案される初年度目標</w:t>
            </w:r>
          </w:p>
        </w:tc>
      </w:tr>
      <w:tr>
        <w:tc>
          <w:tcPr/>
          <w:p>
            <w:pPr>
              <w:pStyle w:val="Compact"/>
              <w:jc w:val="left"/>
            </w:pPr>
            <w:r>
              <w:rPr>
                <w:rFonts w:hint="eastAsia"/>
              </w:rPr>
              <w:t xml:space="preserve">請求書承認時間の中央値</w:t>
            </w:r>
          </w:p>
        </w:tc>
        <w:tc>
          <w:tcPr/>
          <w:p>
            <w:pPr>
              <w:pStyle w:val="Compact"/>
              <w:jc w:val="center"/>
            </w:pPr>
            <w:r>
              <w:rPr>
                <w:rFonts w:hint="eastAsia"/>
              </w:rPr>
              <w:t xml:space="preserve">8日</w:t>
            </w:r>
          </w:p>
        </w:tc>
        <w:tc>
          <w:tcPr/>
          <w:p>
            <w:pPr>
              <w:pStyle w:val="Compact"/>
              <w:jc w:val="center"/>
            </w:pPr>
            <w:r>
              <w:rPr>
                <w:rFonts w:hint="eastAsia"/>
              </w:rPr>
              <w:t xml:space="preserve">3日</w:t>
            </w:r>
          </w:p>
        </w:tc>
      </w:tr>
      <w:tr>
        <w:tc>
          <w:tcPr/>
          <w:p>
            <w:pPr>
              <w:pStyle w:val="Compact"/>
              <w:jc w:val="left"/>
            </w:pPr>
            <w:r>
              <w:rPr>
                <w:rFonts w:hint="eastAsia"/>
              </w:rPr>
              <w:t xml:space="preserve">承認まで20日以上を要した請求書</w:t>
            </w:r>
          </w:p>
        </w:tc>
        <w:tc>
          <w:tcPr/>
          <w:p>
            <w:pPr>
              <w:pStyle w:val="Compact"/>
              <w:jc w:val="center"/>
            </w:pPr>
            <w:r>
              <w:t xml:space="preserve">17%</w:t>
            </w:r>
          </w:p>
        </w:tc>
        <w:tc>
          <w:tcPr/>
          <w:p>
            <w:pPr>
              <w:pStyle w:val="Compact"/>
              <w:jc w:val="center"/>
            </w:pPr>
            <w:r>
              <w:rPr>
                <w:rFonts w:hint="eastAsia"/>
              </w:rPr>
              <w:t xml:space="preserve">5%未満</w:t>
            </w:r>
          </w:p>
        </w:tc>
      </w:tr>
      <w:tr>
        <w:tc>
          <w:tcPr/>
          <w:p>
            <w:pPr>
              <w:pStyle w:val="Compact"/>
              <w:jc w:val="left"/>
            </w:pPr>
            <w:r>
              <w:rPr>
                <w:rFonts w:hint="eastAsia"/>
              </w:rPr>
              <w:t xml:space="preserve">承認後に紛争となった請求書</w:t>
            </w:r>
          </w:p>
        </w:tc>
        <w:tc>
          <w:tcPr/>
          <w:p>
            <w:pPr>
              <w:pStyle w:val="Compact"/>
              <w:jc w:val="center"/>
            </w:pPr>
            <w:r>
              <w:t xml:space="preserve">2.8%</w:t>
            </w:r>
          </w:p>
        </w:tc>
        <w:tc>
          <w:tcPr/>
          <w:p>
            <w:pPr>
              <w:pStyle w:val="Compact"/>
              <w:jc w:val="center"/>
            </w:pPr>
            <w:r>
              <w:rPr>
                <w:rFonts w:hint="eastAsia"/>
              </w:rPr>
              <w:t xml:space="preserve">1%未満</w:t>
            </w:r>
          </w:p>
        </w:tc>
      </w:tr>
      <w:tr>
        <w:tc>
          <w:tcPr/>
          <w:p>
            <w:pPr>
              <w:pStyle w:val="Compact"/>
              <w:jc w:val="left"/>
            </w:pPr>
            <w:r>
              <w:rPr>
                <w:rFonts w:hint="eastAsia"/>
              </w:rPr>
              <w:t xml:space="preserve">現在の財務データを持つ重要サプライヤー</w:t>
            </w:r>
          </w:p>
        </w:tc>
        <w:tc>
          <w:tcPr/>
          <w:p>
            <w:pPr>
              <w:pStyle w:val="Compact"/>
              <w:jc w:val="center"/>
            </w:pPr>
            <w:r>
              <w:t xml:space="preserve">61%</w:t>
            </w:r>
          </w:p>
        </w:tc>
        <w:tc>
          <w:tcPr/>
          <w:p>
            <w:pPr>
              <w:pStyle w:val="Compact"/>
              <w:jc w:val="center"/>
            </w:pPr>
            <w:r>
              <w:t xml:space="preserve">90%</w:t>
            </w:r>
          </w:p>
        </w:tc>
      </w:tr>
      <w:tr>
        <w:tc>
          <w:tcPr/>
          <w:p>
            <w:pPr>
              <w:pStyle w:val="Compact"/>
              <w:jc w:val="left"/>
            </w:pPr>
            <w:r>
              <w:rPr>
                <w:rFonts w:hint="eastAsia"/>
              </w:rPr>
              <w:t xml:space="preserve">デュアルソース認定を得ている重要サプライヤー</w:t>
            </w:r>
          </w:p>
        </w:tc>
        <w:tc>
          <w:tcPr/>
          <w:p>
            <w:pPr>
              <w:pStyle w:val="Compact"/>
              <w:jc w:val="center"/>
            </w:pPr>
            <w:r>
              <w:t xml:space="preserve">38%</w:t>
            </w:r>
          </w:p>
        </w:tc>
        <w:tc>
          <w:tcPr/>
          <w:p>
            <w:pPr>
              <w:pStyle w:val="Compact"/>
              <w:jc w:val="center"/>
            </w:pPr>
            <w:r>
              <w:t xml:space="preserve">50%</w:t>
            </w:r>
          </w:p>
        </w:tc>
      </w:tr>
      <w:tr>
        <w:tc>
          <w:tcPr/>
          <w:p>
            <w:pPr>
              <w:pStyle w:val="Compact"/>
              <w:jc w:val="left"/>
            </w:pPr>
            <w:r>
              <w:rPr>
                <w:rFonts w:hint="eastAsia"/>
              </w:rPr>
              <w:t xml:space="preserve">直近のレビューで資金繰りの逼迫を報告したサプライヤー</w:t>
            </w:r>
          </w:p>
        </w:tc>
        <w:tc>
          <w:tcPr/>
          <w:p>
            <w:pPr>
              <w:pStyle w:val="Compact"/>
              <w:jc w:val="center"/>
            </w:pPr>
            <w:r>
              <w:t xml:space="preserve">29%</w:t>
            </w:r>
          </w:p>
        </w:tc>
        <w:tc>
          <w:tcPr/>
          <w:p>
            <w:pPr>
              <w:pStyle w:val="Compact"/>
              <w:jc w:val="center"/>
            </w:pPr>
            <w:r>
              <w:rPr>
                <w:rFonts w:hint="eastAsia"/>
              </w:rPr>
              <w:t xml:space="preserve">未設定</w:t>
            </w:r>
          </w:p>
        </w:tc>
      </w:tr>
    </w:tbl>
    <w:bookmarkEnd w:id="17"/>
    <w:bookmarkEnd w:id="18"/>
    <w:bookmarkStart w:id="19" w:name="取締役会前の決断"/>
    <w:p>
      <w:pPr>
        <w:pStyle w:val="Heading1"/>
      </w:pPr>
      <w:r>
        <w:rPr>
          <w:rFonts w:hint="eastAsia"/>
        </w:rPr>
        <w:t xml:space="preserve">取締役会前の決断</w:t>
      </w:r>
    </w:p>
    <w:p>
      <w:pPr>
        <w:pStyle w:val="FirstParagraph"/>
      </w:pPr>
      <w:r>
        <w:rPr>
          <w:rFonts w:hint="eastAsia"/>
        </w:rPr>
        <w:t xml:space="preserve">取締役会の財務委員会は9日後に開催される予定だった。Chenは、Northbridgeがサプライヤーファイナンス・プログラムを開始すべきかどうか、それをどの程度の範囲に適用すべきか、支払い条件を変更すべきかどうか、そしてどのような補完的措置が必要かについて提言をまとめる必要があった。銀行は、実装能力を確保するために月末までに署名済みのタームシートを求めていた。AlloyWorksは2週間以内の回答を求めていた。</w:t>
      </w:r>
    </w:p>
    <w:p>
      <w:pPr>
        <w:pStyle w:val="BodyText"/>
      </w:pPr>
      <w:r>
        <w:rPr>
          <w:rFonts w:hint="eastAsia"/>
        </w:rPr>
        <w:t xml:space="preserve">Chenのチームは、顧客需要が12%減少し、大口顧客1社が45日遅れで支払いを行い、関税コストがさらに3,800万ドル上昇するという下振れシナリオを作成した。このシナリオの下では、Northbridgeが工場拡張を延期するか、リボルビング融資枠を利用するか、あるいはサプライヤーへの支払い条件を延長しない限り、利用可能な流動性は社内の最低基準を下回る可能性がある。別のシナリオでは、需要は堅調だが2社の重要サプライヤーが破綻し、生産遅延と割増運賃が発生することを想定した。その場合、完成品を出荷できなければ、Northbridgeの現金を保全しても大した慰めにはならない。</w:t>
      </w:r>
    </w:p>
    <w:p>
      <w:pPr>
        <w:pStyle w:val="BodyText"/>
      </w:pPr>
      <w:r>
        <w:rPr>
          <w:rFonts w:hint="eastAsia"/>
        </w:rPr>
        <w:t xml:space="preserve">どの選択肢も、財務パフォーマンスと事業運営上の結果を切り離すことはできなかった。サプライヤーへの支払いを早めればネットワークは強化されるかもしれないが、Northbridge自身の現金ポジションは弱まる。支払い条件を延長すれば報告上の運転資本は改善するが、信用アクセスに乏しい企業へリスクを転嫁することになる。保険とヘッジは選択したエクスポージャーを軽減できるが、保険料、免責額、ベーシスリスク、契約上の複雑さを新たにもたらす。より多くの現金を保有すれば回復力は向上するが、それは配当、負債削減、自動化、工場投資と競合する。</w:t>
      </w:r>
    </w:p>
    <w:p>
      <w:pPr>
        <w:pStyle w:val="BodyText"/>
      </w:pPr>
      <w:r>
        <w:rPr>
          <w:rFonts w:hint="eastAsia"/>
        </w:rPr>
        <w:t xml:space="preserve">その日の午後6時30分、Chenは取締役会用のスライドの草案を見直した。あるページには、90日プログラムの予測されるキャッシュ効果が示されていた。別のページには、脆弱なサプライヤーに依存している売上が示されていた。3枚目には、保険の隙間と通貨エクスポージャーが列挙されていた。それぞれのページは単独では説得力があったが、まとめても明確な答えは導き出されなかった。彼女は提言スライドを削除し、また最初から始めた。</w:t>
      </w:r>
    </w:p>
    <w:bookmarkEnd w:id="19"/>
    <w:bookmarkStart w:id="20" w:name="議論のための質問"/>
    <w:p>
      <w:pPr>
        <w:pStyle w:val="Heading1"/>
      </w:pPr>
      <w:r>
        <w:rPr>
          <w:rFonts w:hint="eastAsia"/>
        </w:rPr>
        <w:t xml:space="preserve">議論のための質問</w:t>
      </w:r>
    </w:p>
    <w:p>
      <w:pPr>
        <w:numPr>
          <w:ilvl w:val="0"/>
          <w:numId w:val="1001"/>
        </w:numPr>
      </w:pPr>
      <w:r>
        <w:rPr>
          <w:rFonts w:hint="eastAsia"/>
        </w:rPr>
        <w:t xml:space="preserve">Northbridgeが直面している中心的なビジネス上の問題は何か、そしてなぜそれは、サプライヤーファイナンス・プラットフォームを導入するかどうかを選ぶことよりも広い範囲にわたる問題なのか。</w:t>
      </w:r>
    </w:p>
    <w:p>
      <w:pPr>
        <w:numPr>
          <w:ilvl w:val="0"/>
          <w:numId w:val="1001"/>
        </w:numPr>
      </w:pPr>
      <w:r>
        <w:rPr>
          <w:rFonts w:hint="eastAsia"/>
        </w:rPr>
        <w:t xml:space="preserve">どのサプライヤーが優先されるべきか、また、資格や会社の支援を決定するにはどのような情報が必要か。</w:t>
      </w:r>
    </w:p>
    <w:p>
      <w:pPr>
        <w:numPr>
          <w:ilvl w:val="0"/>
          <w:numId w:val="1001"/>
        </w:numPr>
      </w:pPr>
      <w:r>
        <w:rPr>
          <w:rFonts w:hint="eastAsia"/>
        </w:rPr>
        <w:t xml:space="preserve">Northbridgeは、現金を保持することの価値と、財務的に脆弱なサプライヤーを弱体化させるリスクをどのように比較検討すべきか。</w:t>
      </w:r>
    </w:p>
    <w:p>
      <w:pPr>
        <w:numPr>
          <w:ilvl w:val="0"/>
          <w:numId w:val="1001"/>
        </w:numPr>
      </w:pPr>
      <w:r>
        <w:rPr>
          <w:rFonts w:hint="eastAsia"/>
        </w:rPr>
        <w:t xml:space="preserve">銀行を通じて早期支払いを受けられるサプライヤーについて、支払い条件を延長すべきか。それはなぜか。</w:t>
      </w:r>
    </w:p>
    <w:p>
      <w:pPr>
        <w:numPr>
          <w:ilvl w:val="0"/>
          <w:numId w:val="1001"/>
        </w:numPr>
      </w:pPr>
      <w:r>
        <w:rPr>
          <w:rFonts w:hint="eastAsia"/>
        </w:rPr>
        <w:t xml:space="preserve">請求書承認のスピードは、プログラムの設計とタイミングにどのように影響すべきか。</w:t>
      </w:r>
    </w:p>
    <w:p>
      <w:pPr>
        <w:numPr>
          <w:ilvl w:val="0"/>
          <w:numId w:val="1001"/>
        </w:numPr>
      </w:pPr>
      <w:r>
        <w:rPr>
          <w:rFonts w:hint="eastAsia"/>
        </w:rPr>
        <w:t xml:space="preserve">Northbridgeはどの財務リスクを保険やヘッジで対応し、どれを自社で保有すべきか。</w:t>
      </w:r>
    </w:p>
    <w:p>
      <w:pPr>
        <w:numPr>
          <w:ilvl w:val="0"/>
          <w:numId w:val="1001"/>
        </w:numPr>
      </w:pPr>
      <w:r>
        <w:rPr>
          <w:rFonts w:hint="eastAsia"/>
        </w:rPr>
        <w:t xml:space="preserve">事業運営上重要でありながら銀行の財務基準またはコンプライアンス基準に合格しないサプライヤーに、会社はどう対応すべきか。</w:t>
      </w:r>
    </w:p>
    <w:p>
      <w:pPr>
        <w:numPr>
          <w:ilvl w:val="0"/>
          <w:numId w:val="1001"/>
        </w:numPr>
      </w:pPr>
      <w:r>
        <w:rPr>
          <w:rFonts w:hint="eastAsia"/>
        </w:rPr>
        <w:t xml:space="preserve">Northbridgeが1つの銀行、あるいは1つのデジタルプラットフォームに大きく依存すると、何がうまくいかなくなる可能性があるか。</w:t>
      </w:r>
    </w:p>
    <w:p>
      <w:pPr>
        <w:numPr>
          <w:ilvl w:val="0"/>
          <w:numId w:val="1001"/>
        </w:numPr>
      </w:pPr>
      <w:r>
        <w:rPr>
          <w:rFonts w:hint="eastAsia"/>
        </w:rPr>
        <w:t xml:space="preserve">より広範なコミットメントを行う前に、どのような追加データまたはパイロットが最も価値があるか。</w:t>
      </w:r>
    </w:p>
    <w:p>
      <w:pPr>
        <w:numPr>
          <w:ilvl w:val="0"/>
          <w:numId w:val="1001"/>
        </w:numPr>
      </w:pPr>
      <w:r>
        <w:rPr>
          <w:rFonts w:hint="eastAsia"/>
        </w:rPr>
        <w:t xml:space="preserve">Chenはどのような措置を直ちに提言すべきか、そしてどの決定を将来の出来事次第の条件付きにしておくべきか。</w:t>
      </w:r>
    </w:p>
    <w:bookmarkEnd w:id="20"/>
    <w:bookmarkStart w:id="26" w:name="決定フレーミングのための質問"/>
    <w:p>
      <w:pPr>
        <w:pStyle w:val="Heading1"/>
      </w:pPr>
      <w:r>
        <w:rPr>
          <w:rFonts w:hint="eastAsia"/>
        </w:rPr>
        <w:t xml:space="preserve">決定フレーミングのための質問</w:t>
      </w:r>
    </w:p>
    <w:p>
      <w:pPr>
        <w:numPr>
          <w:ilvl w:val="0"/>
          <w:numId w:val="1002"/>
        </w:numPr>
      </w:pPr>
      <w:r>
        <w:rPr>
          <w:rFonts w:hint="eastAsia"/>
        </w:rPr>
        <w:t xml:space="preserve">意思決定者の責任を特定し、記述せよ。これにより問題の範囲が定まる。</w:t>
      </w:r>
    </w:p>
    <w:p>
      <w:pPr>
        <w:numPr>
          <w:ilvl w:val="0"/>
          <w:numId w:val="1002"/>
        </w:numPr>
      </w:pPr>
      <w:hyperlink r:id="rId21">
        <w:r>
          <w:rPr>
            <w:rStyle w:val="Hyperlink"/>
          </w:rPr>
          <w:t xml:space="preserve">メトリクス・ピラミッド・ツール</w:t>
        </w:r>
      </w:hyperlink>
      <w:r>
        <w:rPr>
          <w:rFonts w:hint="eastAsia"/>
        </w:rPr>
        <w:t xml:space="preserve">を用いて、さまざまなパフォーマンス指標を特定し、優先順位を付けよ。指標を含む楕円をクリックして、それが最大化すべき指標(緑)か、最小化すべき指標(赤)か、下限としての目標値(薄緑)か、上限としての目標値(薄赤)か、あるいは目標値そのもの(紫)かを識別せよ。</w:t>
      </w:r>
    </w:p>
    <w:p>
      <w:pPr>
        <w:numPr>
          <w:ilvl w:val="0"/>
          <w:numId w:val="1002"/>
        </w:numPr>
      </w:pPr>
      <w:hyperlink r:id="rId22">
        <w:r>
          <w:rPr>
            <w:rStyle w:val="Hyperlink"/>
            <w:rFonts w:hint="eastAsia"/>
          </w:rPr>
          <w:t xml:space="preserve">決定優先順位付けツール</w:t>
        </w:r>
      </w:hyperlink>
      <w:r>
        <w:rPr>
          <w:rFonts w:hint="eastAsia"/>
        </w:rPr>
        <w:t xml:space="preserve">を用いて、まずさまざまな種類の決定を列挙せよ(</w:t>
      </w:r>
      <w:hyperlink r:id="rId23">
        <w:r>
          <w:rPr>
            <w:rStyle w:val="Hyperlink"/>
            <w:rFonts w:hint="eastAsia"/>
          </w:rPr>
          <w:t xml:space="preserve">決定の種類</w:t>
        </w:r>
      </w:hyperlink>
      <w:r>
        <w:rPr>
          <w:rFonts w:hint="eastAsia"/>
        </w:rPr>
        <w:t xml:space="preserve">をガイドとして使用すること)。これらは右側にあるマトリクスの行を構成し、列は上記のピラミッドで優先順位付けされたパフォーマンス指標を左から順に並べたものとなる。各セルをクリックして、その決定が各指標に与える影響が高い(赤)、中程度(オレンジ)、低い(黄)、または影響なし(白)かを示せ。</w:t>
      </w:r>
    </w:p>
    <w:p>
      <w:pPr>
        <w:numPr>
          <w:ilvl w:val="0"/>
          <w:numId w:val="1002"/>
        </w:numPr>
      </w:pPr>
      <w:r>
        <w:rPr>
          <w:rFonts w:hint="eastAsia"/>
        </w:rPr>
        <w:t xml:space="preserve">各行の一番左にあるハンドル(3本線)をつかんで、上下に移動させることができる。行を並べ替えて、最も重要な指標に最も大きな影響を与える決定が上部に来るようにせよ。左上隅のセルには、赤とオレンジのセルが最も集中しているべきである。この時点で、あなたの研究において最も注意を払うべき決定を特定せよ。最も重要な指標に対して中程度または高い影響を与える決定が一つもない場合は、決定のリストを見直すこと。</w:t>
      </w:r>
    </w:p>
    <w:p>
      <w:pPr>
        <w:numPr>
          <w:ilvl w:val="0"/>
          <w:numId w:val="1002"/>
        </w:numPr>
      </w:pPr>
      <w:hyperlink r:id="rId24">
        <w:r>
          <w:rPr>
            <w:rStyle w:val="Hyperlink"/>
            <w:rFonts w:hint="eastAsia"/>
          </w:rPr>
          <w:t xml:space="preserve">不確実性優先順位付けツール</w:t>
        </w:r>
      </w:hyperlink>
      <w:r>
        <w:rPr>
          <w:rFonts w:hint="eastAsia"/>
        </w:rPr>
        <w:t xml:space="preserve">を使用して、不確実性についても同じプロセスを繰り返して列挙し、優先順位を付けよ。</w:t>
      </w:r>
      <w:hyperlink r:id="rId25">
        <w:r>
          <w:rPr>
            <w:rStyle w:val="Hyperlink"/>
            <w:rFonts w:hint="eastAsia"/>
          </w:rPr>
          <w:t xml:space="preserve">不確実性のカテゴリー</w:t>
        </w:r>
      </w:hyperlink>
      <w:r>
        <w:rPr>
          <w:rFonts w:hint="eastAsia"/>
        </w:rPr>
        <w:t xml:space="preserve">を参考にしてこれらを特定すること。</w:t>
      </w:r>
    </w:p>
    <w:p>
      <w:pPr>
        <w:numPr>
          <w:ilvl w:val="0"/>
          <w:numId w:val="1002"/>
        </w:numPr>
      </w:pPr>
      <w:r>
        <w:rPr>
          <w:rFonts w:hint="eastAsia"/>
        </w:rPr>
        <w:t xml:space="preserve">平均的に評価できる不確実性と、リスクイベントとして評価すべき不確実性を区別することが重要である:</w:t>
      </w:r>
    </w:p>
    <w:p>
      <w:pPr>
        <w:numPr>
          <w:ilvl w:val="1"/>
          <w:numId w:val="1003"/>
        </w:numPr>
      </w:pPr>
      <w:r>
        <w:rPr>
          <w:rFonts w:hint="eastAsia"/>
        </w:rPr>
        <w:t xml:space="preserve">どの不確実性の源が、時間をかけた平均的なパフォーマンスを用いて捉えられるか。</w:t>
      </w:r>
    </w:p>
    <w:p>
      <w:pPr>
        <w:numPr>
          <w:ilvl w:val="1"/>
          <w:numId w:val="1003"/>
        </w:numPr>
      </w:pPr>
      <w:r>
        <w:rPr>
          <w:rFonts w:hint="eastAsia"/>
        </w:rPr>
        <w:t xml:space="preserve">どの不確実性の源が、平均では適切に捉えられないリスクの形態を表しているか。</w:t>
      </w:r>
    </w:p>
    <w:p>
      <w:pPr>
        <w:numPr>
          <w:ilvl w:val="0"/>
          <w:numId w:val="1002"/>
        </w:numPr>
      </w:pPr>
      <w:r>
        <w:rPr>
          <w:rFonts w:hint="eastAsia"/>
        </w:rPr>
        <w:t xml:space="preserve">最も重要な指標に対して最も大きな影響を持つと思われる単一の決定を選べ。</w:t>
      </w:r>
    </w:p>
    <w:p>
      <w:pPr>
        <w:numPr>
          <w:ilvl w:val="1"/>
          <w:numId w:val="1004"/>
        </w:numPr>
      </w:pPr>
      <w:r>
        <w:rPr>
          <w:rFonts w:hint="eastAsia"/>
        </w:rPr>
        <w:t xml:space="preserve">この決定を下すために、どのようなアプローチを用いると考えられるか。</w:t>
      </w:r>
    </w:p>
    <w:p>
      <w:pPr>
        <w:numPr>
          <w:ilvl w:val="1"/>
          <w:numId w:val="1004"/>
        </w:numPr>
      </w:pPr>
      <w:r>
        <w:rPr>
          <w:rFonts w:hint="eastAsia"/>
        </w:rPr>
        <w:t xml:space="preserve">その決定を下すために必要と思われるデータは何か。その決定が高いまたは中程度の影響を与えるパフォーマンス指標の計算に必要なデータも含めること。</w:t>
      </w:r>
    </w:p>
    <w:p>
      <w:pPr>
        <w:numPr>
          <w:ilvl w:val="0"/>
          <w:numId w:val="1002"/>
        </w:numPr>
      </w:pPr>
      <w:r>
        <w:rPr>
          <w:rFonts w:hint="eastAsia"/>
        </w:rPr>
        <w:t xml:space="preserve">(7)で特定したのと同じ決定について、それを実行するために協働する必要のある人々、部門、グループ、または組織を特定せよ。</w:t>
      </w:r>
    </w:p>
    <w:bookmarkEnd w:id="26"/>
    <w:bookmarkStart w:id="27" w:name="出典に関する注記"/>
    <w:p>
      <w:pPr>
        <w:pStyle w:val="Heading1"/>
      </w:pPr>
      <w:r>
        <w:rPr>
          <w:rFonts w:hint="eastAsia"/>
        </w:rPr>
        <w:t xml:space="preserve">出典に関する注記</w:t>
      </w:r>
    </w:p>
    <w:p>
      <w:pPr>
        <w:pStyle w:val="FirstParagraph"/>
      </w:pPr>
      <w:r>
        <w:t xml:space="preserve">Warren B. Powell,</w:t>
      </w:r>
      <w:r>
        <w:t xml:space="preserve"> </w:t>
      </w:r>
      <w:r>
        <w:t xml:space="preserve">“Supply Chain Finance,”</w:t>
      </w:r>
      <w:r>
        <w:t xml:space="preserve"> </w:t>
      </w:r>
      <w:r>
        <w:t xml:space="preserve">Chapter 2, Bridging Decision Problems, Volume I: Framing the Problem. </w:t>
      </w:r>
      <w:r>
        <w:rPr>
          <w:rFonts w:hint="eastAsia"/>
        </w:rPr>
        <w:t xml:space="preserve">この節では、請求書承認、早期支払い、満期支払い、資金調達および保険の選択、キャッシュマネジメント、資本配分、そしてデフォルト、通貨、関税、売上、金利、信用市場に関わる不確実性について記述している。</w:t>
      </w:r>
    </w:p>
    <w:p>
      <w:pPr>
        <w:pStyle w:val="BodyText"/>
      </w:pPr>
      <w:r>
        <w:t xml:space="preserve">Federal Reserve Banks, 2026 Report on Employer Firms: Findings from the 2025 Small Business Credit Survey, March 3, 2026. </w:t>
      </w:r>
      <w:r>
        <w:rPr>
          <w:rFonts w:hint="eastAsia"/>
        </w:rPr>
        <w:t xml:space="preserve">この調査によると、企業の60%が融資を申請し、42%が求めた全額を受け取り、関税関連のコスト課題は製造業者の間で特に一般的であった。</w:t>
      </w:r>
    </w:p>
    <w:p>
      <w:pPr>
        <w:pStyle w:val="BodyText"/>
      </w:pPr>
      <w:r>
        <w:t xml:space="preserve">Secured Finance Network,</w:t>
      </w:r>
      <w:r>
        <w:t xml:space="preserve"> </w:t>
      </w:r>
      <w:r>
        <w:t xml:space="preserve">“The Growing Impact of Supply Chain Finance: Insights from SFNet’s 2025 Market Sizing Study.”</w:t>
      </w:r>
      <w:r>
        <w:t xml:space="preserve"> </w:t>
      </w:r>
      <w:r>
        <w:rPr>
          <w:rFonts w:hint="eastAsia"/>
        </w:rPr>
        <w:t xml:space="preserve">この調査は、2024年に米国の売掛債権の約12%がサプライチェーンファイナンスの取り決めを通じて資金調達され、これは年間約2.56兆ドルの市場に相当すると推定した。</w:t>
      </w:r>
    </w:p>
    <w:p>
      <w:pPr>
        <w:pStyle w:val="BodyText"/>
      </w:pPr>
      <w:r>
        <w:t xml:space="preserve">International Finance Corporation,</w:t>
      </w:r>
      <w:r>
        <w:t xml:space="preserve"> </w:t>
      </w:r>
      <w:r>
        <w:t xml:space="preserve">“Scaling Up Supply Chain Finance Could Unlock Billions for SMEs,”</w:t>
      </w:r>
      <w:r>
        <w:t xml:space="preserve"> </w:t>
      </w:r>
      <w:r>
        <w:t xml:space="preserve">September 2025. </w:t>
      </w:r>
      <w:r>
        <w:rPr>
          <w:rFonts w:hint="eastAsia"/>
        </w:rPr>
        <w:t xml:space="preserve">IFCは、世界の貿易金融ギャップが2.5兆ドルに達したと推定し、中小サプライヤーが直面する運転資本上の制約を強調した。</w:t>
      </w:r>
    </w:p>
    <w:bookmarkEnd w:id="27"/>
    <w:bookmarkStart w:id="30" w:name="chatgptのメモ"/>
    <w:p>
      <w:pPr>
        <w:pStyle w:val="Heading1"/>
      </w:pPr>
      <w:r>
        <w:t xml:space="preserve">ChatGPTのメモ</w:t>
      </w:r>
    </w:p>
    <w:bookmarkStart w:id="28" w:name="プロンプト"/>
    <w:p>
      <w:pPr>
        <w:pStyle w:val="Heading2"/>
      </w:pPr>
      <w:r>
        <w:t xml:space="preserve">プロンプト</w:t>
      </w:r>
    </w:p>
    <w:p>
      <w:pPr>
        <w:pStyle w:val="FirstParagraph"/>
      </w:pPr>
      <w:r>
        <w:t xml:space="preserve">https://warrenpowell.org/bridging-vol1/chapter-2/#supplychainfinance </w:t>
      </w:r>
      <w:r>
        <w:rPr>
          <w:rFonts w:hint="eastAsia"/>
        </w:rPr>
        <w:t xml:space="preserve">のセクションの内容に基づいて、4~6ページのケーススタディを書いてください。そのセクションにある指標、決定、不確実性に基づいた文脈を作成してください。ただし、それらを明示的に取り上げることはしないでください。データに基づいて、あなたのケース上の問題を動機づけてください。</w:t>
      </w:r>
    </w:p>
    <w:bookmarkEnd w:id="28"/>
    <w:bookmarkStart w:id="29" w:name="要約"/>
    <w:p>
      <w:pPr>
        <w:pStyle w:val="Heading2"/>
      </w:pPr>
      <w:r>
        <w:rPr>
          <w:rFonts w:hint="eastAsia"/>
        </w:rPr>
        <w:t xml:space="preserve">要約</w:t>
      </w:r>
    </w:p>
    <w:p>
      <w:pPr>
        <w:pStyle w:val="FirstParagraph"/>
      </w:pPr>
      <w:r>
        <w:rPr>
          <w:rFonts w:hint="eastAsia"/>
        </w:rPr>
        <w:t xml:space="preserve">このケースは、サプライヤーがより迅速な支払いを求める一方で、会社が現金を保全し、関税関連のコストを吸収し、追加在庫を資金調達し、信用ポジションを維持しようとしている架空のメーカーを追っている。サプライヤーファイナンス、早期支払い割引、支払い条件、請求書承認、保険、通貨ヘッジ、現金準備金、そして財務的に脆弱なサプライヤーへの支援について検討しているが、望ましい解決策を特定するには至っていない。</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2026-09-11T17:51:06Z</dcterms:created>
  <dcterms:modified xsi:type="dcterms:W3CDTF">2026-09-11T17:51:06Z</dcterms:modified>
</cp:coreProperties>
</file>

<file path=docProps/custom.xml><?xml version="1.0" encoding="utf-8"?>
<Properties xmlns="http://schemas.openxmlformats.org/officeDocument/2006/custom-properties" xmlns:vt="http://schemas.openxmlformats.org/officeDocument/2006/docPropsVTypes"/>
</file>