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ノーススター・リビング:在庫の賭け</w:t>
      </w:r>
    </w:p>
    <w:p>
      <w:pPr>
        <w:pStyle w:val="BodyText"/>
      </w:pPr>
      <w:r>
        <w:rPr>
          <w:rFonts w:hint="eastAsia"/>
        </w:rPr>
        <w:t xml:space="preserve">リードタイムの長い在庫計画に関する教育用ケース</w:t>
      </w:r>
    </w:p>
    <w:p>
      <w:pPr>
        <w:pStyle w:val="BodyText"/>
      </w:pPr>
      <w:r>
        <w:rPr>
          <w:rFonts w:hint="eastAsia"/>
        </w:rPr>
        <w:t xml:space="preserve">このケースは架空のものであり、教育的議論を目的としています。名称、出来事、組織、および運営データは創作されたものですが、業界背景は公開情報を参考にしています。</w:t>
      </w:r>
    </w:p>
    <w:p>
      <w:pPr>
        <w:pStyle w:val="BodyText"/>
      </w:pPr>
      <w:r>
        <w:rPr>
          <w:rFonts w:hint="eastAsia"/>
        </w:rPr>
        <w:t xml:space="preserve">2026年7月下旬、ノーススター・リビングの最高執行責任者(COO)であるマヤ・チェンは、スプレッドシート上では単純に見えるが、実務上はますます危険な決定に直面していた。同社は、消費者需要がどれほど強いか、海上輸送が予定通り到着するか、競合他社が同様の製品をどれだけ積極的に値引きするかを知る前に、最も成長している製品のホリデーシーズン向け購入を確約しなければならなかった。</w:t>
      </w:r>
    </w:p>
    <w:p>
      <w:pPr>
        <w:pStyle w:val="BodyText"/>
      </w:pPr>
      <w:r>
        <w:rPr>
          <w:rFonts w:hint="eastAsia"/>
        </w:rPr>
        <w:t xml:space="preserve">ノーススターは、自社ウェブサイト、大手オンラインマーケットプレイス、420の専門小売店を通じてコンパクトな家庭用電化製品を販売していた。同社の製品――空気清浄機、卓上型製氷機、スマートファン、コンパクト電磁調理器――は米国で設計されていたが、主に中国、ベトナム、ポーランドの契約製造業者から調達されていた。標準的な補充リードタイムは発注から在庫利用可能までに7週間から11週間であり、港や工場での混乱があればさらに数週間追加される可能性があった。</w:t>
      </w:r>
    </w:p>
    <w:p>
      <w:pPr>
        <w:pStyle w:val="BodyText"/>
      </w:pPr>
      <w:r>
        <w:rPr>
          <w:rFonts w:hint="eastAsia"/>
        </w:rPr>
        <w:t xml:space="preserve">賭け金は増大しつつあった。家具・家庭用品・電子機器・電化製品店における米国小売売上高は2026年5月に約195億ドルに達し、同カテゴリーの在庫は約307億ドルであった。対応する季節調整済み在庫対売上比率は1.58であった。米国経済全体では、製造業者と卸売業者は2026年5月時点で約2兆7400億ドルの在庫を保有していた。これらの数字は、大規模な市場と同時に、想定通りに売れない可能性のある商品に多額の資本を拘束し続けるリスクの両方を示唆していた。</w:t>
      </w:r>
    </w:p>
    <w:bookmarkStart w:id="9" w:name="ホリデーコミットメント"/>
    <w:p>
      <w:pPr>
        <w:pStyle w:val="Heading1"/>
      </w:pPr>
      <w:r>
        <w:t xml:space="preserve">ホリデーコミットメント</w:t>
      </w:r>
    </w:p>
    <w:p>
      <w:pPr>
        <w:pStyle w:val="FirstParagraph"/>
      </w:pPr>
      <w:r>
        <w:rPr>
          <w:rFonts w:hint="eastAsia"/>
        </w:rPr>
        <w:t xml:space="preserve">ノーススターは11月と12月で年間売上高の31パーセントを生み出すと見込んでいた。小売パートナーは9月1日までに確定配分を求めていたが、サプライヤーは生産枠を確保するために8月初旬までに購入コミットメントを必要としていた。財務チームは、輸送費と関税を含め、最大4200万ドルの新規在庫購入を承認していた。経営陣の現行提案では3960万ドルが必要であり、緊急航空輸送、予想外の関税、あるいは代替サプライヤーからの急な購入機会のための余裕はほとんど残されていなかった。</w:t>
      </w:r>
    </w:p>
    <w:p>
      <w:pPr>
        <w:pStyle w:val="BodyText"/>
      </w:pPr>
      <w:r>
        <w:rPr>
          <w:rFonts w:hint="eastAsia"/>
        </w:rPr>
        <w:t xml:space="preserve">同社は前回のホリデーシーズンを、非常に異なる2つの結果とともに終えていた。山火事の煙が深刻な期間中に高級空気清浄機が品切れとなり、推定売上を失い、複数の大手小売業者を失望させた。同時に、4万6000台の余剰スマートファンを1月に持ち越し、最終的に35パーセント値引きした。清浄機の品薄は競合他社に棚スペースを奪う機会を与え、ファンの過剰在庫は倉庫容量を消費し営業利益率を低下させた。</w:t>
      </w:r>
    </w:p>
    <w:tbl>
      <w:tblPr>
        <w:tblStyle w:val="Table"/>
        <w:tblW w:type="pct" w:w="4921"/>
        <w:tblLayout w:type="fixed"/>
        <w:tblLook w:firstRow="1" w:lastRow="0" w:firstColumn="0" w:lastColumn="0" w:noHBand="0" w:noVBand="0" w:val="0020"/>
      </w:tblPr>
      <w:tblGrid>
        <w:gridCol w:w="1697"/>
        <w:gridCol w:w="1005"/>
        <w:gridCol w:w="1194"/>
        <w:gridCol w:w="1005"/>
        <w:gridCol w:w="1634"/>
        <w:gridCol w:w="1257"/>
      </w:tblGrid>
      <w:tr>
        <w:trPr>
          <w:tblHeader w:val="on"/>
        </w:trPr>
        <w:tc>
          <w:tcPr/>
          <w:p>
            <w:pPr>
              <w:pStyle w:val="Compact"/>
              <w:jc w:val="left"/>
            </w:pPr>
            <w:r>
              <w:rPr>
                <w:rFonts w:hint="eastAsia"/>
              </w:rPr>
              <w:t xml:space="preserve">製品</w:t>
            </w:r>
          </w:p>
        </w:tc>
        <w:tc>
          <w:tcPr/>
          <w:p>
            <w:pPr>
              <w:pStyle w:val="Compact"/>
              <w:jc w:val="center"/>
            </w:pPr>
            <w:r>
              <w:rPr>
                <w:rFonts w:hint="eastAsia"/>
              </w:rPr>
              <w:t xml:space="preserve">計画発注数量</w:t>
            </w:r>
          </w:p>
        </w:tc>
        <w:tc>
          <w:tcPr/>
          <w:p>
            <w:pPr>
              <w:pStyle w:val="Compact"/>
              <w:jc w:val="center"/>
            </w:pPr>
            <w:r>
              <w:rPr>
                <w:rFonts w:hint="eastAsia"/>
              </w:rPr>
              <w:t xml:space="preserve">着地単位コスト</w:t>
            </w:r>
          </w:p>
        </w:tc>
        <w:tc>
          <w:tcPr/>
          <w:p>
            <w:pPr>
              <w:pStyle w:val="Compact"/>
              <w:jc w:val="center"/>
            </w:pPr>
            <w:r>
              <w:rPr>
                <w:rFonts w:hint="eastAsia"/>
              </w:rPr>
              <w:t xml:space="preserve">通常価格</w:t>
            </w:r>
          </w:p>
        </w:tc>
        <w:tc>
          <w:tcPr/>
          <w:p>
            <w:pPr>
              <w:pStyle w:val="Compact"/>
              <w:jc w:val="center"/>
            </w:pPr>
            <w:r>
              <w:rPr>
                <w:rFonts w:hint="eastAsia"/>
              </w:rPr>
              <w:t xml:space="preserve">期待ホリデー需要</w:t>
            </w:r>
          </w:p>
        </w:tc>
        <w:tc>
          <w:tcPr/>
          <w:p>
            <w:pPr>
              <w:pStyle w:val="Compact"/>
              <w:jc w:val="center"/>
            </w:pPr>
            <w:r>
              <w:rPr>
                <w:rFonts w:hint="eastAsia"/>
              </w:rPr>
              <w:t xml:space="preserve">現在在庫</w:t>
            </w:r>
          </w:p>
        </w:tc>
      </w:tr>
      <w:tr>
        <w:tc>
          <w:tcPr/>
          <w:p>
            <w:pPr>
              <w:pStyle w:val="Compact"/>
              <w:jc w:val="left"/>
            </w:pPr>
            <w:r>
              <w:t xml:space="preserve">PureAir Pro </w:t>
            </w:r>
            <w:r>
              <w:rPr>
                <w:rFonts w:hint="eastAsia"/>
              </w:rPr>
              <w:t xml:space="preserve">空気清浄機</w:t>
            </w:r>
          </w:p>
        </w:tc>
        <w:tc>
          <w:tcPr/>
          <w:p>
            <w:pPr>
              <w:pStyle w:val="Compact"/>
              <w:jc w:val="center"/>
            </w:pPr>
            <w:r>
              <w:t xml:space="preserve">92,000</w:t>
            </w:r>
          </w:p>
        </w:tc>
        <w:tc>
          <w:tcPr/>
          <w:p>
            <w:pPr>
              <w:pStyle w:val="Compact"/>
              <w:jc w:val="center"/>
            </w:pPr>
            <w:r>
              <w:t xml:space="preserve">$142</w:t>
            </w:r>
          </w:p>
        </w:tc>
        <w:tc>
          <w:tcPr/>
          <w:p>
            <w:pPr>
              <w:pStyle w:val="Compact"/>
              <w:jc w:val="center"/>
            </w:pPr>
            <w:r>
              <w:t xml:space="preserve">$299</w:t>
            </w:r>
          </w:p>
        </w:tc>
        <w:tc>
          <w:tcPr/>
          <w:p>
            <w:pPr>
              <w:pStyle w:val="Compact"/>
              <w:jc w:val="center"/>
            </w:pPr>
            <w:r>
              <w:t xml:space="preserve">105,000</w:t>
            </w:r>
          </w:p>
        </w:tc>
        <w:tc>
          <w:tcPr/>
          <w:p>
            <w:pPr>
              <w:pStyle w:val="Compact"/>
              <w:jc w:val="center"/>
            </w:pPr>
            <w:r>
              <w:t xml:space="preserve">18,000</w:t>
            </w:r>
          </w:p>
        </w:tc>
      </w:tr>
      <w:tr>
        <w:tc>
          <w:tcPr/>
          <w:p>
            <w:pPr>
              <w:pStyle w:val="Compact"/>
              <w:jc w:val="left"/>
            </w:pPr>
            <w:r>
              <w:t xml:space="preserve">FrostBox </w:t>
            </w:r>
            <w:r>
              <w:rPr>
                <w:rFonts w:hint="eastAsia"/>
              </w:rPr>
              <w:t xml:space="preserve">製氷機</w:t>
            </w:r>
          </w:p>
        </w:tc>
        <w:tc>
          <w:tcPr/>
          <w:p>
            <w:pPr>
              <w:pStyle w:val="Compact"/>
              <w:jc w:val="center"/>
            </w:pPr>
            <w:r>
              <w:t xml:space="preserve">74,000</w:t>
            </w:r>
          </w:p>
        </w:tc>
        <w:tc>
          <w:tcPr/>
          <w:p>
            <w:pPr>
              <w:pStyle w:val="Compact"/>
              <w:jc w:val="center"/>
            </w:pPr>
            <w:r>
              <w:t xml:space="preserve">$118</w:t>
            </w:r>
          </w:p>
        </w:tc>
        <w:tc>
          <w:tcPr/>
          <w:p>
            <w:pPr>
              <w:pStyle w:val="Compact"/>
              <w:jc w:val="center"/>
            </w:pPr>
            <w:r>
              <w:t xml:space="preserve">$249</w:t>
            </w:r>
          </w:p>
        </w:tc>
        <w:tc>
          <w:tcPr/>
          <w:p>
            <w:pPr>
              <w:pStyle w:val="Compact"/>
              <w:jc w:val="center"/>
            </w:pPr>
            <w:r>
              <w:t xml:space="preserve">82,000</w:t>
            </w:r>
          </w:p>
        </w:tc>
        <w:tc>
          <w:tcPr/>
          <w:p>
            <w:pPr>
              <w:pStyle w:val="Compact"/>
              <w:jc w:val="center"/>
            </w:pPr>
            <w:r>
              <w:t xml:space="preserve">13,500</w:t>
            </w:r>
          </w:p>
        </w:tc>
      </w:tr>
      <w:tr>
        <w:tc>
          <w:tcPr/>
          <w:p>
            <w:pPr>
              <w:pStyle w:val="Compact"/>
              <w:jc w:val="left"/>
            </w:pPr>
            <w:r>
              <w:t xml:space="preserve">BreezeIQ スマートファン</w:t>
            </w:r>
          </w:p>
        </w:tc>
        <w:tc>
          <w:tcPr/>
          <w:p>
            <w:pPr>
              <w:pStyle w:val="Compact"/>
              <w:jc w:val="center"/>
            </w:pPr>
            <w:r>
              <w:t xml:space="preserve">65,000</w:t>
            </w:r>
          </w:p>
        </w:tc>
        <w:tc>
          <w:tcPr/>
          <w:p>
            <w:pPr>
              <w:pStyle w:val="Compact"/>
              <w:jc w:val="center"/>
            </w:pPr>
            <w:r>
              <w:t xml:space="preserve">$61</w:t>
            </w:r>
          </w:p>
        </w:tc>
        <w:tc>
          <w:tcPr/>
          <w:p>
            <w:pPr>
              <w:pStyle w:val="Compact"/>
              <w:jc w:val="center"/>
            </w:pPr>
            <w:r>
              <w:t xml:space="preserve">$139</w:t>
            </w:r>
          </w:p>
        </w:tc>
        <w:tc>
          <w:tcPr/>
          <w:p>
            <w:pPr>
              <w:pStyle w:val="Compact"/>
              <w:jc w:val="center"/>
            </w:pPr>
            <w:r>
              <w:t xml:space="preserve">52,000</w:t>
            </w:r>
          </w:p>
        </w:tc>
        <w:tc>
          <w:tcPr/>
          <w:p>
            <w:pPr>
              <w:pStyle w:val="Compact"/>
              <w:jc w:val="center"/>
            </w:pPr>
            <w:r>
              <w:t xml:space="preserve">21,000</w:t>
            </w:r>
          </w:p>
        </w:tc>
      </w:tr>
      <w:tr>
        <w:tc>
          <w:tcPr/>
          <w:p>
            <w:pPr>
              <w:pStyle w:val="Compact"/>
              <w:jc w:val="left"/>
            </w:pPr>
            <w:r>
              <w:t xml:space="preserve">HeatPoint </w:t>
            </w:r>
            <w:r>
              <w:rPr>
                <w:rFonts w:hint="eastAsia"/>
              </w:rPr>
              <w:t xml:space="preserve">電磁調理器</w:t>
            </w:r>
          </w:p>
        </w:tc>
        <w:tc>
          <w:tcPr/>
          <w:p>
            <w:pPr>
              <w:pStyle w:val="Compact"/>
              <w:jc w:val="center"/>
            </w:pPr>
            <w:r>
              <w:t xml:space="preserve">48,000</w:t>
            </w:r>
          </w:p>
        </w:tc>
        <w:tc>
          <w:tcPr/>
          <w:p>
            <w:pPr>
              <w:pStyle w:val="Compact"/>
              <w:jc w:val="center"/>
            </w:pPr>
            <w:r>
              <w:t xml:space="preserve">$87</w:t>
            </w:r>
          </w:p>
        </w:tc>
        <w:tc>
          <w:tcPr/>
          <w:p>
            <w:pPr>
              <w:pStyle w:val="Compact"/>
              <w:jc w:val="center"/>
            </w:pPr>
            <w:r>
              <w:t xml:space="preserve">$189</w:t>
            </w:r>
          </w:p>
        </w:tc>
        <w:tc>
          <w:tcPr/>
          <w:p>
            <w:pPr>
              <w:pStyle w:val="Compact"/>
              <w:jc w:val="center"/>
            </w:pPr>
            <w:r>
              <w:t xml:space="preserve">55,000</w:t>
            </w:r>
          </w:p>
        </w:tc>
        <w:tc>
          <w:tcPr/>
          <w:p>
            <w:pPr>
              <w:pStyle w:val="Compact"/>
              <w:jc w:val="center"/>
            </w:pPr>
            <w:r>
              <w:t xml:space="preserve">9,000</w:t>
            </w:r>
          </w:p>
        </w:tc>
      </w:tr>
    </w:tbl>
    <w:p>
      <w:pPr>
        <w:pStyle w:val="BodyText"/>
      </w:pPr>
      <w:r>
        <w:rPr>
          <w:rFonts w:hint="eastAsia"/>
        </w:rPr>
        <w:t xml:space="preserve">需要予測は単一の数字ではなかった。営業部門は、煙害の状況が悪化するか、計画中のインフルエンサーキャンペーンが成功すれば、清浄機の需要は12万5000台を超える可能性があると考えていた。財務部門は、消費者支出が弱まれば9万台が妥当だと考えていた。小売業者は、出荷の4週間前まで事前発注の最大20パーセントをキャンセルできた。オンライン需要は事前の警告なしに発生し、顧客は商品が入手できない場合にほとんど待つことがなかった。</w:t>
      </w:r>
    </w:p>
    <w:bookmarkEnd w:id="9"/>
    <w:bookmarkStart w:id="10" w:name="一致しない情報"/>
    <w:p>
      <w:pPr>
        <w:pStyle w:val="Heading1"/>
      </w:pPr>
      <w:r>
        <w:rPr>
          <w:rFonts w:hint="eastAsia"/>
        </w:rPr>
        <w:t xml:space="preserve">一致しない情報</w:t>
      </w:r>
    </w:p>
    <w:p>
      <w:pPr>
        <w:pStyle w:val="FirstParagraph"/>
      </w:pPr>
      <w:r>
        <w:rPr>
          <w:rFonts w:hint="eastAsia"/>
        </w:rPr>
        <w:t xml:space="preserve">同社の予測システムは、過去の販売実績、小売業者の発注、ウェブトラフィック、価格、プロモーション、天候指標、および製品マネージャーの判断を組み合わせていた。カテゴリーレベルでは予測精度が向上していたが、製品別・週別の誤差は依然として大きかった。マネージャーたちは、予測が誤っているのはモデルが弱いからなのか、予測作成後にマーケティング計画が変更されたからなのか、あるいは在庫不足が予測モデルの訓練に使用される販売履歴を歪めていたからなのかについて意見が一致しなかった。</w:t>
      </w:r>
    </w:p>
    <w:tbl>
      <w:tblPr>
        <w:tblStyle w:val="Table"/>
        <w:tblW w:type="pct" w:w="4896"/>
        <w:tblLayout w:type="fixed"/>
        <w:tblLook w:firstRow="1" w:lastRow="0" w:firstColumn="0" w:lastColumn="0" w:noHBand="0" w:noVBand="0" w:val="0020"/>
      </w:tblPr>
      <w:tblGrid>
        <w:gridCol w:w="2805"/>
        <w:gridCol w:w="1237"/>
        <w:gridCol w:w="1237"/>
        <w:gridCol w:w="1237"/>
        <w:gridCol w:w="1237"/>
      </w:tblGrid>
      <w:tr>
        <w:trPr>
          <w:tblHeader w:val="on"/>
        </w:trPr>
        <w:tc>
          <w:tcPr/>
          <w:p>
            <w:pPr>
              <w:pStyle w:val="Compact"/>
              <w:jc w:val="left"/>
            </w:pPr>
            <w:r>
              <w:rPr>
                <w:rFonts w:hint="eastAsia"/>
              </w:rPr>
              <w:t xml:space="preserve">指標</w:t>
            </w:r>
          </w:p>
        </w:tc>
        <w:tc>
          <w:tcPr/>
          <w:p>
            <w:pPr>
              <w:pStyle w:val="Compact"/>
              <w:jc w:val="center"/>
            </w:pPr>
            <w:r>
              <w:t xml:space="preserve">PureAir</w:t>
            </w:r>
          </w:p>
        </w:tc>
        <w:tc>
          <w:tcPr/>
          <w:p>
            <w:pPr>
              <w:pStyle w:val="Compact"/>
              <w:jc w:val="center"/>
            </w:pPr>
            <w:r>
              <w:t xml:space="preserve">FrostBox</w:t>
            </w:r>
          </w:p>
        </w:tc>
        <w:tc>
          <w:tcPr/>
          <w:p>
            <w:pPr>
              <w:pStyle w:val="Compact"/>
              <w:jc w:val="center"/>
            </w:pPr>
            <w:r>
              <w:t xml:space="preserve">BreezeIQ</w:t>
            </w:r>
          </w:p>
        </w:tc>
        <w:tc>
          <w:tcPr/>
          <w:p>
            <w:pPr>
              <w:pStyle w:val="Compact"/>
              <w:jc w:val="center"/>
            </w:pPr>
            <w:r>
              <w:t xml:space="preserve">HeatPoint</w:t>
            </w:r>
          </w:p>
        </w:tc>
      </w:tr>
      <w:tr>
        <w:tc>
          <w:tcPr/>
          <w:p>
            <w:pPr>
              <w:pStyle w:val="Compact"/>
              <w:jc w:val="left"/>
            </w:pPr>
            <w:r>
              <w:rPr>
                <w:rFonts w:hint="eastAsia"/>
              </w:rPr>
              <w:t xml:space="preserve">過去12か月の予測誤差</w:t>
            </w:r>
          </w:p>
        </w:tc>
        <w:tc>
          <w:tcPr/>
          <w:p>
            <w:pPr>
              <w:pStyle w:val="Compact"/>
              <w:jc w:val="center"/>
            </w:pPr>
            <w:r>
              <w:t xml:space="preserve">24%</w:t>
            </w:r>
          </w:p>
        </w:tc>
        <w:tc>
          <w:tcPr/>
          <w:p>
            <w:pPr>
              <w:pStyle w:val="Compact"/>
              <w:jc w:val="center"/>
            </w:pPr>
            <w:r>
              <w:t xml:space="preserve">31%</w:t>
            </w:r>
          </w:p>
        </w:tc>
        <w:tc>
          <w:tcPr/>
          <w:p>
            <w:pPr>
              <w:pStyle w:val="Compact"/>
              <w:jc w:val="center"/>
            </w:pPr>
            <w:r>
              <w:t xml:space="preserve">38%</w:t>
            </w:r>
          </w:p>
        </w:tc>
        <w:tc>
          <w:tcPr/>
          <w:p>
            <w:pPr>
              <w:pStyle w:val="Compact"/>
              <w:jc w:val="center"/>
            </w:pPr>
            <w:r>
              <w:t xml:space="preserve">27%</w:t>
            </w:r>
          </w:p>
        </w:tc>
      </w:tr>
      <w:tr>
        <w:tc>
          <w:tcPr/>
          <w:p>
            <w:pPr>
              <w:pStyle w:val="Compact"/>
              <w:jc w:val="left"/>
            </w:pPr>
            <w:r>
              <w:rPr>
                <w:rFonts w:hint="eastAsia"/>
              </w:rPr>
              <w:t xml:space="preserve">サプライヤー提示リードタイム</w:t>
            </w:r>
          </w:p>
        </w:tc>
        <w:tc>
          <w:tcPr/>
          <w:p>
            <w:pPr>
              <w:pStyle w:val="Compact"/>
              <w:jc w:val="center"/>
            </w:pPr>
            <w:r>
              <w:rPr>
                <w:rFonts w:hint="eastAsia"/>
              </w:rPr>
              <w:t xml:space="preserve">8週間</w:t>
            </w:r>
          </w:p>
        </w:tc>
        <w:tc>
          <w:tcPr/>
          <w:p>
            <w:pPr>
              <w:pStyle w:val="Compact"/>
              <w:jc w:val="center"/>
            </w:pPr>
            <w:r>
              <w:rPr>
                <w:rFonts w:hint="eastAsia"/>
              </w:rPr>
              <w:t xml:space="preserve">9週間</w:t>
            </w:r>
          </w:p>
        </w:tc>
        <w:tc>
          <w:tcPr/>
          <w:p>
            <w:pPr>
              <w:pStyle w:val="Compact"/>
              <w:jc w:val="center"/>
            </w:pPr>
            <w:r>
              <w:rPr>
                <w:rFonts w:hint="eastAsia"/>
              </w:rPr>
              <w:t xml:space="preserve">7週間</w:t>
            </w:r>
          </w:p>
        </w:tc>
        <w:tc>
          <w:tcPr/>
          <w:p>
            <w:pPr>
              <w:pStyle w:val="Compact"/>
              <w:jc w:val="center"/>
            </w:pPr>
            <w:r>
              <w:rPr>
                <w:rFonts w:hint="eastAsia"/>
              </w:rPr>
              <w:t xml:space="preserve">10週間</w:t>
            </w:r>
          </w:p>
        </w:tc>
      </w:tr>
      <w:tr>
        <w:tc>
          <w:tcPr/>
          <w:p>
            <w:pPr>
              <w:pStyle w:val="Compact"/>
              <w:jc w:val="left"/>
            </w:pPr>
            <w:r>
              <w:rPr>
                <w:rFonts w:hint="eastAsia"/>
              </w:rPr>
              <w:t xml:space="preserve">昨年の観測範囲</w:t>
            </w:r>
          </w:p>
        </w:tc>
        <w:tc>
          <w:tcPr/>
          <w:p>
            <w:pPr>
              <w:pStyle w:val="Compact"/>
              <w:jc w:val="center"/>
            </w:pPr>
            <w:r>
              <w:rPr>
                <w:rFonts w:hint="eastAsia"/>
              </w:rPr>
              <w:t xml:space="preserve">7～14週間</w:t>
            </w:r>
          </w:p>
        </w:tc>
        <w:tc>
          <w:tcPr/>
          <w:p>
            <w:pPr>
              <w:pStyle w:val="Compact"/>
              <w:jc w:val="center"/>
            </w:pPr>
            <w:r>
              <w:rPr>
                <w:rFonts w:hint="eastAsia"/>
              </w:rPr>
              <w:t xml:space="preserve">8～13週間</w:t>
            </w:r>
          </w:p>
        </w:tc>
        <w:tc>
          <w:tcPr/>
          <w:p>
            <w:pPr>
              <w:pStyle w:val="Compact"/>
              <w:jc w:val="center"/>
            </w:pPr>
            <w:r>
              <w:rPr>
                <w:rFonts w:hint="eastAsia"/>
              </w:rPr>
              <w:t xml:space="preserve">6～11週間</w:t>
            </w:r>
          </w:p>
        </w:tc>
        <w:tc>
          <w:tcPr/>
          <w:p>
            <w:pPr>
              <w:pStyle w:val="Compact"/>
              <w:jc w:val="center"/>
            </w:pPr>
            <w:r>
              <w:rPr>
                <w:rFonts w:hint="eastAsia"/>
              </w:rPr>
              <w:t xml:space="preserve">9～16週間</w:t>
            </w:r>
          </w:p>
        </w:tc>
      </w:tr>
      <w:tr>
        <w:tc>
          <w:tcPr/>
          <w:p>
            <w:pPr>
              <w:pStyle w:val="Compact"/>
              <w:jc w:val="left"/>
            </w:pPr>
            <w:r>
              <w:rPr>
                <w:rFonts w:hint="eastAsia"/>
              </w:rPr>
              <w:t xml:space="preserve">定価時の粗利益率</w:t>
            </w:r>
          </w:p>
        </w:tc>
        <w:tc>
          <w:tcPr/>
          <w:p>
            <w:pPr>
              <w:pStyle w:val="Compact"/>
              <w:jc w:val="center"/>
            </w:pPr>
            <w:r>
              <w:t xml:space="preserve">52%</w:t>
            </w:r>
          </w:p>
        </w:tc>
        <w:tc>
          <w:tcPr/>
          <w:p>
            <w:pPr>
              <w:pStyle w:val="Compact"/>
              <w:jc w:val="center"/>
            </w:pPr>
            <w:r>
              <w:t xml:space="preserve">49%</w:t>
            </w:r>
          </w:p>
        </w:tc>
        <w:tc>
          <w:tcPr/>
          <w:p>
            <w:pPr>
              <w:pStyle w:val="Compact"/>
              <w:jc w:val="center"/>
            </w:pPr>
            <w:r>
              <w:t xml:space="preserve">56%</w:t>
            </w:r>
          </w:p>
        </w:tc>
        <w:tc>
          <w:tcPr/>
          <w:p>
            <w:pPr>
              <w:pStyle w:val="Compact"/>
              <w:jc w:val="center"/>
            </w:pPr>
            <w:r>
              <w:t xml:space="preserve">50%</w:t>
            </w:r>
          </w:p>
        </w:tc>
      </w:tr>
      <w:tr>
        <w:tc>
          <w:tcPr/>
          <w:p>
            <w:pPr>
              <w:pStyle w:val="Compact"/>
              <w:jc w:val="left"/>
            </w:pPr>
            <w:r>
              <w:rPr>
                <w:rFonts w:hint="eastAsia"/>
              </w:rPr>
              <w:t xml:space="preserve">期待返品率</w:t>
            </w:r>
          </w:p>
        </w:tc>
        <w:tc>
          <w:tcPr/>
          <w:p>
            <w:pPr>
              <w:pStyle w:val="Compact"/>
              <w:jc w:val="center"/>
            </w:pPr>
            <w:r>
              <w:t xml:space="preserve">5.1%</w:t>
            </w:r>
          </w:p>
        </w:tc>
        <w:tc>
          <w:tcPr/>
          <w:p>
            <w:pPr>
              <w:pStyle w:val="Compact"/>
              <w:jc w:val="center"/>
            </w:pPr>
            <w:r>
              <w:t xml:space="preserve">7.8%</w:t>
            </w:r>
          </w:p>
        </w:tc>
        <w:tc>
          <w:tcPr/>
          <w:p>
            <w:pPr>
              <w:pStyle w:val="Compact"/>
              <w:jc w:val="center"/>
            </w:pPr>
            <w:r>
              <w:t xml:space="preserve">4.2%</w:t>
            </w:r>
          </w:p>
        </w:tc>
        <w:tc>
          <w:tcPr/>
          <w:p>
            <w:pPr>
              <w:pStyle w:val="Compact"/>
              <w:jc w:val="center"/>
            </w:pPr>
            <w:r>
              <w:t xml:space="preserve">6.4%</w:t>
            </w:r>
          </w:p>
        </w:tc>
      </w:tr>
    </w:tbl>
    <w:p>
      <w:pPr>
        <w:pStyle w:val="BodyText"/>
      </w:pPr>
      <w:r>
        <w:rPr>
          <w:rFonts w:hint="eastAsia"/>
        </w:rPr>
        <w:t xml:space="preserve">在庫記録にもノイズが含まれていた。四半期ごとの実地棚卸では、倉庫ごとに1.3パーセントから3.8パーセントの範囲で不一致が見つかっていた。一部の商品は破損していたり、適切に分類されずに返品されたり、後にキャンセルされた小売業者プロモーション用に確保されたりしていた。オペレーション部門は追加のスキャンおよび出荷可視化技術の導入を望んでいたが、120万ドルのこのプロジェクトは8月の購入決定には実質的な影響を与えない見込みだった。</w:t>
      </w:r>
    </w:p>
    <w:bookmarkEnd w:id="10"/>
    <w:bookmarkStart w:id="11" w:name="サプライの選択肢"/>
    <w:p>
      <w:pPr>
        <w:pStyle w:val="Heading1"/>
      </w:pPr>
      <w:r>
        <w:rPr>
          <w:rFonts w:hint="eastAsia"/>
        </w:rPr>
        <w:t xml:space="preserve">サプライの選択肢</w:t>
      </w:r>
    </w:p>
    <w:p>
      <w:pPr>
        <w:pStyle w:val="FirstParagraph"/>
      </w:pPr>
      <w:r>
        <w:rPr>
          <w:rFonts w:hint="eastAsia"/>
        </w:rPr>
        <w:t xml:space="preserve">ノーススターの主要サプライヤーは最も低い単位コストを提供していたが、フルコンテナ数量での大量発注を必要としていた。メキシコの代替製造業者は2つの製品を4週間のリードタイムで生産できたが、コストは16パーセントから22パーセント高く、初期の歩留まりは不確実だった。ポーランドのサプライヤーは強い品質実績を持つプレミアム清浄機を提供していたが、為替変動や欧州の輸送混乱が着地コストを変化させる可能性があった。</w:t>
      </w:r>
    </w:p>
    <w:p>
      <w:pPr>
        <w:pStyle w:val="BodyText"/>
      </w:pPr>
      <w:r>
        <w:rPr>
          <w:rFonts w:hint="eastAsia"/>
        </w:rPr>
        <w:t xml:space="preserve">輸送の選択肢はさらに一層を加えた。海上輸送は最も安価だったが、港湾混雑、嵐、設備故障、労働争議、税関検査が到着を遅らせる可能性があった。西海岸からノーススターの中央配送センターまでの鉄道輸送はトラック輸送より安価だったが、より遅く予測しにくかった。航空輸送は品薄を救済できたが、単位当たり34ドルから57ドルを追加し、季節発注全体をまかなうのに十分な容量は利用できなかった。</w:t>
      </w:r>
    </w:p>
    <w:tbl>
      <w:tblPr>
        <w:tblStyle w:val="Table"/>
        <w:tblW w:type="pct" w:w="4920"/>
        <w:tblLayout w:type="fixed"/>
        <w:tblLook w:firstRow="1" w:lastRow="0" w:firstColumn="0" w:lastColumn="0" w:noHBand="0" w:noVBand="0" w:val="0020"/>
      </w:tblPr>
      <w:tblGrid>
        <w:gridCol w:w="1964"/>
        <w:gridCol w:w="1584"/>
        <w:gridCol w:w="1584"/>
        <w:gridCol w:w="2661"/>
      </w:tblGrid>
      <w:tr>
        <w:trPr>
          <w:tblHeader w:val="on"/>
        </w:trPr>
        <w:tc>
          <w:tcPr/>
          <w:p>
            <w:pPr>
              <w:pStyle w:val="Compact"/>
              <w:jc w:val="left"/>
            </w:pPr>
            <w:r>
              <w:rPr>
                <w:rFonts w:hint="eastAsia"/>
              </w:rPr>
              <w:t xml:space="preserve">選択肢</w:t>
            </w:r>
          </w:p>
        </w:tc>
        <w:tc>
          <w:tcPr/>
          <w:p>
            <w:pPr>
              <w:pStyle w:val="Compact"/>
              <w:jc w:val="left"/>
            </w:pPr>
            <w:r>
              <w:rPr>
                <w:rFonts w:hint="eastAsia"/>
              </w:rPr>
              <w:t xml:space="preserve">追加コスト</w:t>
            </w:r>
          </w:p>
        </w:tc>
        <w:tc>
          <w:tcPr/>
          <w:p>
            <w:pPr>
              <w:pStyle w:val="Compact"/>
              <w:jc w:val="left"/>
            </w:pPr>
            <w:r>
              <w:rPr>
                <w:rFonts w:hint="eastAsia"/>
              </w:rPr>
              <w:t xml:space="preserve">典型的な所要時間</w:t>
            </w:r>
          </w:p>
        </w:tc>
        <w:tc>
          <w:tcPr/>
          <w:p>
            <w:pPr>
              <w:pStyle w:val="Compact"/>
              <w:jc w:val="center"/>
            </w:pPr>
            <w:r>
              <w:rPr>
                <w:rFonts w:hint="eastAsia"/>
              </w:rPr>
              <w:t xml:space="preserve">主な懸念事項</w:t>
            </w:r>
          </w:p>
        </w:tc>
      </w:tr>
      <w:tr>
        <w:tc>
          <w:tcPr/>
          <w:p>
            <w:pPr>
              <w:pStyle w:val="Compact"/>
              <w:jc w:val="left"/>
            </w:pPr>
            <w:r>
              <w:rPr>
                <w:rFonts w:hint="eastAsia"/>
              </w:rPr>
              <w:t xml:space="preserve">主要アジアサプライヤー</w:t>
            </w:r>
          </w:p>
        </w:tc>
        <w:tc>
          <w:tcPr/>
          <w:p>
            <w:pPr>
              <w:pStyle w:val="Compact"/>
              <w:jc w:val="left"/>
            </w:pPr>
            <w:r>
              <w:rPr>
                <w:rFonts w:hint="eastAsia"/>
              </w:rPr>
              <w:t xml:space="preserve">基準値</w:t>
            </w:r>
          </w:p>
        </w:tc>
        <w:tc>
          <w:tcPr/>
          <w:p>
            <w:pPr>
              <w:pStyle w:val="Compact"/>
              <w:jc w:val="left"/>
            </w:pPr>
            <w:r>
              <w:rPr>
                <w:rFonts w:hint="eastAsia"/>
              </w:rPr>
              <w:t xml:space="preserve">7～11週間</w:t>
            </w:r>
          </w:p>
        </w:tc>
        <w:tc>
          <w:tcPr/>
          <w:p>
            <w:pPr>
              <w:pStyle w:val="Compact"/>
              <w:jc w:val="center"/>
            </w:pPr>
            <w:r>
              <w:rPr>
                <w:rFonts w:hint="eastAsia"/>
              </w:rPr>
              <w:t xml:space="preserve">長期コミットメントと混乱リスクへの露出</w:t>
            </w:r>
          </w:p>
        </w:tc>
      </w:tr>
      <w:tr>
        <w:tc>
          <w:tcPr/>
          <w:p>
            <w:pPr>
              <w:pStyle w:val="Compact"/>
              <w:jc w:val="left"/>
            </w:pPr>
            <w:r>
              <w:t xml:space="preserve">メキシコのバックアップサプライヤ</w:t>
            </w:r>
          </w:p>
        </w:tc>
        <w:tc>
          <w:tcPr/>
          <w:p>
            <w:pPr>
              <w:pStyle w:val="Compact"/>
              <w:jc w:val="left"/>
            </w:pPr>
            <w:r>
              <w:t xml:space="preserve">ー </w:t>
            </w:r>
            <w:r>
              <w:rPr>
                <w:rFonts w:hint="eastAsia"/>
              </w:rPr>
              <w:t xml:space="preserve">+16%～+22%</w:t>
            </w:r>
            <w:r>
              <w:t xml:space="preserve"> 4</w:t>
            </w:r>
          </w:p>
        </w:tc>
        <w:tc>
          <w:tcPr/>
          <w:p>
            <w:pPr>
              <w:pStyle w:val="Compact"/>
              <w:jc w:val="left"/>
            </w:pPr>
            <w:r>
              <w:rPr>
                <w:rFonts w:hint="eastAsia"/>
              </w:rPr>
              <w:t xml:space="preserve">～6週間</w:t>
            </w:r>
          </w:p>
        </w:tc>
        <w:tc>
          <w:tcPr/>
          <w:p>
            <w:pPr>
              <w:pStyle w:val="Compact"/>
              <w:jc w:val="center"/>
            </w:pPr>
            <w:r>
              <w:rPr>
                <w:rFonts w:hint="eastAsia"/>
              </w:rPr>
              <w:t xml:space="preserve">品質歩留まりと限られた容量</w:t>
            </w:r>
          </w:p>
        </w:tc>
      </w:tr>
      <w:tr>
        <w:tc>
          <w:tcPr/>
          <w:p>
            <w:pPr>
              <w:pStyle w:val="Compact"/>
              <w:jc w:val="left"/>
            </w:pPr>
            <w:r>
              <w:rPr>
                <w:rFonts w:hint="eastAsia"/>
              </w:rPr>
              <w:t xml:space="preserve">航空輸送予備枠</w:t>
            </w:r>
          </w:p>
        </w:tc>
        <w:tc>
          <w:tcPr/>
          <w:p>
            <w:pPr>
              <w:pStyle w:val="Compact"/>
              <w:jc w:val="left"/>
            </w:pPr>
            <w:r>
              <w:rPr>
                <w:rFonts w:hint="eastAsia"/>
              </w:rPr>
              <w:t xml:space="preserve">+単位当たり$34～$57</w:t>
            </w:r>
          </w:p>
        </w:tc>
        <w:tc>
          <w:tcPr/>
          <w:p>
            <w:pPr>
              <w:pStyle w:val="Compact"/>
              <w:jc w:val="left"/>
            </w:pPr>
            <w:r>
              <w:rPr>
                <w:rFonts w:hint="eastAsia"/>
              </w:rPr>
              <w:t xml:space="preserve">4～8日</w:t>
            </w:r>
          </w:p>
        </w:tc>
        <w:tc>
          <w:tcPr/>
          <w:p>
            <w:pPr>
              <w:pStyle w:val="Compact"/>
              <w:jc w:val="center"/>
            </w:pPr>
            <w:r>
              <w:rPr>
                <w:rFonts w:hint="eastAsia"/>
              </w:rPr>
              <w:t xml:space="preserve">コストと限られた容量</w:t>
            </w:r>
          </w:p>
        </w:tc>
      </w:tr>
      <w:tr>
        <w:tc>
          <w:tcPr/>
          <w:p>
            <w:pPr>
              <w:pStyle w:val="Compact"/>
              <w:jc w:val="left"/>
            </w:pPr>
            <w:r>
              <w:rPr>
                <w:rFonts w:hint="eastAsia"/>
              </w:rPr>
              <w:t xml:space="preserve">追加の国内緩衝在庫</w:t>
            </w:r>
          </w:p>
        </w:tc>
        <w:tc>
          <w:tcPr/>
          <w:p>
            <w:pPr>
              <w:pStyle w:val="Compact"/>
              <w:jc w:val="left"/>
            </w:pPr>
            <w:r>
              <w:rPr>
                <w:rFonts w:hint="eastAsia"/>
              </w:rPr>
              <w:t xml:space="preserve">580万ドルの運転資本</w:t>
            </w:r>
          </w:p>
        </w:tc>
        <w:tc>
          <w:tcPr/>
          <w:p>
            <w:pPr>
              <w:pStyle w:val="Compact"/>
              <w:jc w:val="left"/>
            </w:pPr>
            <w:r>
              <w:rPr>
                <w:rFonts w:hint="eastAsia"/>
              </w:rPr>
              <w:t xml:space="preserve">即時利用可能</w:t>
            </w:r>
          </w:p>
        </w:tc>
        <w:tc>
          <w:tcPr/>
          <w:p>
            <w:pPr>
              <w:pStyle w:val="Compact"/>
              <w:jc w:val="center"/>
            </w:pPr>
            <w:r>
              <w:rPr>
                <w:rFonts w:hint="eastAsia"/>
              </w:rPr>
              <w:t xml:space="preserve">陳腐化と倉庫スペース</w:t>
            </w:r>
          </w:p>
        </w:tc>
      </w:tr>
      <w:tr>
        <w:tc>
          <w:tcPr/>
          <w:p>
            <w:pPr>
              <w:pStyle w:val="Compact"/>
              <w:jc w:val="left"/>
            </w:pPr>
            <w:r>
              <w:rPr>
                <w:rFonts w:hint="eastAsia"/>
              </w:rPr>
              <w:t xml:space="preserve">出荷可視化プラットフォーム</w:t>
            </w:r>
          </w:p>
        </w:tc>
        <w:tc>
          <w:tcPr/>
          <w:p>
            <w:pPr>
              <w:pStyle w:val="Compact"/>
              <w:jc w:val="left"/>
            </w:pPr>
            <w:r>
              <w:rPr>
                <w:rFonts w:hint="eastAsia"/>
              </w:rPr>
              <w:t xml:space="preserve">120万ドルの導入費+手数料</w:t>
            </w:r>
          </w:p>
        </w:tc>
        <w:tc>
          <w:tcPr/>
          <w:p>
            <w:pPr>
              <w:pStyle w:val="Compact"/>
              <w:jc w:val="left"/>
            </w:pPr>
            <w:r>
              <w:rPr>
                <w:rFonts w:hint="eastAsia"/>
              </w:rPr>
              <w:t xml:space="preserve">6か月の実装期間</w:t>
            </w:r>
          </w:p>
        </w:tc>
        <w:tc>
          <w:tcPr/>
          <w:p>
            <w:pPr>
              <w:pStyle w:val="Compact"/>
              <w:jc w:val="center"/>
            </w:pPr>
            <w:r>
              <w:rPr>
                <w:rFonts w:hint="eastAsia"/>
              </w:rPr>
              <w:t xml:space="preserve">利益はホリデー決定の後に到来</w:t>
            </w:r>
          </w:p>
        </w:tc>
      </w:tr>
    </w:tbl>
    <w:p>
      <w:pPr>
        <w:pStyle w:val="BodyText"/>
      </w:pPr>
      <w:r>
        <w:rPr>
          <w:rFonts w:hint="eastAsia"/>
        </w:rPr>
        <w:t xml:space="preserve">購買部門は、複数のサプライヤーへ発注を分割することを提案した。品質責任者は、サプライヤーを追加すると検査業務、部品の不一致、返品確率の上昇が生じると警告した。財務部門は、代替供給源が混乱時に本当に利用可能である場合にのみ、多様化には価値があると主張した。営業チームは、コスト上昇が競合他社がホリデープロモーションを準備している最中に価格上昇を強いることになるのではないかと懸念した。</w:t>
      </w:r>
    </w:p>
    <w:bookmarkEnd w:id="11"/>
    <w:bookmarkStart w:id="12" w:name="需要の管理あるいはブランドの毀損"/>
    <w:p>
      <w:pPr>
        <w:pStyle w:val="Heading1"/>
      </w:pPr>
      <w:r>
        <w:rPr>
          <w:rFonts w:hint="eastAsia"/>
        </w:rPr>
        <w:t xml:space="preserve">需要の管理――あるいはブランドの毀損</w:t>
      </w:r>
    </w:p>
    <w:p>
      <w:pPr>
        <w:pStyle w:val="FirstParagraph"/>
      </w:pPr>
      <w:r>
        <w:rPr>
          <w:rFonts w:hint="eastAsia"/>
        </w:rPr>
        <w:t xml:space="preserve">最高マーケティング責任者(CMO)は、価格とプロモーションスケジュールを利用して製品の可用性のバランスを取ることを提案した。清浄機の在庫が逼迫していると見られる場合、ノーススターは広告を減らすか、オンライン価格を上げるか、長期的関係が最も強い小売業者向けに商品を確保することができた。ファンが積み上がった場合には、クーポン、バンドル、または有料のソーシャルメディアキャンペーンを提供できた。しかし、それぞれの行動には結果が伴った。価格上昇は在庫を守るかもしれないが市場シェアを減らす可能性があり、値引きは在庫を一掃するかもしれないが顧客にプロモーションを待つことを学習させる可能性があった。</w:t>
      </w:r>
    </w:p>
    <w:p>
      <w:pPr>
        <w:pStyle w:val="BodyText"/>
      </w:pPr>
      <w:r>
        <w:rPr>
          <w:rFonts w:hint="eastAsia"/>
        </w:rPr>
        <w:t xml:space="preserve">小売契約は配分を複雑にした。2つの全国チェーンは少なくとも95パーセントの期限内・完全納品を期待しており、不足に対しては違約金を課す可能性があった。ノーススターのウェブサイトはより高い利益率と需要に関する即時情報をもたらしたが、直接販売への在庫転用は小売業者との関係を損なう可能性があった。小規模ディーラーは、大口顧客が優先されるため、人気商品を日常的に奪われていると主張した。</w:t>
      </w:r>
    </w:p>
    <w:tbl>
      <w:tblPr>
        <w:tblStyle w:val="Table"/>
        <w:tblW w:type="pct" w:w="4908"/>
        <w:tblLayout w:type="fixed"/>
        <w:tblLook w:firstRow="1" w:lastRow="0" w:firstColumn="0" w:lastColumn="0" w:noHBand="0" w:noVBand="0" w:val="0020"/>
      </w:tblPr>
      <w:tblGrid>
        <w:gridCol w:w="2906"/>
        <w:gridCol w:w="2107"/>
        <w:gridCol w:w="2761"/>
      </w:tblGrid>
      <w:tr>
        <w:trPr>
          <w:tblHeader w:val="on"/>
        </w:trPr>
        <w:tc>
          <w:tcPr/>
          <w:p>
            <w:pPr>
              <w:pStyle w:val="Compact"/>
              <w:jc w:val="left"/>
            </w:pPr>
            <w:r>
              <w:rPr>
                <w:rFonts w:hint="eastAsia"/>
              </w:rPr>
              <w:t xml:space="preserve">可能な行動</w:t>
            </w:r>
          </w:p>
        </w:tc>
        <w:tc>
          <w:tcPr/>
          <w:p>
            <w:pPr>
              <w:pStyle w:val="Compact"/>
            </w:pPr>
            <w:r>
              <w:rPr>
                <w:rFonts w:hint="eastAsia"/>
              </w:rPr>
              <w:t xml:space="preserve">推定される短期的効果</w:t>
            </w:r>
            <w:r>
              <w:t xml:space="preserve"> </w:t>
            </w:r>
            <w:r>
              <w:rPr>
                <w:rFonts w:hint="eastAsia"/>
              </w:rPr>
              <w:t xml:space="preserve">経</w:t>
            </w:r>
          </w:p>
        </w:tc>
        <w:tc>
          <w:tcPr/>
          <w:p>
            <w:pPr>
              <w:pStyle w:val="Compact"/>
              <w:jc w:val="left"/>
            </w:pPr>
            <w:r>
              <w:rPr>
                <w:rFonts w:hint="eastAsia"/>
              </w:rPr>
              <w:t xml:space="preserve">営陣が提起した懸念</w:t>
            </w:r>
          </w:p>
        </w:tc>
      </w:tr>
      <w:tr>
        <w:tc>
          <w:tcPr/>
          <w:p>
            <w:pPr>
              <w:pStyle w:val="Compact"/>
              <w:jc w:val="left"/>
            </w:pPr>
            <w:r>
              <w:rPr>
                <w:rFonts w:hint="eastAsia"/>
              </w:rPr>
              <w:t xml:space="preserve">清浄機価格を$20引き上げ</w:t>
            </w:r>
          </w:p>
        </w:tc>
        <w:tc>
          <w:tcPr/>
          <w:p>
            <w:pPr>
              <w:pStyle w:val="Compact"/>
            </w:pPr>
            <w:r>
              <w:rPr>
                <w:rFonts w:hint="eastAsia"/>
              </w:rPr>
              <w:t xml:space="preserve">需要</w:t>
            </w:r>
            <w:r>
              <w:t xml:space="preserve"> </w:t>
            </w:r>
            <w:r>
              <w:rPr>
                <w:rFonts w:hint="eastAsia"/>
              </w:rPr>
              <w:t xml:space="preserve">7%～15%減少</w:t>
            </w:r>
            <w:r>
              <w:t xml:space="preserve"> </w:t>
            </w:r>
            <w:r>
              <w:rPr>
                <w:rFonts w:hint="eastAsia"/>
              </w:rPr>
              <w:t xml:space="preserve">競</w:t>
            </w:r>
          </w:p>
        </w:tc>
        <w:tc>
          <w:tcPr/>
          <w:p>
            <w:pPr>
              <w:pStyle w:val="Compact"/>
              <w:jc w:val="left"/>
            </w:pPr>
            <w:r>
              <w:rPr>
                <w:rFonts w:hint="eastAsia"/>
              </w:rPr>
              <w:t xml:space="preserve">合他社が顧客を獲得する可能性</w:t>
            </w:r>
          </w:p>
        </w:tc>
      </w:tr>
      <w:tr>
        <w:tc>
          <w:tcPr/>
          <w:p>
            <w:pPr>
              <w:pStyle w:val="Compact"/>
              <w:jc w:val="left"/>
            </w:pPr>
            <w:r>
              <w:rPr>
                <w:rFonts w:hint="eastAsia"/>
              </w:rPr>
              <w:t xml:space="preserve">ファンの20%プロモーションを提供</w:t>
            </w:r>
            <w:r>
              <w:t xml:space="preserve"> </w:t>
            </w:r>
            <w:r>
              <w:rPr>
                <w:rFonts w:hint="eastAsia"/>
              </w:rPr>
              <w:t xml:space="preserve">需</w:t>
            </w:r>
          </w:p>
        </w:tc>
        <w:tc>
          <w:tcPr/>
          <w:p>
            <w:pPr>
              <w:pStyle w:val="Compact"/>
            </w:pPr>
            <w:r>
              <w:rPr>
                <w:rFonts w:hint="eastAsia"/>
              </w:rPr>
              <w:t xml:space="preserve">要</w:t>
            </w:r>
            <w:r>
              <w:t xml:space="preserve"> </w:t>
            </w:r>
            <w:r>
              <w:rPr>
                <w:rFonts w:hint="eastAsia"/>
              </w:rPr>
              <w:t xml:space="preserve">18%～35%増加</w:t>
            </w:r>
            <w:r>
              <w:t xml:space="preserve"> </w:t>
            </w:r>
            <w:r>
              <w:rPr>
                <w:rFonts w:hint="eastAsia"/>
              </w:rPr>
              <w:t xml:space="preserve">利益</w:t>
            </w:r>
          </w:p>
        </w:tc>
        <w:tc>
          <w:tcPr/>
          <w:p>
            <w:pPr>
              <w:pStyle w:val="Compact"/>
              <w:jc w:val="left"/>
            </w:pPr>
            <w:r>
              <w:rPr>
                <w:rFonts w:hint="eastAsia"/>
              </w:rPr>
              <w:t xml:space="preserve">損失;将来の参照価格</w:t>
            </w:r>
          </w:p>
        </w:tc>
      </w:tr>
      <w:tr>
        <w:tc>
          <w:tcPr/>
          <w:p>
            <w:pPr>
              <w:pStyle w:val="Compact"/>
              <w:jc w:val="left"/>
            </w:pPr>
            <w:r>
              <w:rPr>
                <w:rFonts w:hint="eastAsia"/>
              </w:rPr>
              <w:t xml:space="preserve">清浄機の広告を削減</w:t>
            </w:r>
          </w:p>
        </w:tc>
        <w:tc>
          <w:tcPr/>
          <w:p>
            <w:pPr>
              <w:pStyle w:val="Compact"/>
            </w:pPr>
            <w:r>
              <w:rPr>
                <w:rFonts w:hint="eastAsia"/>
              </w:rPr>
              <w:t xml:space="preserve">需要</w:t>
            </w:r>
            <w:r>
              <w:t xml:space="preserve"> </w:t>
            </w:r>
            <w:r>
              <w:rPr>
                <w:rFonts w:hint="eastAsia"/>
              </w:rPr>
              <w:t xml:space="preserve">5%～12%減少</w:t>
            </w:r>
            <w:r>
              <w:t xml:space="preserve"> ブ</w:t>
            </w:r>
          </w:p>
        </w:tc>
        <w:tc>
          <w:tcPr/>
          <w:p>
            <w:pPr>
              <w:pStyle w:val="Compact"/>
              <w:jc w:val="left"/>
            </w:pPr>
            <w:r>
              <w:rPr>
                <w:rFonts w:hint="eastAsia"/>
              </w:rPr>
              <w:t xml:space="preserve">ランドの勢い喪失</w:t>
            </w:r>
          </w:p>
        </w:tc>
      </w:tr>
      <w:tr>
        <w:tc>
          <w:tcPr/>
          <w:p>
            <w:pPr>
              <w:pStyle w:val="Compact"/>
              <w:jc w:val="left"/>
            </w:pPr>
            <w:r>
              <w:rPr>
                <w:rFonts w:hint="eastAsia"/>
              </w:rPr>
              <w:t xml:space="preserve">大手小売業者向けに在庫を確保</w:t>
            </w:r>
          </w:p>
        </w:tc>
        <w:tc>
          <w:tcPr/>
          <w:p>
            <w:pPr>
              <w:pStyle w:val="Compact"/>
            </w:pPr>
            <w:r>
              <w:rPr>
                <w:rFonts w:hint="eastAsia"/>
              </w:rPr>
              <w:t xml:space="preserve">契約違約金の減少</w:t>
            </w:r>
            <w:r>
              <w:t xml:space="preserve"> </w:t>
            </w:r>
            <w:r>
              <w:rPr>
                <w:rFonts w:hint="eastAsia"/>
              </w:rPr>
              <w:t xml:space="preserve">直</w:t>
            </w:r>
          </w:p>
        </w:tc>
        <w:tc>
          <w:tcPr/>
          <w:p>
            <w:pPr>
              <w:pStyle w:val="Compact"/>
              <w:jc w:val="left"/>
            </w:pPr>
            <w:r>
              <w:rPr>
                <w:rFonts w:hint="eastAsia"/>
              </w:rPr>
              <w:t xml:space="preserve">接チャネルの利益率低下</w:t>
            </w:r>
          </w:p>
        </w:tc>
      </w:tr>
      <w:tr>
        <w:tc>
          <w:tcPr/>
          <w:p>
            <w:pPr>
              <w:pStyle w:val="Compact"/>
              <w:jc w:val="left"/>
            </w:pPr>
            <w:r>
              <w:rPr>
                <w:rFonts w:hint="eastAsia"/>
              </w:rPr>
              <w:t xml:space="preserve">サプライヤー発注の一部を遅延</w:t>
            </w:r>
          </w:p>
        </w:tc>
        <w:tc>
          <w:tcPr/>
          <w:p>
            <w:pPr>
              <w:pStyle w:val="Compact"/>
            </w:pPr>
            <w:r>
              <w:rPr>
                <w:rFonts w:hint="eastAsia"/>
              </w:rPr>
              <w:t xml:space="preserve">過剰在庫リスクの低減</w:t>
            </w:r>
            <w:r>
              <w:t xml:space="preserve"> </w:t>
            </w:r>
            <w:r>
              <w:rPr>
                <w:rFonts w:hint="eastAsia"/>
              </w:rPr>
              <w:t xml:space="preserve">生</w:t>
            </w:r>
          </w:p>
        </w:tc>
        <w:tc>
          <w:tcPr/>
          <w:p>
            <w:pPr>
              <w:pStyle w:val="Compact"/>
              <w:jc w:val="left"/>
            </w:pPr>
            <w:r>
              <w:rPr>
                <w:rFonts w:hint="eastAsia"/>
              </w:rPr>
              <w:t xml:space="preserve">産枠を失う可能性</w:t>
            </w:r>
          </w:p>
        </w:tc>
      </w:tr>
    </w:tbl>
    <w:bookmarkEnd w:id="12"/>
    <w:bookmarkStart w:id="13" w:name="現金容量組織的インセンティブ"/>
    <w:p>
      <w:pPr>
        <w:pStyle w:val="Heading1"/>
      </w:pPr>
      <w:r>
        <w:rPr>
          <w:rFonts w:hint="eastAsia"/>
        </w:rPr>
        <w:t xml:space="preserve">現金、容量、組織的インセンティブ</w:t>
      </w:r>
    </w:p>
    <w:p>
      <w:pPr>
        <w:pStyle w:val="FirstParagraph"/>
      </w:pPr>
      <w:r>
        <w:rPr>
          <w:rFonts w:hint="eastAsia"/>
        </w:rPr>
        <w:t xml:space="preserve">ノーススターは変動金利で価格設定されたリボルビング信用枠で在庫を融資していた。在庫保有には金利以上のものが伴った――倉庫保管、荷役、保険、破損、盗難、返品、そして新モデルが旧型を魅力の低いものにするリスクである。同社の主要配送センターは、提案された計画の下で11月に使用可能容量の96パーセントに達すると予測されていた。オーバーフロー用のスペースは利用可能だったが、通常の荷役コストのほぼ2倍であった。</w:t>
      </w:r>
    </w:p>
    <w:p>
      <w:pPr>
        <w:pStyle w:val="BodyText"/>
      </w:pPr>
      <w:r>
        <w:rPr>
          <w:rFonts w:hint="eastAsia"/>
        </w:rPr>
        <w:t xml:space="preserve">社内の業績評価指標は同じ方向を指していなかった。営業マネージャーは売上成長とサービスレベルで報われていた。購買部門は一部単位コストで評価されていた。オペレーション部門は在庫を管理しつつ品切れを回避することを期待されていた。財務部門は現金転換と営業利益率を重視していた。マーケティング部門はトラフィック、コンバージョン、キャンペーン収益で評価されていた。各グループは、自らのスコアカードを用いて異なるホリデー計画を擁護することができた。</w:t>
      </w:r>
    </w:p>
    <w:tbl>
      <w:tblPr>
        <w:tblStyle w:val="Table"/>
        <w:tblW w:type="pct" w:w="4880"/>
        <w:tblLayout w:type="fixed"/>
        <w:tblLook w:firstRow="1" w:lastRow="0" w:firstColumn="0" w:lastColumn="0" w:noHBand="0" w:noVBand="0" w:val="0020"/>
      </w:tblPr>
      <w:tblGrid>
        <w:gridCol w:w="2576"/>
        <w:gridCol w:w="1717"/>
        <w:gridCol w:w="1717"/>
        <w:gridCol w:w="1717"/>
      </w:tblGrid>
      <w:tr>
        <w:trPr>
          <w:tblHeader w:val="on"/>
        </w:trPr>
        <w:tc>
          <w:tcPr/>
          <w:p>
            <w:pPr>
              <w:pStyle w:val="Compact"/>
              <w:jc w:val="left"/>
            </w:pPr>
            <w:r>
              <w:rPr>
                <w:rFonts w:hint="eastAsia"/>
              </w:rPr>
              <w:t xml:space="preserve">指標</w:t>
            </w:r>
          </w:p>
        </w:tc>
        <w:tc>
          <w:tcPr/>
          <w:p>
            <w:pPr>
              <w:pStyle w:val="Compact"/>
              <w:jc w:val="center"/>
            </w:pPr>
            <w:r>
              <w:rPr>
                <w:rFonts w:hint="eastAsia"/>
              </w:rPr>
              <w:t xml:space="preserve">2024年</w:t>
            </w:r>
          </w:p>
        </w:tc>
        <w:tc>
          <w:tcPr/>
          <w:p>
            <w:pPr>
              <w:pStyle w:val="Compact"/>
              <w:jc w:val="center"/>
            </w:pPr>
            <w:r>
              <w:rPr>
                <w:rFonts w:hint="eastAsia"/>
              </w:rPr>
              <w:t xml:space="preserve">2025年</w:t>
            </w:r>
          </w:p>
        </w:tc>
        <w:tc>
          <w:tcPr/>
          <w:p>
            <w:pPr>
              <w:pStyle w:val="Compact"/>
              <w:jc w:val="center"/>
            </w:pPr>
            <w:r>
              <w:rPr>
                <w:rFonts w:hint="eastAsia"/>
              </w:rPr>
              <w:t xml:space="preserve">2026年目標</w:t>
            </w:r>
          </w:p>
        </w:tc>
      </w:tr>
      <w:tr>
        <w:tc>
          <w:tcPr/>
          <w:p>
            <w:pPr>
              <w:pStyle w:val="Compact"/>
              <w:jc w:val="left"/>
            </w:pPr>
            <w:r>
              <w:rPr>
                <w:rFonts w:hint="eastAsia"/>
              </w:rPr>
              <w:t xml:space="preserve">売上高</w:t>
            </w:r>
          </w:p>
        </w:tc>
        <w:tc>
          <w:tcPr/>
          <w:p>
            <w:pPr>
              <w:pStyle w:val="Compact"/>
              <w:jc w:val="center"/>
            </w:pPr>
            <w:r>
              <w:t xml:space="preserve">$286M</w:t>
            </w:r>
          </w:p>
        </w:tc>
        <w:tc>
          <w:tcPr/>
          <w:p>
            <w:pPr>
              <w:pStyle w:val="Compact"/>
              <w:jc w:val="center"/>
            </w:pPr>
            <w:r>
              <w:t xml:space="preserve">$337M</w:t>
            </w:r>
          </w:p>
        </w:tc>
        <w:tc>
          <w:tcPr/>
          <w:p>
            <w:pPr>
              <w:pStyle w:val="Compact"/>
              <w:jc w:val="center"/>
            </w:pPr>
            <w:r>
              <w:t xml:space="preserve">$392M</w:t>
            </w:r>
          </w:p>
        </w:tc>
      </w:tr>
      <w:tr>
        <w:tc>
          <w:tcPr/>
          <w:p>
            <w:pPr>
              <w:pStyle w:val="Compact"/>
              <w:jc w:val="left"/>
            </w:pPr>
            <w:r>
              <w:rPr>
                <w:rFonts w:hint="eastAsia"/>
              </w:rPr>
              <w:t xml:space="preserve">年末在庫</w:t>
            </w:r>
          </w:p>
        </w:tc>
        <w:tc>
          <w:tcPr/>
          <w:p>
            <w:pPr>
              <w:pStyle w:val="Compact"/>
              <w:jc w:val="center"/>
            </w:pPr>
            <w:r>
              <w:t xml:space="preserve">$58M</w:t>
            </w:r>
          </w:p>
        </w:tc>
        <w:tc>
          <w:tcPr/>
          <w:p>
            <w:pPr>
              <w:pStyle w:val="Compact"/>
              <w:jc w:val="center"/>
            </w:pPr>
            <w:r>
              <w:t xml:space="preserve">$76M</w:t>
            </w:r>
          </w:p>
        </w:tc>
        <w:tc>
          <w:tcPr/>
          <w:p>
            <w:pPr>
              <w:pStyle w:val="Compact"/>
              <w:jc w:val="center"/>
            </w:pPr>
            <w:r>
              <w:t xml:space="preserve">≤ $82M</w:t>
            </w:r>
          </w:p>
        </w:tc>
      </w:tr>
      <w:tr>
        <w:tc>
          <w:tcPr/>
          <w:p>
            <w:pPr>
              <w:pStyle w:val="Compact"/>
              <w:jc w:val="left"/>
            </w:pPr>
            <w:r>
              <w:rPr>
                <w:rFonts w:hint="eastAsia"/>
              </w:rPr>
              <w:t xml:space="preserve">在庫回転率</w:t>
            </w:r>
          </w:p>
        </w:tc>
        <w:tc>
          <w:tcPr/>
          <w:p>
            <w:pPr>
              <w:pStyle w:val="Compact"/>
              <w:jc w:val="center"/>
            </w:pPr>
            <w:r>
              <w:t xml:space="preserve">4.7</w:t>
            </w:r>
          </w:p>
        </w:tc>
        <w:tc>
          <w:tcPr/>
          <w:p>
            <w:pPr>
              <w:pStyle w:val="Compact"/>
              <w:jc w:val="center"/>
            </w:pPr>
            <w:r>
              <w:t xml:space="preserve">4.2</w:t>
            </w:r>
          </w:p>
        </w:tc>
        <w:tc>
          <w:tcPr/>
          <w:p>
            <w:pPr>
              <w:pStyle w:val="Compact"/>
              <w:jc w:val="center"/>
            </w:pPr>
            <w:r>
              <w:t xml:space="preserve">4.8</w:t>
            </w:r>
          </w:p>
        </w:tc>
      </w:tr>
      <w:tr>
        <w:tc>
          <w:tcPr/>
          <w:p>
            <w:pPr>
              <w:pStyle w:val="Compact"/>
              <w:jc w:val="left"/>
            </w:pPr>
            <w:r>
              <w:rPr>
                <w:rFonts w:hint="eastAsia"/>
              </w:rPr>
              <w:t xml:space="preserve">期限内・完全納品率</w:t>
            </w:r>
          </w:p>
        </w:tc>
        <w:tc>
          <w:tcPr/>
          <w:p>
            <w:pPr>
              <w:pStyle w:val="Compact"/>
              <w:jc w:val="center"/>
            </w:pPr>
            <w:r>
              <w:t xml:space="preserve">91.4%</w:t>
            </w:r>
          </w:p>
        </w:tc>
        <w:tc>
          <w:tcPr/>
          <w:p>
            <w:pPr>
              <w:pStyle w:val="Compact"/>
              <w:jc w:val="center"/>
            </w:pPr>
            <w:r>
              <w:t xml:space="preserve">89.7%</w:t>
            </w:r>
          </w:p>
        </w:tc>
        <w:tc>
          <w:tcPr/>
          <w:p>
            <w:pPr>
              <w:pStyle w:val="Compact"/>
              <w:jc w:val="center"/>
            </w:pPr>
            <w:r>
              <w:t xml:space="preserve">95.0%</w:t>
            </w:r>
          </w:p>
        </w:tc>
      </w:tr>
      <w:tr>
        <w:tc>
          <w:tcPr/>
          <w:p>
            <w:pPr>
              <w:pStyle w:val="Compact"/>
              <w:jc w:val="left"/>
            </w:pPr>
            <w:r>
              <w:rPr>
                <w:rFonts w:hint="eastAsia"/>
              </w:rPr>
              <w:t xml:space="preserve">粗利益率</w:t>
            </w:r>
          </w:p>
        </w:tc>
        <w:tc>
          <w:tcPr/>
          <w:p>
            <w:pPr>
              <w:pStyle w:val="Compact"/>
              <w:jc w:val="center"/>
            </w:pPr>
            <w:r>
              <w:t xml:space="preserve">47.8%</w:t>
            </w:r>
          </w:p>
        </w:tc>
        <w:tc>
          <w:tcPr/>
          <w:p>
            <w:pPr>
              <w:pStyle w:val="Compact"/>
              <w:jc w:val="center"/>
            </w:pPr>
            <w:r>
              <w:t xml:space="preserve">45.9%</w:t>
            </w:r>
          </w:p>
        </w:tc>
        <w:tc>
          <w:tcPr/>
          <w:p>
            <w:pPr>
              <w:pStyle w:val="Compact"/>
              <w:jc w:val="center"/>
            </w:pPr>
            <w:r>
              <w:t xml:space="preserve">47.0%</w:t>
            </w:r>
          </w:p>
        </w:tc>
      </w:tr>
      <w:tr>
        <w:tc>
          <w:tcPr/>
          <w:p>
            <w:pPr>
              <w:pStyle w:val="Compact"/>
              <w:jc w:val="left"/>
            </w:pPr>
            <w:r>
              <w:rPr>
                <w:rFonts w:hint="eastAsia"/>
              </w:rPr>
              <w:t xml:space="preserve">緊急輸送費</w:t>
            </w:r>
          </w:p>
        </w:tc>
        <w:tc>
          <w:tcPr/>
          <w:p>
            <w:pPr>
              <w:pStyle w:val="Compact"/>
              <w:jc w:val="center"/>
            </w:pPr>
            <w:r>
              <w:t xml:space="preserve">$2.1M</w:t>
            </w:r>
          </w:p>
        </w:tc>
        <w:tc>
          <w:tcPr/>
          <w:p>
            <w:pPr>
              <w:pStyle w:val="Compact"/>
              <w:jc w:val="center"/>
            </w:pPr>
            <w:r>
              <w:t xml:space="preserve">$5.6M</w:t>
            </w:r>
          </w:p>
        </w:tc>
        <w:tc>
          <w:tcPr/>
          <w:p>
            <w:pPr>
              <w:pStyle w:val="Compact"/>
              <w:jc w:val="center"/>
            </w:pPr>
            <w:r>
              <w:t xml:space="preserve">≤ $3.0M</w:t>
            </w:r>
          </w:p>
        </w:tc>
      </w:tr>
    </w:tbl>
    <w:p>
      <w:pPr>
        <w:pStyle w:val="BodyText"/>
      </w:pPr>
      <w:r>
        <w:rPr>
          <w:rFonts w:hint="eastAsia"/>
        </w:rPr>
        <w:t xml:space="preserve">取締役会はまた、経営陣に稀ではあるが重大な影響を及ぼす出来事についても検討するよう求めていた。サプライヤーの長期停止、物流プロバイダーへのサイバー攻撃、港湾閉鎖、急な関税変更、大規模な製品リコール、あるいは為替レートの急激な変動は、通常の計画前提を圧倒する可能性があった。一部の経営陣は明示的な緊急在庫を望んでいた。他の経営陣は、あらゆる混乱に備えることはノーススターを永久に競争力のないものにするだろうと主張した。</w:t>
      </w:r>
    </w:p>
    <w:bookmarkEnd w:id="13"/>
    <w:bookmarkStart w:id="14" w:name="月の会議"/>
    <w:p>
      <w:pPr>
        <w:pStyle w:val="Heading1"/>
      </w:pPr>
      <w:r>
        <w:rPr>
          <w:rFonts w:hint="eastAsia"/>
        </w:rPr>
        <w:t xml:space="preserve">8月の会議</w:t>
      </w:r>
    </w:p>
    <w:p>
      <w:pPr>
        <w:pStyle w:val="FirstParagraph"/>
      </w:pPr>
      <w:r>
        <w:rPr>
          <w:rFonts w:hint="eastAsia"/>
        </w:rPr>
        <w:t xml:space="preserve">チェンは8月3日に4時間の会議を予定した。グループは購入数量、サプライヤー配分、輸送計画、そして緊急出荷のための予備枠を推奨しなければならなかった。また、価格とプロモーションを同時にコミットすべきか、それとも情報が入るにつれて後で調整すべきかも決定しなければならなかった。</w:t>
      </w:r>
    </w:p>
    <w:p>
      <w:pPr>
        <w:pStyle w:val="BodyText"/>
      </w:pPr>
      <w:r>
        <w:rPr>
          <w:rFonts w:hint="eastAsia"/>
        </w:rPr>
        <w:t xml:space="preserve">最高財務責任者(CFO)は、メキシコからの再発注権限を伴う低めの当初コミットメントを支持した。営業責任者は、最も楽観的な小売業者予測を支えるのに十分な在庫を望んだ。オペレーション部門は、清浄機と電磁調理器の発注を増やし、ファンの発注を減らし、航空輸送予算を確保することを提案した。マーケティング部門は、未発表のメディア提携が需要を大幅に増加させる可能性があるため、ファン発注の削減に反対した。調達部門は、2週間待つことでいくつかの工場枠が完全に失われる可能性があると警告した。</w:t>
      </w:r>
    </w:p>
    <w:p>
      <w:pPr>
        <w:pStyle w:val="BodyText"/>
      </w:pPr>
      <w:r>
        <w:rPr>
          <w:rFonts w:hint="eastAsia"/>
        </w:rPr>
        <w:t xml:space="preserve">チェンは、同社が一つの「正しい」発注を特定できるとは確信していなかった。需要、リードタイム、製品品質、コスト、競合他社の行動、顧客のキャンセル、そして在庫記録さえもがコミットメント後に変化していくだろう。しかし、確実性の欠如は行動の必要性を消し去るものではなかった。月曜日の夕方までに、サプライヤーは発注書を期待していた。</w:t>
      </w:r>
    </w:p>
    <w:bookmarkEnd w:id="14"/>
    <w:bookmarkStart w:id="15" w:name="図表1経営陣のホリデーシナリオ"/>
    <w:p>
      <w:pPr>
        <w:pStyle w:val="Heading1"/>
      </w:pPr>
      <w:r>
        <w:rPr>
          <w:rFonts w:hint="eastAsia"/>
        </w:rPr>
        <w:t xml:space="preserve">図表1:経営陣のホリデーシナリオ</w:t>
      </w:r>
    </w:p>
    <w:tbl>
      <w:tblPr>
        <w:tblStyle w:val="Table"/>
        <w:tblW w:type="pct" w:w="4923"/>
        <w:tblLayout w:type="fixed"/>
        <w:tblLook w:firstRow="1" w:lastRow="0" w:firstColumn="0" w:lastColumn="0" w:noHBand="0" w:noVBand="0" w:val="0020"/>
      </w:tblPr>
      <w:tblGrid>
        <w:gridCol w:w="974"/>
        <w:gridCol w:w="1523"/>
        <w:gridCol w:w="1644"/>
        <w:gridCol w:w="1340"/>
        <w:gridCol w:w="2315"/>
      </w:tblGrid>
      <w:tr>
        <w:trPr>
          <w:tblHeader w:val="on"/>
        </w:trPr>
        <w:tc>
          <w:tcPr/>
          <w:p>
            <w:pPr>
              <w:pStyle w:val="Compact"/>
              <w:jc w:val="left"/>
            </w:pPr>
            <w:r>
              <w:t xml:space="preserve">シナリオ</w:t>
            </w:r>
          </w:p>
        </w:tc>
        <w:tc>
          <w:tcPr/>
          <w:p>
            <w:pPr>
              <w:pStyle w:val="Compact"/>
              <w:jc w:val="left"/>
            </w:pPr>
            <w:r>
              <w:rPr>
                <w:rFonts w:hint="eastAsia"/>
              </w:rPr>
              <w:t xml:space="preserve">予測対比需要</w:t>
            </w:r>
          </w:p>
        </w:tc>
        <w:tc>
          <w:tcPr/>
          <w:p>
            <w:pPr>
              <w:pStyle w:val="Compact"/>
              <w:jc w:val="left"/>
            </w:pPr>
            <w:r>
              <w:rPr>
                <w:rFonts w:hint="eastAsia"/>
              </w:rPr>
              <w:t xml:space="preserve">平均リードタイム変化</w:t>
            </w:r>
          </w:p>
        </w:tc>
        <w:tc>
          <w:tcPr/>
          <w:p>
            <w:pPr>
              <w:pStyle w:val="Compact"/>
              <w:jc w:val="left"/>
            </w:pPr>
            <w:r>
              <w:rPr>
                <w:rFonts w:hint="eastAsia"/>
              </w:rPr>
              <w:t xml:space="preserve">競合他社の価格設定</w:t>
            </w:r>
          </w:p>
        </w:tc>
        <w:tc>
          <w:tcPr/>
          <w:p>
            <w:pPr>
              <w:pStyle w:val="Compact"/>
              <w:jc w:val="left"/>
            </w:pPr>
            <w:r>
              <w:rPr>
                <w:rFonts w:hint="eastAsia"/>
              </w:rPr>
              <w:t xml:space="preserve">概算営業成績</w:t>
            </w:r>
          </w:p>
        </w:tc>
      </w:tr>
      <w:tr>
        <w:tc>
          <w:tcPr/>
          <w:p>
            <w:pPr>
              <w:pStyle w:val="Compact"/>
              <w:jc w:val="left"/>
            </w:pPr>
            <w:r>
              <w:rPr>
                <w:rFonts w:hint="eastAsia"/>
              </w:rPr>
              <w:t xml:space="preserve">軟調な市場</w:t>
            </w:r>
          </w:p>
        </w:tc>
        <w:tc>
          <w:tcPr/>
          <w:p>
            <w:pPr>
              <w:pStyle w:val="Compact"/>
              <w:jc w:val="left"/>
            </w:pPr>
            <w:r>
              <w:t xml:space="preserve">−15%</w:t>
            </w:r>
          </w:p>
        </w:tc>
        <w:tc>
          <w:tcPr/>
          <w:p>
            <w:pPr>
              <w:pStyle w:val="Compact"/>
              <w:jc w:val="left"/>
            </w:pPr>
            <w:r>
              <w:rPr>
                <w:rFonts w:hint="eastAsia"/>
              </w:rPr>
              <w:t xml:space="preserve">変化なし</w:t>
            </w:r>
          </w:p>
        </w:tc>
        <w:tc>
          <w:tcPr/>
          <w:p>
            <w:pPr>
              <w:pStyle w:val="Compact"/>
              <w:jc w:val="left"/>
            </w:pPr>
            <w:r>
              <w:rPr>
                <w:rFonts w:hint="eastAsia"/>
              </w:rPr>
              <w:t xml:space="preserve">大幅な値引き</w:t>
            </w:r>
          </w:p>
        </w:tc>
        <w:tc>
          <w:tcPr/>
          <w:p>
            <w:pPr>
              <w:pStyle w:val="Compact"/>
              <w:jc w:val="left"/>
            </w:pPr>
            <w:r>
              <w:rPr>
                <w:rFonts w:hint="eastAsia"/>
              </w:rPr>
              <w:t xml:space="preserve">計画比$9M下振れ</w:t>
            </w:r>
          </w:p>
        </w:tc>
      </w:tr>
      <w:tr>
        <w:tc>
          <w:tcPr/>
          <w:p>
            <w:pPr>
              <w:pStyle w:val="Compact"/>
              <w:jc w:val="left"/>
            </w:pPr>
            <w:r>
              <w:rPr>
                <w:rFonts w:hint="eastAsia"/>
              </w:rPr>
              <w:t xml:space="preserve">基本ケース</w:t>
            </w:r>
          </w:p>
        </w:tc>
        <w:tc>
          <w:tcPr/>
          <w:p>
            <w:pPr>
              <w:pStyle w:val="Compact"/>
              <w:jc w:val="left"/>
            </w:pPr>
            <w:r>
              <w:rPr>
                <w:rFonts w:hint="eastAsia"/>
              </w:rPr>
              <w:t xml:space="preserve">予測通り</w:t>
            </w:r>
          </w:p>
        </w:tc>
        <w:tc>
          <w:tcPr/>
          <w:p>
            <w:pPr>
              <w:pStyle w:val="Compact"/>
              <w:jc w:val="left"/>
            </w:pPr>
            <w:r>
              <w:rPr>
                <w:rFonts w:hint="eastAsia"/>
              </w:rPr>
              <w:t xml:space="preserve">+1週間</w:t>
            </w:r>
          </w:p>
        </w:tc>
        <w:tc>
          <w:tcPr/>
          <w:p>
            <w:pPr>
              <w:pStyle w:val="Compact"/>
              <w:jc w:val="left"/>
            </w:pPr>
            <w:r>
              <w:rPr>
                <w:rFonts w:hint="eastAsia"/>
              </w:rPr>
              <w:t xml:space="preserve">通常のプロモーション</w:t>
            </w:r>
          </w:p>
        </w:tc>
        <w:tc>
          <w:tcPr/>
          <w:p>
            <w:pPr>
              <w:pStyle w:val="Compact"/>
              <w:jc w:val="left"/>
            </w:pPr>
            <w:r>
              <w:rPr>
                <w:rFonts w:hint="eastAsia"/>
              </w:rPr>
              <w:t xml:space="preserve">計画とほぼ同水準</w:t>
            </w:r>
          </w:p>
        </w:tc>
      </w:tr>
      <w:tr>
        <w:tc>
          <w:tcPr/>
          <w:p>
            <w:pPr>
              <w:pStyle w:val="Compact"/>
              <w:jc w:val="left"/>
            </w:pPr>
            <w:r>
              <w:rPr>
                <w:rFonts w:hint="eastAsia"/>
              </w:rPr>
              <w:t xml:space="preserve">好調なシーズン</w:t>
            </w:r>
          </w:p>
        </w:tc>
        <w:tc>
          <w:tcPr/>
          <w:p>
            <w:pPr>
              <w:pStyle w:val="Compact"/>
              <w:jc w:val="left"/>
            </w:pPr>
            <w:r>
              <w:t xml:space="preserve">+18%</w:t>
            </w:r>
          </w:p>
        </w:tc>
        <w:tc>
          <w:tcPr/>
          <w:p>
            <w:pPr>
              <w:pStyle w:val="Compact"/>
              <w:jc w:val="left"/>
            </w:pPr>
            <w:r>
              <w:rPr>
                <w:rFonts w:hint="eastAsia"/>
              </w:rPr>
              <w:t xml:space="preserve">+2週間</w:t>
            </w:r>
          </w:p>
        </w:tc>
        <w:tc>
          <w:tcPr/>
          <w:p>
            <w:pPr>
              <w:pStyle w:val="Compact"/>
              <w:jc w:val="left"/>
            </w:pPr>
            <w:r>
              <w:rPr>
                <w:rFonts w:hint="eastAsia"/>
              </w:rPr>
              <w:t xml:space="preserve">価格安定</w:t>
            </w:r>
          </w:p>
        </w:tc>
        <w:tc>
          <w:tcPr/>
          <w:p>
            <w:pPr>
              <w:pStyle w:val="Compact"/>
              <w:jc w:val="left"/>
            </w:pPr>
            <w:r>
              <w:rPr>
                <w:rFonts w:hint="eastAsia"/>
              </w:rPr>
              <w:t xml:space="preserve">供給できれば計画比$13M上振れ</w:t>
            </w:r>
          </w:p>
        </w:tc>
      </w:tr>
      <w:tr>
        <w:tc>
          <w:tcPr/>
          <w:p>
            <w:pPr>
              <w:pStyle w:val="Compact"/>
              <w:jc w:val="left"/>
            </w:pPr>
            <w:r>
              <w:rPr>
                <w:rFonts w:hint="eastAsia"/>
              </w:rPr>
              <w:t xml:space="preserve">混乱</w:t>
            </w:r>
          </w:p>
        </w:tc>
        <w:tc>
          <w:tcPr/>
          <w:p>
            <w:pPr>
              <w:pStyle w:val="Compact"/>
              <w:jc w:val="left"/>
            </w:pPr>
            <w:r>
              <w:rPr>
                <w:rFonts w:hint="eastAsia"/>
              </w:rPr>
              <w:t xml:space="preserve">全体で−3%</w:t>
            </w:r>
          </w:p>
        </w:tc>
        <w:tc>
          <w:tcPr/>
          <w:p>
            <w:pPr>
              <w:pStyle w:val="Compact"/>
              <w:jc w:val="left"/>
            </w:pPr>
            <w:r>
              <w:rPr>
                <w:rFonts w:hint="eastAsia"/>
              </w:rPr>
              <w:t xml:space="preserve">アジア供給で+5週間</w:t>
            </w:r>
          </w:p>
        </w:tc>
        <w:tc>
          <w:tcPr/>
          <w:p>
            <w:pPr>
              <w:pStyle w:val="Compact"/>
              <w:jc w:val="left"/>
            </w:pPr>
            <w:r>
              <w:t xml:space="preserve">まちまち</w:t>
            </w:r>
          </w:p>
        </w:tc>
        <w:tc>
          <w:tcPr/>
          <w:p>
            <w:pPr>
              <w:pStyle w:val="Compact"/>
              <w:jc w:val="left"/>
            </w:pPr>
            <w:r>
              <w:rPr>
                <w:rFonts w:hint="eastAsia"/>
              </w:rPr>
              <w:t xml:space="preserve">緩和策がなければ計画比$17M下振れ</w:t>
            </w:r>
          </w:p>
        </w:tc>
      </w:tr>
    </w:tbl>
    <w:bookmarkEnd w:id="15"/>
    <w:bookmarkStart w:id="16" w:name="討議設問"/>
    <w:p>
      <w:pPr>
        <w:pStyle w:val="Heading1"/>
      </w:pPr>
      <w:r>
        <w:rPr>
          <w:rFonts w:hint="eastAsia"/>
        </w:rPr>
        <w:t xml:space="preserve">討議設問</w:t>
      </w:r>
    </w:p>
    <w:p>
      <w:pPr>
        <w:numPr>
          <w:ilvl w:val="0"/>
          <w:numId w:val="1001"/>
        </w:numPr>
      </w:pPr>
      <w:r>
        <w:rPr>
          <w:rFonts w:hint="eastAsia"/>
        </w:rPr>
        <w:t xml:space="preserve">8月初旬にノーススター・リビングが直面する中心的な問題は何か。</w:t>
      </w:r>
    </w:p>
    <w:p>
      <w:pPr>
        <w:numPr>
          <w:ilvl w:val="0"/>
          <w:numId w:val="1001"/>
        </w:numPr>
      </w:pPr>
      <w:r>
        <w:rPr>
          <w:rFonts w:hint="eastAsia"/>
        </w:rPr>
        <w:t xml:space="preserve">発注書が発行される前に、ケースの中で最も注意を払うべき事実はどれか。</w:t>
      </w:r>
    </w:p>
    <w:p>
      <w:pPr>
        <w:numPr>
          <w:ilvl w:val="0"/>
          <w:numId w:val="1001"/>
        </w:numPr>
      </w:pPr>
      <w:r>
        <w:rPr>
          <w:rFonts w:hint="eastAsia"/>
        </w:rPr>
        <w:t xml:space="preserve">ノーススターは過剰在庫のコストと深刻な品切れの結果とをどのようにバランスさせるべきか。</w:t>
      </w:r>
    </w:p>
    <w:p>
      <w:pPr>
        <w:numPr>
          <w:ilvl w:val="0"/>
          <w:numId w:val="1001"/>
        </w:numPr>
      </w:pPr>
      <w:r>
        <w:rPr>
          <w:rFonts w:hint="eastAsia"/>
        </w:rPr>
        <w:t xml:space="preserve">高コストと不確実な品質にもかかわらず、同社はサプライヤーを多様化すべきか。</w:t>
      </w:r>
    </w:p>
    <w:p>
      <w:pPr>
        <w:numPr>
          <w:ilvl w:val="0"/>
          <w:numId w:val="1001"/>
        </w:numPr>
      </w:pPr>
      <w:r>
        <w:rPr>
          <w:rFonts w:hint="eastAsia"/>
        </w:rPr>
        <w:t xml:space="preserve">輸送手段と緊急輸送容量を計画にどのように組み込むべきか。</w:t>
      </w:r>
    </w:p>
    <w:p>
      <w:pPr>
        <w:numPr>
          <w:ilvl w:val="0"/>
          <w:numId w:val="1001"/>
        </w:numPr>
      </w:pPr>
      <w:r>
        <w:rPr>
          <w:rFonts w:hint="eastAsia"/>
        </w:rPr>
        <w:t xml:space="preserve">ノーススターはいつ価格設定、プロモーション、広告を用いて需要に影響を与えるべきか。</w:t>
      </w:r>
    </w:p>
    <w:p>
      <w:pPr>
        <w:numPr>
          <w:ilvl w:val="0"/>
          <w:numId w:val="1001"/>
        </w:numPr>
      </w:pPr>
      <w:r>
        <w:rPr>
          <w:rFonts w:hint="eastAsia"/>
        </w:rPr>
        <w:t xml:space="preserve">逼迫した在庫を、大手小売業者、小規模ディーラー、そして直接チャネルの間でどのように配分すべきか。</w:t>
      </w:r>
    </w:p>
    <w:p>
      <w:pPr>
        <w:numPr>
          <w:ilvl w:val="0"/>
          <w:numId w:val="1001"/>
        </w:numPr>
      </w:pPr>
      <w:r>
        <w:rPr>
          <w:rFonts w:hint="eastAsia"/>
        </w:rPr>
        <w:t xml:space="preserve">将来の計画にとって、どの調査または情報投資が最も価値があるか。</w:t>
      </w:r>
    </w:p>
    <w:p>
      <w:pPr>
        <w:numPr>
          <w:ilvl w:val="0"/>
          <w:numId w:val="1001"/>
        </w:numPr>
      </w:pPr>
      <w:r>
        <w:rPr>
          <w:rFonts w:hint="eastAsia"/>
        </w:rPr>
        <w:t xml:space="preserve">過剰な在庫を抱えることなく、低頻度の混乱にどのように備えるべきか。</w:t>
      </w:r>
    </w:p>
    <w:p>
      <w:pPr>
        <w:numPr>
          <w:ilvl w:val="0"/>
          <w:numId w:val="1001"/>
        </w:numPr>
      </w:pPr>
      <w:r>
        <w:rPr>
          <w:rFonts w:hint="eastAsia"/>
        </w:rPr>
        <w:t xml:space="preserve">チェンは8月3日の会議で何を推奨すべきであり、後の見直しをどのような条件で発動すべきか。</w:t>
      </w:r>
    </w:p>
    <w:bookmarkEnd w:id="16"/>
    <w:bookmarkStart w:id="22" w:name="決定フレーミング設問"/>
    <w:p>
      <w:pPr>
        <w:pStyle w:val="Heading1"/>
      </w:pPr>
      <w:r>
        <w:rPr>
          <w:rFonts w:hint="eastAsia"/>
        </w:rPr>
        <w:t xml:space="preserve">決定フレーミング設問</w:t>
      </w:r>
    </w:p>
    <w:p>
      <w:pPr>
        <w:numPr>
          <w:ilvl w:val="0"/>
          <w:numId w:val="1002"/>
        </w:numPr>
      </w:pPr>
      <w:r>
        <w:rPr>
          <w:rFonts w:hint="eastAsia"/>
        </w:rPr>
        <w:t xml:space="preserve">意思決定者の責任を特定し記述せよ。これにより問題の範囲を設定すること。</w:t>
      </w:r>
    </w:p>
    <w:p>
      <w:pPr>
        <w:numPr>
          <w:ilvl w:val="0"/>
          <w:numId w:val="1002"/>
        </w:numPr>
      </w:pPr>
      <w:hyperlink r:id="rId17">
        <w:r>
          <w:rPr>
            <w:rStyle w:val="Hyperlink"/>
          </w:rPr>
          <w:t xml:space="preserve">メトリクス・ピラミッドツール</w:t>
        </w:r>
      </w:hyperlink>
      <w:r>
        <w:rPr>
          <w:rFonts w:hint="eastAsia"/>
        </w:rPr>
        <w:t xml:space="preserve">を用いて、さまざまな業績指標を特定し優先順位をつけよ。指標を保持する楕円をクリックして、それが最大化すべき指標(緑)、最小化すべき指標(赤)、下限としての目標(薄緑)、上限としての目標(薄赤)、あるいは目標値(紫)であるかを識別せよ。</w:t>
      </w:r>
    </w:p>
    <w:p>
      <w:pPr>
        <w:numPr>
          <w:ilvl w:val="0"/>
          <w:numId w:val="1002"/>
        </w:numPr>
      </w:pPr>
      <w:hyperlink r:id="rId18">
        <w:r>
          <w:rPr>
            <w:rStyle w:val="Hyperlink"/>
            <w:rFonts w:hint="eastAsia"/>
          </w:rPr>
          <w:t xml:space="preserve">決定優先順位付けツール</w:t>
        </w:r>
      </w:hyperlink>
      <w:r>
        <w:rPr>
          <w:rFonts w:hint="eastAsia"/>
        </w:rPr>
        <w:t xml:space="preserve">を用いて、まずさまざまな種類の決定を列挙せよ(</w:t>
      </w:r>
      <w:hyperlink r:id="rId19">
        <w:r>
          <w:rPr>
            <w:rStyle w:val="Hyperlink"/>
            <w:rFonts w:hint="eastAsia"/>
          </w:rPr>
          <w:t xml:space="preserve">決定の種類</w:t>
        </w:r>
      </w:hyperlink>
      <w:r>
        <w:rPr>
          <w:rFonts w:hint="eastAsia"/>
        </w:rPr>
        <w:t xml:space="preserve">をガイドとして使用すること)。これらは、右側の行列の行を構成し、列は上記のピラミッドで優先順位付けされた業績指標を左から右へ並べたものとなる。各セルをクリックして、それぞれの決定が各指標に与える影響が高い(赤)、中程度(オレンジ)、低い(黄)、なし(白)のいずれであるかを示せ。</w:t>
      </w:r>
    </w:p>
    <w:p>
      <w:pPr>
        <w:numPr>
          <w:ilvl w:val="0"/>
          <w:numId w:val="1002"/>
        </w:numPr>
      </w:pPr>
      <w:r>
        <w:rPr>
          <w:rFonts w:hint="eastAsia"/>
        </w:rPr>
        <w:t xml:space="preserve">各行の一番左にあるハンドル(三本線)をつかんで上下に移動させることができる。行を並べ替えて、最も重要な指標に最大の影響を与える決定が上位に来るようにせよ。左上隅のセルには、赤とオレンジのセルが最も集中しているはずである。この時点で、あなたの研究において最も注意を払うべき決定を特定せよ。最も重要な指標に対して中程度または高い影響を持つ決定がない場合は、決定のリストを見直せ。</w:t>
      </w:r>
    </w:p>
    <w:p>
      <w:pPr>
        <w:numPr>
          <w:ilvl w:val="0"/>
          <w:numId w:val="1002"/>
        </w:numPr>
      </w:pPr>
      <w:hyperlink r:id="rId20">
        <w:r>
          <w:rPr>
            <w:rStyle w:val="Hyperlink"/>
            <w:rFonts w:hint="eastAsia"/>
          </w:rPr>
          <w:t xml:space="preserve">不確実性優先順位付けツール</w:t>
        </w:r>
      </w:hyperlink>
      <w:r>
        <w:rPr>
          <w:rFonts w:hint="eastAsia"/>
        </w:rPr>
        <w:t xml:space="preserve">を用いて、不確実性についても同様の手順を繰り返し、列挙し優先順位をつけよ。</w:t>
      </w:r>
      <w:hyperlink r:id="rId21">
        <w:r>
          <w:rPr>
            <w:rStyle w:val="Hyperlink"/>
            <w:rFonts w:hint="eastAsia"/>
          </w:rPr>
          <w:t xml:space="preserve">不確実性のカテゴリー</w:t>
        </w:r>
      </w:hyperlink>
      <w:r>
        <w:rPr>
          <w:rFonts w:hint="eastAsia"/>
        </w:rPr>
        <w:t xml:space="preserve">を用いてこれらを特定する助けとせよ。</w:t>
      </w:r>
    </w:p>
    <w:p>
      <w:pPr>
        <w:numPr>
          <w:ilvl w:val="0"/>
          <w:numId w:val="1002"/>
        </w:numPr>
      </w:pPr>
      <w:r>
        <w:rPr>
          <w:rFonts w:hint="eastAsia"/>
        </w:rPr>
        <w:t xml:space="preserve">平均で評価できる不確実性と、リスク事象として評価すべき不確実性とを区別することが重要である:</w:t>
      </w:r>
    </w:p>
    <w:p>
      <w:pPr>
        <w:numPr>
          <w:ilvl w:val="1"/>
          <w:numId w:val="1003"/>
        </w:numPr>
      </w:pPr>
      <w:r>
        <w:rPr>
          <w:rFonts w:hint="eastAsia"/>
        </w:rPr>
        <w:t xml:space="preserve">どの不確実性の源が、時間の経過に伴う平均的な業績として捉えられるか。</w:t>
      </w:r>
    </w:p>
    <w:p>
      <w:pPr>
        <w:numPr>
          <w:ilvl w:val="1"/>
          <w:numId w:val="1003"/>
        </w:numPr>
      </w:pPr>
      <w:r>
        <w:rPr>
          <w:rFonts w:hint="eastAsia"/>
        </w:rPr>
        <w:t xml:space="preserve">どの不確実性の源が、平均によって適切に捉えられないリスクの形態を表しているか。</w:t>
      </w:r>
    </w:p>
    <w:p>
      <w:pPr>
        <w:numPr>
          <w:ilvl w:val="0"/>
          <w:numId w:val="1002"/>
        </w:numPr>
      </w:pPr>
      <w:r>
        <w:rPr>
          <w:rFonts w:hint="eastAsia"/>
        </w:rPr>
        <w:t xml:space="preserve">最も重要な指標に対して最も高い影響を持つと思われる単一の決定を選べ。</w:t>
      </w:r>
    </w:p>
    <w:p>
      <w:pPr>
        <w:numPr>
          <w:ilvl w:val="1"/>
          <w:numId w:val="1004"/>
        </w:numPr>
      </w:pPr>
      <w:r>
        <w:rPr>
          <w:rFonts w:hint="eastAsia"/>
        </w:rPr>
        <w:t xml:space="preserve">この決定を下すために、あなたはどのようなアプローチを用いると考えるか。</w:t>
      </w:r>
    </w:p>
    <w:p>
      <w:pPr>
        <w:numPr>
          <w:ilvl w:val="1"/>
          <w:numId w:val="1004"/>
        </w:numPr>
      </w:pPr>
      <w:r>
        <w:rPr>
          <w:rFonts w:hint="eastAsia"/>
        </w:rPr>
        <w:t xml:space="preserve">この決定を下すために必要と思われるデータは何か。決定が高いまたは中程度の影響を持つ業績指標の算出も含めること。</w:t>
      </w:r>
    </w:p>
    <w:p>
      <w:pPr>
        <w:numPr>
          <w:ilvl w:val="0"/>
          <w:numId w:val="1002"/>
        </w:numPr>
      </w:pPr>
      <w:r>
        <w:rPr>
          <w:rFonts w:hint="eastAsia"/>
        </w:rPr>
        <w:t xml:space="preserve">(7)で特定した同じ決定について、その決定を実施するために協力する必要がある人々、部門、グループ、または組織を特定せよ。</w:t>
      </w:r>
    </w:p>
    <w:bookmarkEnd w:id="22"/>
    <w:bookmarkStart w:id="23" w:name="データに関する注記"/>
    <w:p>
      <w:pPr>
        <w:pStyle w:val="Heading1"/>
      </w:pPr>
      <w:r>
        <w:rPr>
          <w:rFonts w:hint="eastAsia"/>
        </w:rPr>
        <w:t xml:space="preserve">データに関する注記</w:t>
      </w:r>
    </w:p>
    <w:p>
      <w:pPr>
        <w:pStyle w:val="FirstParagraph"/>
      </w:pPr>
      <w:r>
        <w:rPr>
          <w:rFonts w:hint="eastAsia"/>
        </w:rPr>
        <w:t xml:space="preserve">ノーススター・リビング、その経営陣、サプライヤー、製品、および運営データは架空のものである。市場の背景は公開されている米国データに基づいている。米国国勢調査局は、2026年5月時点で製造業者・卸売業者の総在庫が約2兆7360億ドル、在庫対売上比率が1.28であったと報告した。国勢調査局の小売データは、2026年5月の家具・家庭用品・電子機器・電化製品店における在庫約307億3600万ドル、月間売上高約195億800万ドル、在庫対売上比率1.58を報告した。事業設定と計画上の緊張関係は、Warren</w:t>
      </w:r>
      <w:r>
        <w:t xml:space="preserve"> B. </w:t>
      </w:r>
      <w:r>
        <w:rPr>
          <w:rFonts w:hint="eastAsia"/>
        </w:rPr>
        <w:t xml:space="preserve">Powell著『Bridging</w:t>
      </w:r>
      <w:r>
        <w:t xml:space="preserve"> Decision </w:t>
      </w:r>
      <w:r>
        <w:rPr>
          <w:rFonts w:hint="eastAsia"/>
        </w:rPr>
        <w:t xml:space="preserve">Problems』第I巻第2章における在庫計画の議論を参考にしている。</w:t>
      </w:r>
    </w:p>
    <w:p>
      <w:pPr>
        <w:pStyle w:val="BodyText"/>
      </w:pPr>
      <w:r>
        <w:rPr>
          <w:rFonts w:hint="eastAsia"/>
        </w:rPr>
        <w:t xml:space="preserve">出典:U.S.</w:t>
      </w:r>
      <w:r>
        <w:t xml:space="preserve"> Census Bureau, Manufacturing and Trade Inventories and Sales, May 2026; U.S. Census Bureau Monthly Retail Trade data, May 2026; Warren B. Powell,</w:t>
      </w:r>
      <w:r>
        <w:t xml:space="preserve"> </w:t>
      </w:r>
      <w:r>
        <w:t xml:space="preserve">“Inventory Planning,”</w:t>
      </w:r>
      <w:r>
        <w:t xml:space="preserve"> </w:t>
      </w:r>
      <w:r>
        <w:t xml:space="preserve">Bridging Decision Problems, Volume I, Chapter 2. </w:t>
      </w:r>
      <w:r>
        <w:rPr>
          <w:rFonts w:hint="eastAsia"/>
        </w:rPr>
        <w:t xml:space="preserve">2026年7月30日アクセス。</w:t>
      </w:r>
    </w:p>
    <w:bookmarkEnd w:id="23"/>
    <w:bookmarkStart w:id="26" w:name="chatgpt-ノート"/>
    <w:p>
      <w:pPr>
        <w:pStyle w:val="Heading1"/>
      </w:pPr>
      <w:r>
        <w:t xml:space="preserve">ChatGPT ノート</w:t>
      </w:r>
    </w:p>
    <w:bookmarkStart w:id="24" w:name="プロンプト"/>
    <w:p>
      <w:pPr>
        <w:pStyle w:val="Heading2"/>
      </w:pPr>
      <w:r>
        <w:t xml:space="preserve">プロンプト:</w:t>
      </w:r>
    </w:p>
    <w:p>
      <w:pPr>
        <w:pStyle w:val="FirstParagraph"/>
      </w:pPr>
      <w:r>
        <w:t xml:space="preserve">https://warrenpowell.org/bridging-vol1/chapter-2/#inventoryplanning </w:t>
      </w:r>
      <w:r>
        <w:rPr>
          <w:rFonts w:hint="eastAsia"/>
        </w:rPr>
        <w:t xml:space="preserve">の在庫計画に関する節の内容に基づいて、3～5ページのケーススタディを書け。その節の指標、決定、不確実性に基づいた文脈を作成せよ。ただし、それらに明示的に注意を向けさせることなく。データを用いてビジネス上の問題に動機付けを与えよ。</w:t>
      </w:r>
    </w:p>
    <w:bookmarkEnd w:id="24"/>
    <w:bookmarkStart w:id="25" w:name="要約"/>
    <w:p>
      <w:pPr>
        <w:pStyle w:val="Heading2"/>
      </w:pPr>
      <w:r>
        <w:rPr>
          <w:rFonts w:hint="eastAsia"/>
        </w:rPr>
        <w:t xml:space="preserve">要約</w:t>
      </w:r>
    </w:p>
    <w:p>
      <w:pPr>
        <w:pStyle w:val="FirstParagraph"/>
      </w:pPr>
      <w:r>
        <w:rPr>
          <w:rFonts w:hint="eastAsia"/>
        </w:rPr>
        <w:t xml:space="preserve">このケースは、在庫計画に関する教材を、ホリデーシーズンに備える架空のコンパクト家電会社に落とし込んだものである。以下の要素を組み込んでいる:</w:t>
      </w:r>
    </w:p>
    <w:p>
      <w:pPr>
        <w:numPr>
          <w:ilvl w:val="0"/>
          <w:numId w:val="1005"/>
        </w:numPr>
      </w:pPr>
      <w:r>
        <w:rPr>
          <w:rFonts w:hint="eastAsia"/>
        </w:rPr>
        <w:t xml:space="preserve">長い国際的補充リードタイム</w:t>
      </w:r>
    </w:p>
    <w:p>
      <w:pPr>
        <w:numPr>
          <w:ilvl w:val="0"/>
          <w:numId w:val="1005"/>
        </w:numPr>
      </w:pPr>
      <w:r>
        <w:rPr>
          <w:rFonts w:hint="eastAsia"/>
        </w:rPr>
        <w:t xml:space="preserve">不確実な製品需要と予測誤差</w:t>
      </w:r>
    </w:p>
    <w:p>
      <w:pPr>
        <w:numPr>
          <w:ilvl w:val="0"/>
          <w:numId w:val="1005"/>
        </w:numPr>
      </w:pPr>
      <w:r>
        <w:rPr>
          <w:rFonts w:hint="eastAsia"/>
        </w:rPr>
        <w:t xml:space="preserve">品切れの結果と過剰在庫の値引き</w:t>
      </w:r>
    </w:p>
    <w:p>
      <w:pPr>
        <w:numPr>
          <w:ilvl w:val="0"/>
          <w:numId w:val="1005"/>
        </w:numPr>
      </w:pPr>
      <w:r>
        <w:rPr>
          <w:rFonts w:hint="eastAsia"/>
        </w:rPr>
        <w:t xml:space="preserve">サプライヤー選定と多様化</w:t>
      </w:r>
    </w:p>
    <w:p>
      <w:pPr>
        <w:numPr>
          <w:ilvl w:val="0"/>
          <w:numId w:val="1005"/>
        </w:numPr>
      </w:pPr>
      <w:r>
        <w:rPr>
          <w:rFonts w:hint="eastAsia"/>
        </w:rPr>
        <w:t xml:space="preserve">海上、鉄道、トラック、緊急航空輸送の選択</w:t>
      </w:r>
    </w:p>
    <w:p>
      <w:pPr>
        <w:numPr>
          <w:ilvl w:val="0"/>
          <w:numId w:val="1005"/>
        </w:numPr>
      </w:pPr>
      <w:r>
        <w:rPr>
          <w:rFonts w:hint="eastAsia"/>
        </w:rPr>
        <w:t xml:space="preserve">価格設定、広告、プロモーション、チャネル配分</w:t>
      </w:r>
    </w:p>
    <w:p>
      <w:pPr>
        <w:numPr>
          <w:ilvl w:val="0"/>
          <w:numId w:val="1005"/>
        </w:numPr>
      </w:pPr>
      <w:r>
        <w:rPr>
          <w:rFonts w:hint="eastAsia"/>
        </w:rPr>
        <w:t xml:space="preserve">在庫記録の不一致と出荷可視化</w:t>
      </w:r>
    </w:p>
    <w:p>
      <w:pPr>
        <w:numPr>
          <w:ilvl w:val="0"/>
          <w:numId w:val="1005"/>
        </w:numPr>
      </w:pPr>
      <w:r>
        <w:rPr>
          <w:rFonts w:hint="eastAsia"/>
        </w:rPr>
        <w:t xml:space="preserve">運転資本と倉庫容量の制約</w:t>
      </w:r>
    </w:p>
    <w:p>
      <w:pPr>
        <w:numPr>
          <w:ilvl w:val="0"/>
          <w:numId w:val="1005"/>
        </w:numPr>
      </w:pPr>
      <w:r>
        <w:rPr>
          <w:rFonts w:hint="eastAsia"/>
        </w:rPr>
        <w:t xml:space="preserve">港湾閉鎖、関税変更、サイバー攻撃、サプライヤー停止を含む稀な混乱</w:t>
      </w:r>
    </w:p>
    <w:p>
      <w:pPr>
        <w:numPr>
          <w:ilvl w:val="0"/>
          <w:numId w:val="1005"/>
        </w:numPr>
      </w:pPr>
      <w:r>
        <w:rPr>
          <w:rFonts w:hint="eastAsia"/>
        </w:rPr>
        <w:t xml:space="preserve">定量的な図表と未解決の討議設問</w:t>
      </w:r>
    </w:p>
    <w:p>
      <w:pPr>
        <w:pStyle w:val="FirstParagraph"/>
      </w:pPr>
      <w:r>
        <w:rPr>
          <w:rFonts w:hint="eastAsia"/>
        </w:rPr>
        <w:t xml:space="preserve">このケースは、2026年5月の国勢調査データ――米国企業の総在庫約</w:t>
      </w:r>
      <w:r>
        <w:rPr>
          <w:rFonts w:hint="eastAsia"/>
          <w:b/>
          <w:bCs/>
        </w:rPr>
        <w:t xml:space="preserve">2兆7400億ドル</w:t>
      </w:r>
      <w:r>
        <w:rPr>
          <w:rFonts w:hint="eastAsia"/>
        </w:rPr>
        <w:t xml:space="preserve">、および家具・家庭用品・電子機器・電化製品小売業者の</w:t>
      </w:r>
      <w:r>
        <w:rPr>
          <w:rFonts w:hint="eastAsia"/>
          <w:b/>
          <w:bCs/>
        </w:rPr>
        <w:t xml:space="preserve">在庫対売上比率1.58</w:t>
      </w:r>
      <w:r>
        <w:rPr>
          <w:rFonts w:hint="eastAsia"/>
        </w:rPr>
        <w:t xml:space="preserve">――によって動機付けられている。</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warrenpowell.org/decision-framing-tool/#decision-prioritization-tool" TargetMode="External" /><Relationship Type="http://schemas.openxmlformats.org/officeDocument/2006/relationships/hyperlink" Id="rId17" Target="https://warrenpowell.org/decision-framing-tool/#metrics-pyramid-tool" TargetMode="External" /><Relationship Type="http://schemas.openxmlformats.org/officeDocument/2006/relationships/hyperlink" Id="rId20" Target="https://warrenpowell.org/decision-framing-tool/#uncertainty-prioritization-tool" TargetMode="External" /><Relationship Type="http://schemas.openxmlformats.org/officeDocument/2006/relationships/hyperlink" Id="rId19" Target="https://warrenpowell.org/decisionsdecisions/#types-of-decision-settings" TargetMode="External" /><Relationship Type="http://schemas.openxmlformats.org/officeDocument/2006/relationships/hyperlink" Id="rId21"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8" Target="https://warrenpowell.org/decision-framing-tool/#decision-prioritization-tool" TargetMode="External" /><Relationship Type="http://schemas.openxmlformats.org/officeDocument/2006/relationships/hyperlink" Id="rId17" Target="https://warrenpowell.org/decision-framing-tool/#metrics-pyramid-tool" TargetMode="External" /><Relationship Type="http://schemas.openxmlformats.org/officeDocument/2006/relationships/hyperlink" Id="rId20" Target="https://warrenpowell.org/decision-framing-tool/#uncertainty-prioritization-tool" TargetMode="External" /><Relationship Type="http://schemas.openxmlformats.org/officeDocument/2006/relationships/hyperlink" Id="rId19" Target="https://warrenpowell.org/decisionsdecisions/#types-of-decision-settings" TargetMode="External" /><Relationship Type="http://schemas.openxmlformats.org/officeDocument/2006/relationships/hyperlink" Id="rId21"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2026-09-11T17:52:44Z</dcterms:created>
  <dcterms:modified xsi:type="dcterms:W3CDTF">2026-09-11T17:52:44Z</dcterms:modified>
</cp:coreProperties>
</file>

<file path=docProps/custom.xml><?xml version="1.0" encoding="utf-8"?>
<Properties xmlns="http://schemas.openxmlformats.org/officeDocument/2006/custom-properties" xmlns:vt="http://schemas.openxmlformats.org/officeDocument/2006/docPropsVTypes"/>
</file>