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PRAIRIELINE FREIGHT</w:t>
      </w:r>
    </w:p>
    <w:p>
      <w:pPr>
        <w:pStyle w:val="BodyText"/>
      </w:pPr>
      <w:r>
        <w:rPr>
          <w:rFonts w:hint="eastAsia"/>
        </w:rPr>
        <w:t xml:space="preserve">金曜午後のディスパッチ</w:t>
      </w:r>
    </w:p>
    <w:p>
      <w:pPr>
        <w:pStyle w:val="BodyText"/>
      </w:pPr>
      <w:r>
        <w:rPr>
          <w:rFonts w:hint="eastAsia"/>
        </w:rPr>
        <w:t xml:space="preserve">貨物選択、ドライバー割当、帰宅時間、ネットワークバランスをテーマとしたトラックロード輸送車両管理ケース</w:t>
      </w:r>
    </w:p>
    <w:p>
      <w:pPr>
        <w:pStyle w:val="BodyText"/>
      </w:pPr>
      <w:r>
        <w:rPr>
          <w:rFonts w:hint="eastAsia"/>
        </w:rPr>
        <w:t xml:space="preserve">このケースはフィクションであり、教育上の議論を目的としています。名称、出来事、顧客、社内数値はすべて架空のものですが、業界の背景は公開データに基づいています。</w:t>
      </w:r>
    </w:p>
    <w:bookmarkStart w:id="9" w:name="誤った場所に配置された車両群"/>
    <w:p>
      <w:pPr>
        <w:pStyle w:val="Heading1"/>
      </w:pPr>
      <w:r>
        <w:rPr>
          <w:rFonts w:hint="eastAsia"/>
        </w:rPr>
        <w:t xml:space="preserve">誤った場所に配置された車両群</w:t>
      </w:r>
    </w:p>
    <w:p>
      <w:pPr>
        <w:pStyle w:val="FirstParagraph"/>
      </w:pPr>
      <w:r>
        <w:rPr>
          <w:rFonts w:hint="eastAsia"/>
        </w:rPr>
        <w:t xml:space="preserve">2026年9月18日金曜日午後2時40分、PrairieLine</w:t>
      </w:r>
      <w:r>
        <w:t xml:space="preserve"> </w:t>
      </w:r>
      <w:r>
        <w:rPr>
          <w:rFonts w:hint="eastAsia"/>
        </w:rPr>
        <w:t xml:space="preserve">Freight社のオペレーション担当副社長Maya</w:t>
      </w:r>
      <w:r>
        <w:t xml:space="preserve"> </w:t>
      </w:r>
      <w:r>
        <w:rPr>
          <w:rFonts w:hint="eastAsia"/>
        </w:rPr>
        <w:t xml:space="preserve">Chenは、米国東部3分の2に散らばる1,184台のトラクターの地図を検討していた。真夜中までに167人のドライバーが配送を完了する予定だった。さらに94人が土曜朝には対応可能になる。ディスパッチチームは月曜までにカバーすべき確定積荷312件、回答待ちの新規提示積荷138件を抱え、週末が終わる前に帰宅を望むドライバーのリストも増え続けていた。</w:t>
      </w:r>
    </w:p>
    <w:p>
      <w:pPr>
        <w:pStyle w:val="BodyText"/>
      </w:pPr>
      <w:r>
        <w:rPr>
          <w:rFonts w:hint="eastAsia"/>
        </w:rPr>
        <w:t xml:space="preserve">問題は貨物量の不足ではなかった。貨物、ドライバー、アポイントメント時刻、価格が噛み合っていないことだった。空車中のドライバー47人はアトランタ北部とニュージャージー北部に集中していたが、そこは往路運賃が弱含んでいた。一方、複数の長年の顧客が、オハイオ州中部、アイオワ州東部、テネシー州西部からの魅力的な積荷を提示していた。ドライバーをこれらの市場へ空車で移動させれば、収益を生む1マイルが走る前に燃料、ドライバー稼働時間、車両能力を消費してしまう。</w:t>
      </w:r>
    </w:p>
    <w:p>
      <w:pPr>
        <w:pStyle w:val="BodyText"/>
      </w:pPr>
      <w:r>
        <w:rPr>
          <w:rFonts w:hint="eastAsia"/>
        </w:rPr>
        <w:t xml:space="preserve">賭け金は大きかった。トラックは2024年に米国貨物112億7000万トンを輸送し、業界収入は約9,060億ドルに達した。トラック輸送業界は840万人の関連雇用を支え、そのうちプロドライバーは358万人に上った。しかし市場は不安定だった。パンデミック後に貨物量は軟化し、契約価格は圧迫され、キャリアは短期的な機会に対応しつつも戦略顧客へのサービスを維持しなければならなかった。</w:t>
      </w:r>
    </w:p>
    <w:tbl>
      <w:tblPr>
        <w:tblStyle w:val="Table"/>
        <w:tblW w:type="auto" w:w="0"/>
        <w:tblLook w:firstRow="0" w:lastRow="0" w:firstColumn="0" w:lastColumn="0" w:noHBand="0" w:noVBand="0" w:val="0000"/>
      </w:tblPr>
      <w:tblGrid>
        <w:gridCol w:w="7920"/>
      </w:tblGrid>
      <w:tr>
        <w:tc>
          <w:tcPr/>
          <w:p>
            <w:pPr>
              <w:pStyle w:val="Compact"/>
            </w:pPr>
            <w:r>
              <w:rPr>
                <w:rFonts w:hint="eastAsia"/>
              </w:rPr>
              <w:t xml:space="preserve">PrairieLineは、最も高値の積荷へドライバーを向かわせることで今週末のマージンを改善できるかもしれない。しかしそれは顧客関係を損ない、ドライバーを自宅から遠く離れた場所に取り残し、月曜日のネットワークの態勢を悪化させる可能性もある。</w:t>
            </w:r>
          </w:p>
        </w:tc>
      </w:tr>
    </w:tbl>
    <w:p>
      <w:r>
        <w:pict>
          <v:rect style="width:0;height:1.5pt" o:hralign="center" o:hrstd="t" o:hr="t"/>
        </w:pict>
      </w:r>
    </w:p>
    <w:bookmarkEnd w:id="9"/>
    <w:bookmarkStart w:id="11" w:name="prairieline-freight社"/>
    <w:p>
      <w:pPr>
        <w:pStyle w:val="Heading1"/>
      </w:pPr>
      <w:r>
        <w:t xml:space="preserve">PrairieLine </w:t>
      </w:r>
      <w:r>
        <w:rPr>
          <w:rFonts w:hint="eastAsia"/>
        </w:rPr>
        <w:t xml:space="preserve">Freight社</w:t>
      </w:r>
    </w:p>
    <w:p>
      <w:pPr>
        <w:pStyle w:val="FirstParagraph"/>
      </w:pPr>
      <w:r>
        <w:rPr>
          <w:rFonts w:hint="eastAsia"/>
        </w:rPr>
        <w:t xml:space="preserve">PrairieLineは、インディアナポリスに本社を置く非公開のトラックロードキャリアであった。同社は1,250台のトラクターと3,800台のトレーラーを保有し、インディアナ、ジョージア、ペンシルベニア、テキサス、ミズーリの各州にターミナルを構えていた。貨物の約70パーセントは、製造業者、小売業者、食品会社、建築資材会社との年間契約の下で運ばれていた。残りは短期の顧客依頼、ブローカー、公開積荷掲示板から得られていた。</w:t>
      </w:r>
    </w:p>
    <w:p>
      <w:pPr>
        <w:pStyle w:val="BodyText"/>
      </w:pPr>
      <w:r>
        <w:rPr>
          <w:rFonts w:hint="eastAsia"/>
        </w:rPr>
        <w:t xml:space="preserve">同社は地域担当、専属担当、長距離担当のドライバーを雇用していた。地域担当ドライバーは概ね毎週末の帰宅を期待していた。専属担当ドライバーは特定の顧客に対応し、比較的予測可能なルートに従っていた。長距離担当ドライバーはより広範な地理的割当を受け入れる一方、約束された帰宅日は保持していた。同社の成長の一因は、信頼できる帰宅時間を宣伝し、家庭の事情、安全上の懸念、希望する運行地域と衝突する割当をドライバーがある程度断れるようにしていたことだった。</w:t>
      </w:r>
    </w:p>
    <w:p>
      <w:pPr>
        <w:pStyle w:val="BodyText"/>
      </w:pPr>
      <w:r>
        <w:rPr>
          <w:rFonts w:hint="eastAsia"/>
        </w:rPr>
        <w:t xml:space="preserve">代替要員の採用にはコストがかかった。米国労働統計局は2025年時点で大型・トレーラートラックのドライバーが200万人を超え、年間中央値賃金は約59,700ドルであると報告している。同局は今後10年間で年間およそ237,600件の欠員が生じると予測しており、その大半は労働者の引退や離職によるものだった。PrairieLineは、新規ドライバーの採用、オンボーディング、通常の生産性に到達させるまでのコストを9,000ドルから14,000ドルと見積もっていたが、これはトラクターが遊休状態にある間に失われる収益を考慮する前の数値だった。</w:t>
      </w:r>
    </w:p>
    <w:bookmarkStart w:id="10" w:name="図表1.-prairieline-運行プロファイル"/>
    <w:p>
      <w:pPr>
        <w:pStyle w:val="Heading2"/>
      </w:pPr>
      <w:r>
        <w:rPr>
          <w:rFonts w:hint="eastAsia"/>
        </w:rPr>
        <w:t xml:space="preserve">図表1.</w:t>
      </w:r>
      <w:r>
        <w:t xml:space="preserve"> PrairieLine </w:t>
      </w:r>
      <w:r>
        <w:rPr>
          <w:rFonts w:hint="eastAsia"/>
        </w:rPr>
        <w:t xml:space="preserve">運行プロファイル</w:t>
      </w:r>
    </w:p>
    <w:tbl>
      <w:tblPr>
        <w:tblStyle w:val="Table"/>
        <w:tblW w:type="pct" w:w="4861"/>
        <w:tblLayout w:type="fixed"/>
        <w:tblLook w:firstRow="1" w:lastRow="0" w:firstColumn="0" w:lastColumn="0" w:noHBand="0" w:noVBand="0" w:val="0020"/>
      </w:tblPr>
      <w:tblGrid>
        <w:gridCol w:w="3960"/>
        <w:gridCol w:w="1210"/>
        <w:gridCol w:w="1210"/>
        <w:gridCol w:w="1320"/>
      </w:tblGrid>
      <w:tr>
        <w:trPr>
          <w:tblHeader w:val="on"/>
        </w:trPr>
        <w:tc>
          <w:tcPr/>
          <w:p>
            <w:pPr>
              <w:pStyle w:val="Compact"/>
              <w:jc w:val="left"/>
            </w:pPr>
            <w:r>
              <w:rPr>
                <w:rFonts w:hint="eastAsia"/>
              </w:rPr>
              <w:t xml:space="preserve">指標</w:t>
            </w:r>
          </w:p>
        </w:tc>
        <w:tc>
          <w:tcPr/>
          <w:p>
            <w:pPr>
              <w:pStyle w:val="Compact"/>
              <w:jc w:val="center"/>
            </w:pPr>
            <w:r>
              <w:t xml:space="preserve">2024</w:t>
            </w:r>
          </w:p>
        </w:tc>
        <w:tc>
          <w:tcPr/>
          <w:p>
            <w:pPr>
              <w:pStyle w:val="Compact"/>
              <w:jc w:val="center"/>
            </w:pPr>
            <w:r>
              <w:t xml:space="preserve">2025</w:t>
            </w:r>
          </w:p>
        </w:tc>
        <w:tc>
          <w:tcPr/>
          <w:p>
            <w:pPr>
              <w:pStyle w:val="Compact"/>
              <w:jc w:val="center"/>
            </w:pPr>
            <w:r>
              <w:t xml:space="preserve">2026 YTD</w:t>
            </w:r>
          </w:p>
        </w:tc>
      </w:tr>
      <w:tr>
        <w:tc>
          <w:tcPr/>
          <w:p>
            <w:pPr>
              <w:pStyle w:val="Compact"/>
              <w:jc w:val="left"/>
            </w:pPr>
            <w:r>
              <w:rPr>
                <w:rFonts w:hint="eastAsia"/>
              </w:rPr>
              <w:t xml:space="preserve">平均稼働トラクター台数</w:t>
            </w:r>
          </w:p>
        </w:tc>
        <w:tc>
          <w:tcPr/>
          <w:p>
            <w:pPr>
              <w:pStyle w:val="Compact"/>
              <w:jc w:val="center"/>
            </w:pPr>
            <w:r>
              <w:t xml:space="preserve">1,108</w:t>
            </w:r>
          </w:p>
        </w:tc>
        <w:tc>
          <w:tcPr/>
          <w:p>
            <w:pPr>
              <w:pStyle w:val="Compact"/>
              <w:jc w:val="center"/>
            </w:pPr>
            <w:r>
              <w:t xml:space="preserve">1,176</w:t>
            </w:r>
          </w:p>
        </w:tc>
        <w:tc>
          <w:tcPr/>
          <w:p>
            <w:pPr>
              <w:pStyle w:val="Compact"/>
              <w:jc w:val="center"/>
            </w:pPr>
            <w:r>
              <w:t xml:space="preserve">1,184</w:t>
            </w:r>
          </w:p>
        </w:tc>
      </w:tr>
      <w:tr>
        <w:tc>
          <w:tcPr/>
          <w:p>
            <w:pPr>
              <w:pStyle w:val="Compact"/>
              <w:jc w:val="left"/>
            </w:pPr>
            <w:r>
              <w:rPr>
                <w:rFonts w:hint="eastAsia"/>
              </w:rPr>
              <w:t xml:space="preserve">積載マイルあたり収益</w:t>
            </w:r>
          </w:p>
        </w:tc>
        <w:tc>
          <w:tcPr/>
          <w:p>
            <w:pPr>
              <w:pStyle w:val="Compact"/>
              <w:jc w:val="center"/>
            </w:pPr>
            <w:r>
              <w:t xml:space="preserve">$2.49</w:t>
            </w:r>
          </w:p>
        </w:tc>
        <w:tc>
          <w:tcPr/>
          <w:p>
            <w:pPr>
              <w:pStyle w:val="Compact"/>
              <w:jc w:val="center"/>
            </w:pPr>
            <w:r>
              <w:t xml:space="preserve">$2.42</w:t>
            </w:r>
          </w:p>
        </w:tc>
        <w:tc>
          <w:tcPr/>
          <w:p>
            <w:pPr>
              <w:pStyle w:val="Compact"/>
              <w:jc w:val="center"/>
            </w:pPr>
            <w:r>
              <w:t xml:space="preserve">$2.46</w:t>
            </w:r>
          </w:p>
        </w:tc>
      </w:tr>
      <w:tr>
        <w:tc>
          <w:tcPr/>
          <w:p>
            <w:pPr>
              <w:pStyle w:val="Compact"/>
              <w:jc w:val="left"/>
            </w:pPr>
            <w:r>
              <w:rPr>
                <w:rFonts w:hint="eastAsia"/>
              </w:rPr>
              <w:t xml:space="preserve">総マイルあたり運行コスト</w:t>
            </w:r>
          </w:p>
        </w:tc>
        <w:tc>
          <w:tcPr/>
          <w:p>
            <w:pPr>
              <w:pStyle w:val="Compact"/>
              <w:jc w:val="center"/>
            </w:pPr>
            <w:r>
              <w:t xml:space="preserve">$2.07</w:t>
            </w:r>
          </w:p>
        </w:tc>
        <w:tc>
          <w:tcPr/>
          <w:p>
            <w:pPr>
              <w:pStyle w:val="Compact"/>
              <w:jc w:val="center"/>
            </w:pPr>
            <w:r>
              <w:t xml:space="preserve">$2.10</w:t>
            </w:r>
          </w:p>
        </w:tc>
        <w:tc>
          <w:tcPr/>
          <w:p>
            <w:pPr>
              <w:pStyle w:val="Compact"/>
              <w:jc w:val="center"/>
            </w:pPr>
            <w:r>
              <w:t xml:space="preserve">$2.16</w:t>
            </w:r>
          </w:p>
        </w:tc>
      </w:tr>
      <w:tr>
        <w:tc>
          <w:tcPr/>
          <w:p>
            <w:pPr>
              <w:pStyle w:val="Compact"/>
              <w:jc w:val="left"/>
            </w:pPr>
            <w:r>
              <w:rPr>
                <w:rFonts w:hint="eastAsia"/>
              </w:rPr>
              <w:t xml:space="preserve">空車マイル比率（総マイルに対する％）</w:t>
            </w:r>
          </w:p>
        </w:tc>
        <w:tc>
          <w:tcPr/>
          <w:p>
            <w:pPr>
              <w:pStyle w:val="Compact"/>
              <w:jc w:val="center"/>
            </w:pPr>
            <w:r>
              <w:t xml:space="preserve">12.8%</w:t>
            </w:r>
          </w:p>
        </w:tc>
        <w:tc>
          <w:tcPr/>
          <w:p>
            <w:pPr>
              <w:pStyle w:val="Compact"/>
              <w:jc w:val="center"/>
            </w:pPr>
            <w:r>
              <w:t xml:space="preserve">13.6%</w:t>
            </w:r>
          </w:p>
        </w:tc>
        <w:tc>
          <w:tcPr/>
          <w:p>
            <w:pPr>
              <w:pStyle w:val="Compact"/>
              <w:jc w:val="center"/>
            </w:pPr>
            <w:r>
              <w:t xml:space="preserve">14.4%</w:t>
            </w:r>
          </w:p>
        </w:tc>
      </w:tr>
      <w:tr>
        <w:tc>
          <w:tcPr/>
          <w:p>
            <w:pPr>
              <w:pStyle w:val="Compact"/>
              <w:jc w:val="left"/>
            </w:pPr>
            <w:r>
              <w:rPr>
                <w:rFonts w:hint="eastAsia"/>
              </w:rPr>
              <w:t xml:space="preserve">ドライバー1人あたり週間平均マイル数</w:t>
            </w:r>
          </w:p>
        </w:tc>
        <w:tc>
          <w:tcPr/>
          <w:p>
            <w:pPr>
              <w:pStyle w:val="Compact"/>
              <w:jc w:val="center"/>
            </w:pPr>
            <w:r>
              <w:t xml:space="preserve">2,216</w:t>
            </w:r>
          </w:p>
        </w:tc>
        <w:tc>
          <w:tcPr/>
          <w:p>
            <w:pPr>
              <w:pStyle w:val="Compact"/>
              <w:jc w:val="center"/>
            </w:pPr>
            <w:r>
              <w:t xml:space="preserve">2,162</w:t>
            </w:r>
          </w:p>
        </w:tc>
        <w:tc>
          <w:tcPr/>
          <w:p>
            <w:pPr>
              <w:pStyle w:val="Compact"/>
              <w:jc w:val="center"/>
            </w:pPr>
            <w:r>
              <w:t xml:space="preserve">2,118</w:t>
            </w:r>
          </w:p>
        </w:tc>
      </w:tr>
      <w:tr>
        <w:tc>
          <w:tcPr/>
          <w:p>
            <w:pPr>
              <w:pStyle w:val="Compact"/>
              <w:jc w:val="left"/>
            </w:pPr>
            <w:r>
              <w:rPr>
                <w:rFonts w:hint="eastAsia"/>
              </w:rPr>
              <w:t xml:space="preserve">定時集荷・配送率</w:t>
            </w:r>
          </w:p>
        </w:tc>
        <w:tc>
          <w:tcPr/>
          <w:p>
            <w:pPr>
              <w:pStyle w:val="Compact"/>
              <w:jc w:val="center"/>
            </w:pPr>
            <w:r>
              <w:t xml:space="preserve">96.1%</w:t>
            </w:r>
          </w:p>
        </w:tc>
        <w:tc>
          <w:tcPr/>
          <w:p>
            <w:pPr>
              <w:pStyle w:val="Compact"/>
              <w:jc w:val="center"/>
            </w:pPr>
            <w:r>
              <w:t xml:space="preserve">95.4%</w:t>
            </w:r>
          </w:p>
        </w:tc>
        <w:tc>
          <w:tcPr/>
          <w:p>
            <w:pPr>
              <w:pStyle w:val="Compact"/>
              <w:jc w:val="center"/>
            </w:pPr>
            <w:r>
              <w:t xml:space="preserve">94.7%</w:t>
            </w:r>
          </w:p>
        </w:tc>
      </w:tr>
      <w:tr>
        <w:tc>
          <w:tcPr/>
          <w:p>
            <w:pPr>
              <w:pStyle w:val="Compact"/>
              <w:jc w:val="left"/>
            </w:pPr>
            <w:r>
              <w:rPr>
                <w:rFonts w:hint="eastAsia"/>
              </w:rPr>
              <w:t xml:space="preserve">約束期日までに帰宅したドライバー割合</w:t>
            </w:r>
          </w:p>
        </w:tc>
        <w:tc>
          <w:tcPr/>
          <w:p>
            <w:pPr>
              <w:pStyle w:val="Compact"/>
              <w:jc w:val="center"/>
            </w:pPr>
            <w:r>
              <w:t xml:space="preserve">91.8%</w:t>
            </w:r>
          </w:p>
        </w:tc>
        <w:tc>
          <w:tcPr/>
          <w:p>
            <w:pPr>
              <w:pStyle w:val="Compact"/>
              <w:jc w:val="center"/>
            </w:pPr>
            <w:r>
              <w:t xml:space="preserve">89.6%</w:t>
            </w:r>
          </w:p>
        </w:tc>
        <w:tc>
          <w:tcPr/>
          <w:p>
            <w:pPr>
              <w:pStyle w:val="Compact"/>
              <w:jc w:val="center"/>
            </w:pPr>
            <w:r>
              <w:t xml:space="preserve">87.9%</w:t>
            </w:r>
          </w:p>
        </w:tc>
      </w:tr>
      <w:tr>
        <w:tc>
          <w:tcPr/>
          <w:p>
            <w:pPr>
              <w:pStyle w:val="Compact"/>
              <w:jc w:val="left"/>
            </w:pPr>
            <w:r>
              <w:rPr>
                <w:rFonts w:hint="eastAsia"/>
              </w:rPr>
              <w:t xml:space="preserve">年換算ドライバー離職率</w:t>
            </w:r>
          </w:p>
        </w:tc>
        <w:tc>
          <w:tcPr/>
          <w:p>
            <w:pPr>
              <w:pStyle w:val="Compact"/>
              <w:jc w:val="center"/>
            </w:pPr>
            <w:r>
              <w:t xml:space="preserve">63%</w:t>
            </w:r>
          </w:p>
        </w:tc>
        <w:tc>
          <w:tcPr/>
          <w:p>
            <w:pPr>
              <w:pStyle w:val="Compact"/>
              <w:jc w:val="center"/>
            </w:pPr>
            <w:r>
              <w:t xml:space="preserve">69%</w:t>
            </w:r>
          </w:p>
        </w:tc>
        <w:tc>
          <w:tcPr/>
          <w:p>
            <w:pPr>
              <w:pStyle w:val="Compact"/>
              <w:jc w:val="center"/>
            </w:pPr>
            <w:r>
              <w:t xml:space="preserve">74%</w:t>
            </w:r>
          </w:p>
        </w:tc>
      </w:tr>
    </w:tbl>
    <w:p>
      <w:pPr>
        <w:pStyle w:val="BodyText"/>
      </w:pPr>
      <w:r>
        <w:rPr>
          <w:rFonts w:hint="eastAsia"/>
        </w:rPr>
        <w:t xml:space="preserve">出典：PrairieLine社内推計。数値はすべて架空のものである。</w:t>
      </w:r>
    </w:p>
    <w:bookmarkEnd w:id="10"/>
    <w:bookmarkEnd w:id="11"/>
    <w:bookmarkStart w:id="13" w:name="利益の地理学"/>
    <w:p>
      <w:pPr>
        <w:pStyle w:val="Heading1"/>
      </w:pPr>
      <w:r>
        <w:rPr>
          <w:rFonts w:hint="eastAsia"/>
        </w:rPr>
        <w:t xml:space="preserve">利益の地理学</w:t>
      </w:r>
    </w:p>
    <w:p>
      <w:pPr>
        <w:pStyle w:val="FirstParagraph"/>
      </w:pPr>
      <w:r>
        <w:rPr>
          <w:rFonts w:hint="eastAsia"/>
        </w:rPr>
        <w:t xml:space="preserve">トラックロード貨物が均衡した往復ペアで動くことは稀であった。PrairieLineは、中西部から北東部・南東部へ向かう家電製品や工業製品の輸送で高い運賃を得ていた。復路はしばしばそれほど魅力的ではなかった。ニューヨーク、フィラデルフィア、アトランタ、フロリダ周辺の消費市場は大量の貨物を受け取る一方、割の良い往路積荷を十分に生み出さなかった。これらの地域に配送するドライバーは、待機するか、低価格の積荷を受け入れるか、より強い市場へ空車で移動するかを選ばざるを得なかった。</w:t>
      </w:r>
    </w:p>
    <w:p>
      <w:pPr>
        <w:pStyle w:val="BodyText"/>
      </w:pPr>
      <w:r>
        <w:rPr>
          <w:rFonts w:hint="eastAsia"/>
        </w:rPr>
        <w:t xml:space="preserve">そのためディスパッチャーは、単一積荷のマージンだけでなく、それ以上を評価する必要があった。弱い目的地への収益性の高い移動は、その後数日間のドライバーの収益を減少させる可能性がある。逆に、低収益の積荷でも、ドライバーを強い市場や自宅へ向かわせるものであれば有用な場合がある。積荷の価値は配送後に何が起こるかに左右されるが、その将来の貨物の大半はまだ提示されていなかった。</w:t>
      </w:r>
    </w:p>
    <w:p>
      <w:pPr>
        <w:pStyle w:val="BodyText"/>
      </w:pPr>
      <w:r>
        <w:rPr>
          <w:rFonts w:hint="eastAsia"/>
        </w:rPr>
        <w:t xml:space="preserve">燃料は空車移動の影響を増幅させた。米国の高速道路用ディーゼルの平均小売価格は、2022年の1ガロンあたり5.21ドル、2023年の4.58ドルを経て、2025年には約3.95ドルであった。1ガロンあたり6.8マイルの燃費では、空車100マイルごとに、ドライバー賃金、整備、タイヤ、保険、合法運転時間の消費という機会費用を除いても、2025年平均価格で約58ドルの燃料費がかかる計算になる。</w:t>
      </w:r>
    </w:p>
    <w:bookmarkStart w:id="12" w:name="図表2.-金曜午後に利用可能な貨物抜粋"/>
    <w:p>
      <w:pPr>
        <w:pStyle w:val="Heading2"/>
      </w:pPr>
      <w:r>
        <w:rPr>
          <w:rFonts w:hint="eastAsia"/>
        </w:rPr>
        <w:t xml:space="preserve">図表2.</w:t>
      </w:r>
      <w:r>
        <w:t xml:space="preserve"> </w:t>
      </w:r>
      <w:r>
        <w:rPr>
          <w:rFonts w:hint="eastAsia"/>
        </w:rPr>
        <w:t xml:space="preserve">金曜午後に利用可能な貨物（抜粋）</w:t>
      </w:r>
    </w:p>
    <w:tbl>
      <w:tblPr>
        <w:tblStyle w:val="Table"/>
        <w:tblW w:type="pct" w:w="4910"/>
        <w:tblLayout w:type="fixed"/>
        <w:tblLook w:firstRow="1" w:lastRow="0" w:firstColumn="0" w:lastColumn="0" w:noHBand="0" w:noVBand="0" w:val="0020"/>
      </w:tblPr>
      <w:tblGrid>
        <w:gridCol w:w="499"/>
        <w:gridCol w:w="2497"/>
        <w:gridCol w:w="713"/>
        <w:gridCol w:w="1070"/>
        <w:gridCol w:w="1712"/>
        <w:gridCol w:w="1284"/>
      </w:tblGrid>
      <w:tr>
        <w:trPr>
          <w:tblHeader w:val="on"/>
        </w:trPr>
        <w:tc>
          <w:tcPr/>
          <w:p>
            <w:pPr>
              <w:pStyle w:val="Compact"/>
              <w:jc w:val="left"/>
            </w:pPr>
            <w:r>
              <w:rPr>
                <w:rFonts w:hint="eastAsia"/>
              </w:rPr>
              <w:t xml:space="preserve">積荷</w:t>
            </w:r>
          </w:p>
        </w:tc>
        <w:tc>
          <w:tcPr/>
          <w:p>
            <w:pPr>
              <w:pStyle w:val="Compact"/>
              <w:jc w:val="center"/>
            </w:pPr>
            <w:r>
              <w:rPr>
                <w:rFonts w:hint="eastAsia"/>
              </w:rPr>
              <w:t xml:space="preserve">起点</w:t>
            </w:r>
            <w:r>
              <w:t xml:space="preserve"> → </w:t>
            </w:r>
            <w:r>
              <w:rPr>
                <w:rFonts w:hint="eastAsia"/>
              </w:rPr>
              <w:t xml:space="preserve">終点</w:t>
            </w:r>
          </w:p>
        </w:tc>
        <w:tc>
          <w:tcPr/>
          <w:p>
            <w:pPr>
              <w:pStyle w:val="Compact"/>
            </w:pPr>
            <w:r>
              <w:rPr>
                <w:rFonts w:hint="eastAsia"/>
              </w:rPr>
              <w:t xml:space="preserve">収益</w:t>
            </w:r>
            <w:r>
              <w:t xml:space="preserve"> </w:t>
            </w:r>
            <w:r>
              <w:rPr>
                <w:rFonts w:hint="eastAsia"/>
              </w:rPr>
              <w:t xml:space="preserve">積</w:t>
            </w:r>
          </w:p>
        </w:tc>
        <w:tc>
          <w:tcPr/>
          <w:p>
            <w:pPr>
              <w:pStyle w:val="Compact"/>
            </w:pPr>
            <w:r>
              <w:rPr>
                <w:rFonts w:hint="eastAsia"/>
              </w:rPr>
              <w:t xml:space="preserve">載マイル数</w:t>
            </w:r>
            <w:r>
              <w:t xml:space="preserve"> </w:t>
            </w:r>
            <w:r>
              <w:rPr>
                <w:rFonts w:hint="eastAsia"/>
              </w:rPr>
              <w:t xml:space="preserve">集</w:t>
            </w:r>
          </w:p>
        </w:tc>
        <w:tc>
          <w:tcPr/>
          <w:p>
            <w:pPr>
              <w:pStyle w:val="Compact"/>
              <w:jc w:val="left"/>
            </w:pPr>
            <w:r>
              <w:rPr>
                <w:rFonts w:hint="eastAsia"/>
              </w:rPr>
              <w:t xml:space="preserve">荷までの空車マイル数</w:t>
            </w:r>
          </w:p>
        </w:tc>
        <w:tc>
          <w:tcPr/>
          <w:p>
            <w:pPr>
              <w:pStyle w:val="Compact"/>
              <w:jc w:val="left"/>
            </w:pPr>
            <w:r>
              <w:rPr>
                <w:rFonts w:hint="eastAsia"/>
              </w:rPr>
              <w:t xml:space="preserve">集荷期限</w:t>
            </w:r>
          </w:p>
        </w:tc>
      </w:tr>
      <w:tr>
        <w:tc>
          <w:tcPr/>
          <w:p>
            <w:pPr>
              <w:pStyle w:val="Compact"/>
              <w:jc w:val="left"/>
            </w:pPr>
            <w:r>
              <w:t xml:space="preserve">A</w:t>
            </w:r>
          </w:p>
        </w:tc>
        <w:tc>
          <w:tcPr/>
          <w:p>
            <w:pPr>
              <w:pStyle w:val="Compact"/>
              <w:jc w:val="center"/>
            </w:pPr>
            <w:r>
              <w:t xml:space="preserve">コロンバス, OH → ニューアーク,</w:t>
            </w:r>
          </w:p>
        </w:tc>
        <w:tc>
          <w:tcPr/>
          <w:p>
            <w:pPr>
              <w:pStyle w:val="Compact"/>
            </w:pPr>
            <w:r>
              <w:t xml:space="preserve">NJ $2,9</w:t>
            </w:r>
          </w:p>
        </w:tc>
        <w:tc>
          <w:tcPr/>
          <w:p>
            <w:pPr>
              <w:pStyle w:val="Compact"/>
            </w:pPr>
            <w:r>
              <w:t xml:space="preserve">50 515</w:t>
            </w:r>
          </w:p>
        </w:tc>
        <w:tc>
          <w:tcPr/>
          <w:p>
            <w:pPr>
              <w:pStyle w:val="Compact"/>
              <w:jc w:val="left"/>
            </w:pPr>
            <w:r>
              <w:t xml:space="preserve">42</w:t>
            </w:r>
          </w:p>
        </w:tc>
        <w:tc>
          <w:tcPr/>
          <w:p>
            <w:pPr>
              <w:pStyle w:val="Compact"/>
              <w:jc w:val="left"/>
            </w:pPr>
            <w:r>
              <w:rPr>
                <w:rFonts w:hint="eastAsia"/>
              </w:rPr>
              <w:t xml:space="preserve">金曜午後8:00</w:t>
            </w:r>
          </w:p>
        </w:tc>
      </w:tr>
      <w:tr>
        <w:tc>
          <w:tcPr/>
          <w:p>
            <w:pPr>
              <w:pStyle w:val="Compact"/>
              <w:jc w:val="left"/>
            </w:pPr>
            <w:r>
              <w:t xml:space="preserve">B</w:t>
            </w:r>
          </w:p>
        </w:tc>
        <w:tc>
          <w:tcPr/>
          <w:p>
            <w:pPr>
              <w:pStyle w:val="Compact"/>
              <w:jc w:val="center"/>
            </w:pPr>
            <w:r>
              <w:t xml:space="preserve">アトランタ, GA → ジャクソンビル,</w:t>
            </w:r>
          </w:p>
        </w:tc>
        <w:tc>
          <w:tcPr/>
          <w:p>
            <w:pPr>
              <w:pStyle w:val="Compact"/>
            </w:pPr>
            <w:r>
              <w:t xml:space="preserve">FL $1,</w:t>
            </w:r>
          </w:p>
        </w:tc>
        <w:tc>
          <w:tcPr/>
          <w:p>
            <w:pPr>
              <w:pStyle w:val="Compact"/>
            </w:pPr>
            <w:r>
              <w:t xml:space="preserve">080 346</w:t>
            </w:r>
          </w:p>
        </w:tc>
        <w:tc>
          <w:tcPr/>
          <w:p>
            <w:pPr>
              <w:pStyle w:val="Compact"/>
              <w:jc w:val="left"/>
            </w:pPr>
            <w:r>
              <w:t xml:space="preserve">18</w:t>
            </w:r>
          </w:p>
        </w:tc>
        <w:tc>
          <w:tcPr/>
          <w:p>
            <w:pPr>
              <w:pStyle w:val="Compact"/>
              <w:jc w:val="left"/>
            </w:pPr>
            <w:r>
              <w:rPr>
                <w:rFonts w:hint="eastAsia"/>
              </w:rPr>
              <w:t xml:space="preserve">土曜午前7:00</w:t>
            </w:r>
          </w:p>
        </w:tc>
      </w:tr>
      <w:tr>
        <w:tc>
          <w:tcPr/>
          <w:p>
            <w:pPr>
              <w:pStyle w:val="Compact"/>
              <w:jc w:val="left"/>
            </w:pPr>
            <w:r>
              <w:t xml:space="preserve">C</w:t>
            </w:r>
          </w:p>
        </w:tc>
        <w:tc>
          <w:tcPr/>
          <w:p>
            <w:pPr>
              <w:pStyle w:val="Compact"/>
              <w:jc w:val="center"/>
            </w:pPr>
            <w:r>
              <w:t xml:space="preserve">シダーラピッズ, IA → ナッシュビル,</w:t>
            </w:r>
          </w:p>
        </w:tc>
        <w:tc>
          <w:tcPr/>
          <w:p>
            <w:pPr>
              <w:pStyle w:val="Compact"/>
            </w:pPr>
            <w:r>
              <w:t xml:space="preserve">TN $2,</w:t>
            </w:r>
          </w:p>
        </w:tc>
        <w:tc>
          <w:tcPr/>
          <w:p>
            <w:pPr>
              <w:pStyle w:val="Compact"/>
            </w:pPr>
            <w:r>
              <w:t xml:space="preserve">720 620</w:t>
            </w:r>
          </w:p>
        </w:tc>
        <w:tc>
          <w:tcPr/>
          <w:p>
            <w:pPr>
              <w:pStyle w:val="Compact"/>
              <w:jc w:val="left"/>
            </w:pPr>
            <w:r>
              <w:t xml:space="preserve">96</w:t>
            </w:r>
          </w:p>
        </w:tc>
        <w:tc>
          <w:tcPr/>
          <w:p>
            <w:pPr>
              <w:pStyle w:val="Compact"/>
              <w:jc w:val="left"/>
            </w:pPr>
            <w:r>
              <w:rPr>
                <w:rFonts w:hint="eastAsia"/>
              </w:rPr>
              <w:t xml:space="preserve">土曜正午</w:t>
            </w:r>
          </w:p>
        </w:tc>
      </w:tr>
      <w:tr>
        <w:tc>
          <w:tcPr/>
          <w:p>
            <w:pPr>
              <w:pStyle w:val="Compact"/>
              <w:jc w:val="left"/>
            </w:pPr>
            <w:r>
              <w:t xml:space="preserve">D</w:t>
            </w:r>
          </w:p>
        </w:tc>
        <w:tc>
          <w:tcPr/>
          <w:p>
            <w:pPr>
              <w:pStyle w:val="Compact"/>
              <w:jc w:val="center"/>
            </w:pPr>
            <w:r>
              <w:t xml:space="preserve">アレンタウン, PA → シカゴ, IL</w:t>
            </w:r>
          </w:p>
        </w:tc>
        <w:tc>
          <w:tcPr/>
          <w:p>
            <w:pPr>
              <w:pStyle w:val="Compact"/>
            </w:pPr>
            <w:r>
              <w:t xml:space="preserve">$2,410</w:t>
            </w:r>
          </w:p>
        </w:tc>
        <w:tc>
          <w:tcPr/>
          <w:p>
            <w:pPr>
              <w:pStyle w:val="Compact"/>
            </w:pPr>
            <w:r>
              <w:t xml:space="preserve">735</w:t>
            </w:r>
          </w:p>
        </w:tc>
        <w:tc>
          <w:tcPr/>
          <w:p>
            <w:pPr>
              <w:pStyle w:val="Compact"/>
              <w:jc w:val="left"/>
            </w:pPr>
            <w:r>
              <w:t xml:space="preserve">21</w:t>
            </w:r>
          </w:p>
        </w:tc>
        <w:tc>
          <w:tcPr/>
          <w:p>
            <w:pPr>
              <w:pStyle w:val="Compact"/>
              <w:jc w:val="left"/>
            </w:pPr>
            <w:r>
              <w:rPr>
                <w:rFonts w:hint="eastAsia"/>
              </w:rPr>
              <w:t xml:space="preserve">金曜午後11:00</w:t>
            </w:r>
          </w:p>
        </w:tc>
      </w:tr>
      <w:tr>
        <w:tc>
          <w:tcPr/>
          <w:p>
            <w:pPr>
              <w:pStyle w:val="Compact"/>
              <w:jc w:val="left"/>
            </w:pPr>
            <w:r>
              <w:t xml:space="preserve">E</w:t>
            </w:r>
          </w:p>
        </w:tc>
        <w:tc>
          <w:tcPr/>
          <w:p>
            <w:pPr>
              <w:pStyle w:val="Compact"/>
              <w:jc w:val="center"/>
            </w:pPr>
            <w:r>
              <w:t xml:space="preserve">メンフィス, TN → ダラス, TX</w:t>
            </w:r>
          </w:p>
        </w:tc>
        <w:tc>
          <w:tcPr/>
          <w:p>
            <w:pPr>
              <w:pStyle w:val="Compact"/>
            </w:pPr>
            <w:r>
              <w:t xml:space="preserve">$2,180</w:t>
            </w:r>
          </w:p>
        </w:tc>
        <w:tc>
          <w:tcPr/>
          <w:p>
            <w:pPr>
              <w:pStyle w:val="Compact"/>
            </w:pPr>
            <w:r>
              <w:t xml:space="preserve">455</w:t>
            </w:r>
          </w:p>
        </w:tc>
        <w:tc>
          <w:tcPr/>
          <w:p>
            <w:pPr>
              <w:pStyle w:val="Compact"/>
              <w:jc w:val="left"/>
            </w:pPr>
            <w:r>
              <w:t xml:space="preserve">64</w:t>
            </w:r>
          </w:p>
        </w:tc>
        <w:tc>
          <w:tcPr/>
          <w:p>
            <w:pPr>
              <w:pStyle w:val="Compact"/>
              <w:jc w:val="left"/>
            </w:pPr>
            <w:r>
              <w:rPr>
                <w:rFonts w:hint="eastAsia"/>
              </w:rPr>
              <w:t xml:space="preserve">土曜午前9:00</w:t>
            </w:r>
          </w:p>
        </w:tc>
      </w:tr>
      <w:tr>
        <w:tc>
          <w:tcPr/>
          <w:p>
            <w:pPr>
              <w:pStyle w:val="Compact"/>
              <w:jc w:val="left"/>
            </w:pPr>
            <w:r>
              <w:t xml:space="preserve">F</w:t>
            </w:r>
          </w:p>
        </w:tc>
        <w:tc>
          <w:tcPr/>
          <w:p>
            <w:pPr>
              <w:pStyle w:val="Compact"/>
              <w:jc w:val="center"/>
            </w:pPr>
            <w:r>
              <w:t xml:space="preserve">ニューアーク, NJ → ハリスバーグ,</w:t>
            </w:r>
          </w:p>
        </w:tc>
        <w:tc>
          <w:tcPr/>
          <w:p>
            <w:pPr>
              <w:pStyle w:val="Compact"/>
            </w:pPr>
            <w:r>
              <w:t xml:space="preserve">PA $62</w:t>
            </w:r>
          </w:p>
        </w:tc>
        <w:tc>
          <w:tcPr/>
          <w:p>
            <w:pPr>
              <w:pStyle w:val="Compact"/>
            </w:pPr>
            <w:r>
              <w:t xml:space="preserve">0 165</w:t>
            </w:r>
          </w:p>
        </w:tc>
        <w:tc>
          <w:tcPr/>
          <w:p>
            <w:pPr>
              <w:pStyle w:val="Compact"/>
              <w:jc w:val="left"/>
            </w:pPr>
            <w:r>
              <w:t xml:space="preserve">11</w:t>
            </w:r>
          </w:p>
        </w:tc>
        <w:tc>
          <w:tcPr/>
          <w:p>
            <w:pPr>
              <w:pStyle w:val="Compact"/>
              <w:jc w:val="left"/>
            </w:pPr>
            <w:r>
              <w:rPr>
                <w:rFonts w:hint="eastAsia"/>
              </w:rPr>
              <w:t xml:space="preserve">土曜午前6:00</w:t>
            </w:r>
          </w:p>
        </w:tc>
      </w:tr>
      <w:tr>
        <w:tc>
          <w:tcPr/>
          <w:p>
            <w:pPr>
              <w:pStyle w:val="Compact"/>
              <w:jc w:val="left"/>
            </w:pPr>
            <w:r>
              <w:t xml:space="preserve">G</w:t>
            </w:r>
          </w:p>
        </w:tc>
        <w:tc>
          <w:tcPr/>
          <w:p>
            <w:pPr>
              <w:pStyle w:val="Compact"/>
              <w:jc w:val="center"/>
            </w:pPr>
            <w:r>
              <w:t xml:space="preserve">インディアナポリス, IN → アトラン</w:t>
            </w:r>
          </w:p>
        </w:tc>
        <w:tc>
          <w:tcPr/>
          <w:p>
            <w:pPr>
              <w:pStyle w:val="Compact"/>
            </w:pPr>
            <w:r>
              <w:t xml:space="preserve">タ, GA</w:t>
            </w:r>
          </w:p>
        </w:tc>
        <w:tc>
          <w:tcPr/>
          <w:p>
            <w:pPr>
              <w:pStyle w:val="Compact"/>
            </w:pPr>
            <w:r>
              <w:t xml:space="preserve">$2,060 5</w:t>
            </w:r>
          </w:p>
        </w:tc>
        <w:tc>
          <w:tcPr/>
          <w:p>
            <w:pPr>
              <w:pStyle w:val="Compact"/>
              <w:jc w:val="left"/>
            </w:pPr>
            <w:r>
              <w:t xml:space="preserve">35 33</w:t>
            </w:r>
          </w:p>
        </w:tc>
        <w:tc>
          <w:tcPr/>
          <w:p>
            <w:pPr>
              <w:pStyle w:val="Compact"/>
              <w:jc w:val="left"/>
            </w:pPr>
            <w:r>
              <w:rPr>
                <w:rFonts w:hint="eastAsia"/>
              </w:rPr>
              <w:t xml:space="preserve">土曜午後2:00</w:t>
            </w:r>
          </w:p>
        </w:tc>
      </w:tr>
    </w:tbl>
    <w:p>
      <w:pPr>
        <w:pStyle w:val="BodyText"/>
      </w:pPr>
      <w:r>
        <w:rPr>
          <w:rFonts w:hint="eastAsia"/>
        </w:rPr>
        <w:t xml:space="preserve">出典：PrairieLineディスパッチボード。数値は架空のものであり、燃料サーチャージを含まない。</w:t>
      </w:r>
    </w:p>
    <w:bookmarkEnd w:id="12"/>
    <w:bookmarkEnd w:id="13"/>
    <w:bookmarkStart w:id="15" w:name="遅れて電話をかけてくる顧客たち"/>
    <w:p>
      <w:pPr>
        <w:pStyle w:val="Heading1"/>
      </w:pPr>
      <w:r>
        <w:rPr>
          <w:rFonts w:hint="eastAsia"/>
        </w:rPr>
        <w:t xml:space="preserve">遅れて電話をかけてくる顧客たち</w:t>
      </w:r>
    </w:p>
    <w:p>
      <w:pPr>
        <w:pStyle w:val="FirstParagraph"/>
      </w:pPr>
      <w:r>
        <w:rPr>
          <w:rFonts w:hint="eastAsia"/>
        </w:rPr>
        <w:t xml:space="preserve">PrairieLineの最大顧客は、完全なスケジュールを事前に十分な余裕を持って提供することはなかった。一部の積荷は集荷の5～7日前に提示されたが、多くは1～3日前しか提示されなかった。販促セール、生産遅延、天候、顧客在庫の変化が土壇場での変動を生んでいた。ある大手荷主は月曜日に40件の積荷を提示し、翌週には同じレーンで75件を提示することもあった。</w:t>
      </w:r>
    </w:p>
    <w:p>
      <w:pPr>
        <w:pStyle w:val="BodyText"/>
      </w:pPr>
      <w:r>
        <w:rPr>
          <w:rFonts w:hint="eastAsia"/>
        </w:rPr>
        <w:t xml:space="preserve">キャリアは各積荷提示を受け入れるかどうかを迅速に決定しなければならなかった。積荷を断りすぎればサービススコアが低下し、次回の年間入札で獲得できる貨物量が減少しかねない。受け入れすぎれば対応不能に陥り、PrairieLineは高額な外部能力を購入するか、別の顧客を失望させることになる。重要なプラントの近くにドライバーを留め置くディスパッチャーもいたが、それは追加の貨物が来ることを期待していたためだった。積荷が現れなければ、ドライバーはマイル数を失い、不満を募らせた。</w:t>
      </w:r>
    </w:p>
    <w:p>
      <w:pPr>
        <w:pStyle w:val="BodyText"/>
      </w:pPr>
      <w:r>
        <w:rPr>
          <w:rFonts w:hint="eastAsia"/>
        </w:rPr>
        <w:t xml:space="preserve">公開積荷掲示板は逃げ道を提供した。PrairieLineは自社のブローカレージ部門を通じて輸送力を売買したり、ドライバーの再配置のために単発の貨物を見つけたりすることができた。しかし積荷掲示板の機会は分刻みで変化した。午後2時45分に見えていた積荷が、午後2時48分には消えていることもあった。取引相手の信頼度も様々であり、画面に表示される運賃は、荷待ち（デタンション）リスク、受入時間の困難さ、荷主がキャンセルするかどうかを示すものではなかった。</w:t>
      </w:r>
    </w:p>
    <w:bookmarkStart w:id="14" w:name="図表3.-顧客コミットメント抜粋"/>
    <w:p>
      <w:pPr>
        <w:pStyle w:val="Heading2"/>
      </w:pPr>
      <w:r>
        <w:rPr>
          <w:rFonts w:hint="eastAsia"/>
        </w:rPr>
        <w:t xml:space="preserve">図表3.</w:t>
      </w:r>
      <w:r>
        <w:t xml:space="preserve"> </w:t>
      </w:r>
      <w:r>
        <w:rPr>
          <w:rFonts w:hint="eastAsia"/>
        </w:rPr>
        <w:t xml:space="preserve">顧客コミットメント（抜粋）</w:t>
      </w:r>
    </w:p>
    <w:tbl>
      <w:tblPr>
        <w:tblStyle w:val="Table"/>
        <w:tblW w:type="pct" w:w="4918"/>
        <w:tblLayout w:type="fixed"/>
        <w:tblLook w:firstRow="1" w:lastRow="0" w:firstColumn="0" w:lastColumn="0" w:noHBand="0" w:noVBand="0" w:val="0020"/>
      </w:tblPr>
      <w:tblGrid>
        <w:gridCol w:w="1752"/>
        <w:gridCol w:w="1817"/>
        <w:gridCol w:w="1233"/>
        <w:gridCol w:w="1622"/>
        <w:gridCol w:w="1363"/>
      </w:tblGrid>
      <w:tr>
        <w:trPr>
          <w:tblHeader w:val="on"/>
        </w:trPr>
        <w:tc>
          <w:tcPr/>
          <w:p>
            <w:pPr>
              <w:pStyle w:val="Compact"/>
              <w:jc w:val="left"/>
            </w:pPr>
            <w:r>
              <w:rPr>
                <w:rFonts w:hint="eastAsia"/>
              </w:rPr>
              <w:t xml:space="preserve">顧客セグメント</w:t>
            </w:r>
          </w:p>
        </w:tc>
        <w:tc>
          <w:tcPr/>
          <w:p>
            <w:pPr>
              <w:pStyle w:val="Compact"/>
              <w:jc w:val="right"/>
            </w:pPr>
            <w:r>
              <w:rPr>
                <w:rFonts w:hint="eastAsia"/>
              </w:rPr>
              <w:t xml:space="preserve">契約収益に占める割合</w:t>
            </w:r>
            <w:r>
              <w:t xml:space="preserve"> </w:t>
            </w:r>
            <w:r>
              <w:rPr>
                <w:rFonts w:hint="eastAsia"/>
              </w:rPr>
              <w:t xml:space="preserve">提示</w:t>
            </w:r>
          </w:p>
        </w:tc>
        <w:tc>
          <w:tcPr/>
          <w:p>
            <w:pPr>
              <w:pStyle w:val="Compact"/>
              <w:jc w:val="left"/>
            </w:pPr>
            <w:r>
              <w:t xml:space="preserve">リードタイム</w:t>
            </w:r>
          </w:p>
        </w:tc>
        <w:tc>
          <w:tcPr/>
          <w:p>
            <w:pPr>
              <w:pStyle w:val="Compact"/>
            </w:pPr>
            <w:r>
              <w:rPr>
                <w:rFonts w:hint="eastAsia"/>
              </w:rPr>
              <w:t xml:space="preserve">2026年受諾目標</w:t>
            </w:r>
            <w:r>
              <w:t xml:space="preserve"> </w:t>
            </w:r>
            <w:r>
              <w:rPr>
                <w:rFonts w:hint="eastAsia"/>
              </w:rPr>
              <w:t xml:space="preserve">現在</w:t>
            </w:r>
          </w:p>
        </w:tc>
        <w:tc>
          <w:tcPr/>
          <w:p>
            <w:pPr>
              <w:pStyle w:val="Compact"/>
              <w:jc w:val="left"/>
            </w:pPr>
            <w:r>
              <w:rPr>
                <w:rFonts w:hint="eastAsia"/>
              </w:rPr>
              <w:t xml:space="preserve">の受諾率</w:t>
            </w:r>
          </w:p>
        </w:tc>
      </w:tr>
      <w:tr>
        <w:tc>
          <w:tcPr/>
          <w:p>
            <w:pPr>
              <w:pStyle w:val="Compact"/>
              <w:jc w:val="left"/>
            </w:pPr>
            <w:r>
              <w:rPr>
                <w:rFonts w:hint="eastAsia"/>
              </w:rPr>
              <w:t xml:space="preserve">産業製造</w:t>
            </w:r>
          </w:p>
        </w:tc>
        <w:tc>
          <w:tcPr/>
          <w:p>
            <w:pPr>
              <w:pStyle w:val="Compact"/>
              <w:jc w:val="right"/>
            </w:pPr>
            <w:r>
              <w:t xml:space="preserve">27%</w:t>
            </w:r>
          </w:p>
        </w:tc>
        <w:tc>
          <w:tcPr/>
          <w:p>
            <w:pPr>
              <w:pStyle w:val="Compact"/>
              <w:jc w:val="left"/>
            </w:pPr>
            <w:r>
              <w:rPr>
                <w:rFonts w:hint="eastAsia"/>
              </w:rPr>
              <w:t xml:space="preserve">1～3日</w:t>
            </w:r>
          </w:p>
        </w:tc>
        <w:tc>
          <w:tcPr/>
          <w:p>
            <w:pPr>
              <w:pStyle w:val="Compact"/>
            </w:pPr>
            <w:r>
              <w:t xml:space="preserve">95%</w:t>
            </w:r>
          </w:p>
        </w:tc>
        <w:tc>
          <w:tcPr/>
          <w:p>
            <w:pPr>
              <w:pStyle w:val="Compact"/>
              <w:jc w:val="left"/>
            </w:pPr>
            <w:r>
              <w:t xml:space="preserve">92%</w:t>
            </w:r>
          </w:p>
        </w:tc>
      </w:tr>
      <w:tr>
        <w:tc>
          <w:tcPr/>
          <w:p>
            <w:pPr>
              <w:pStyle w:val="Compact"/>
              <w:jc w:val="left"/>
            </w:pPr>
            <w:r>
              <w:rPr>
                <w:rFonts w:hint="eastAsia"/>
              </w:rPr>
              <w:t xml:space="preserve">小売流通</w:t>
            </w:r>
          </w:p>
        </w:tc>
        <w:tc>
          <w:tcPr/>
          <w:p>
            <w:pPr>
              <w:pStyle w:val="Compact"/>
              <w:jc w:val="right"/>
            </w:pPr>
            <w:r>
              <w:t xml:space="preserve">21%</w:t>
            </w:r>
          </w:p>
        </w:tc>
        <w:tc>
          <w:tcPr/>
          <w:p>
            <w:pPr>
              <w:pStyle w:val="Compact"/>
              <w:jc w:val="left"/>
            </w:pPr>
            <w:r>
              <w:rPr>
                <w:rFonts w:hint="eastAsia"/>
              </w:rPr>
              <w:t xml:space="preserve">2～5日</w:t>
            </w:r>
          </w:p>
        </w:tc>
        <w:tc>
          <w:tcPr/>
          <w:p>
            <w:pPr>
              <w:pStyle w:val="Compact"/>
            </w:pPr>
            <w:r>
              <w:t xml:space="preserve">93%</w:t>
            </w:r>
          </w:p>
        </w:tc>
        <w:tc>
          <w:tcPr/>
          <w:p>
            <w:pPr>
              <w:pStyle w:val="Compact"/>
              <w:jc w:val="left"/>
            </w:pPr>
            <w:r>
              <w:t xml:space="preserve">94%</w:t>
            </w:r>
          </w:p>
        </w:tc>
      </w:tr>
      <w:tr>
        <w:tc>
          <w:tcPr/>
          <w:p>
            <w:pPr>
              <w:pStyle w:val="Compact"/>
              <w:jc w:val="left"/>
            </w:pPr>
            <w:r>
              <w:rPr>
                <w:rFonts w:hint="eastAsia"/>
              </w:rPr>
              <w:t xml:space="preserve">食品・飲料</w:t>
            </w:r>
          </w:p>
        </w:tc>
        <w:tc>
          <w:tcPr/>
          <w:p>
            <w:pPr>
              <w:pStyle w:val="Compact"/>
              <w:jc w:val="right"/>
            </w:pPr>
            <w:r>
              <w:t xml:space="preserve">18%</w:t>
            </w:r>
          </w:p>
        </w:tc>
        <w:tc>
          <w:tcPr/>
          <w:p>
            <w:pPr>
              <w:pStyle w:val="Compact"/>
              <w:jc w:val="left"/>
            </w:pPr>
            <w:r>
              <w:rPr>
                <w:rFonts w:hint="eastAsia"/>
              </w:rPr>
              <w:t xml:space="preserve">当日～2日</w:t>
            </w:r>
          </w:p>
        </w:tc>
        <w:tc>
          <w:tcPr/>
          <w:p>
            <w:pPr>
              <w:pStyle w:val="Compact"/>
            </w:pPr>
            <w:r>
              <w:t xml:space="preserve">97%</w:t>
            </w:r>
          </w:p>
        </w:tc>
        <w:tc>
          <w:tcPr/>
          <w:p>
            <w:pPr>
              <w:pStyle w:val="Compact"/>
              <w:jc w:val="left"/>
            </w:pPr>
            <w:r>
              <w:t xml:space="preserve">93%</w:t>
            </w:r>
          </w:p>
        </w:tc>
      </w:tr>
      <w:tr>
        <w:tc>
          <w:tcPr/>
          <w:p>
            <w:pPr>
              <w:pStyle w:val="Compact"/>
              <w:jc w:val="left"/>
            </w:pPr>
            <w:r>
              <w:rPr>
                <w:rFonts w:hint="eastAsia"/>
              </w:rPr>
              <w:t xml:space="preserve">建築資材</w:t>
            </w:r>
          </w:p>
        </w:tc>
        <w:tc>
          <w:tcPr/>
          <w:p>
            <w:pPr>
              <w:pStyle w:val="Compact"/>
              <w:jc w:val="right"/>
            </w:pPr>
            <w:r>
              <w:t xml:space="preserve">14%</w:t>
            </w:r>
          </w:p>
        </w:tc>
        <w:tc>
          <w:tcPr/>
          <w:p>
            <w:pPr>
              <w:pStyle w:val="Compact"/>
              <w:jc w:val="left"/>
            </w:pPr>
            <w:r>
              <w:rPr>
                <w:rFonts w:hint="eastAsia"/>
              </w:rPr>
              <w:t xml:space="preserve">1～4日</w:t>
            </w:r>
          </w:p>
        </w:tc>
        <w:tc>
          <w:tcPr/>
          <w:p>
            <w:pPr>
              <w:pStyle w:val="Compact"/>
            </w:pPr>
            <w:r>
              <w:t xml:space="preserve">92%</w:t>
            </w:r>
          </w:p>
        </w:tc>
        <w:tc>
          <w:tcPr/>
          <w:p>
            <w:pPr>
              <w:pStyle w:val="Compact"/>
              <w:jc w:val="left"/>
            </w:pPr>
            <w:r>
              <w:t xml:space="preserve">89%</w:t>
            </w:r>
          </w:p>
        </w:tc>
      </w:tr>
      <w:tr>
        <w:tc>
          <w:tcPr/>
          <w:p>
            <w:pPr>
              <w:pStyle w:val="Compact"/>
              <w:jc w:val="left"/>
            </w:pPr>
            <w:r>
              <w:rPr>
                <w:rFonts w:hint="eastAsia"/>
              </w:rPr>
              <w:t xml:space="preserve">消費財</w:t>
            </w:r>
          </w:p>
        </w:tc>
        <w:tc>
          <w:tcPr/>
          <w:p>
            <w:pPr>
              <w:pStyle w:val="Compact"/>
              <w:jc w:val="right"/>
            </w:pPr>
            <w:r>
              <w:t xml:space="preserve">11%</w:t>
            </w:r>
          </w:p>
        </w:tc>
        <w:tc>
          <w:tcPr/>
          <w:p>
            <w:pPr>
              <w:pStyle w:val="Compact"/>
              <w:jc w:val="left"/>
            </w:pPr>
            <w:r>
              <w:rPr>
                <w:rFonts w:hint="eastAsia"/>
              </w:rPr>
              <w:t xml:space="preserve">3～7日</w:t>
            </w:r>
          </w:p>
        </w:tc>
        <w:tc>
          <w:tcPr/>
          <w:p>
            <w:pPr>
              <w:pStyle w:val="Compact"/>
            </w:pPr>
            <w:r>
              <w:t xml:space="preserve">90%</w:t>
            </w:r>
          </w:p>
        </w:tc>
        <w:tc>
          <w:tcPr/>
          <w:p>
            <w:pPr>
              <w:pStyle w:val="Compact"/>
              <w:jc w:val="left"/>
            </w:pPr>
            <w:r>
              <w:t xml:space="preserve">91%</w:t>
            </w:r>
          </w:p>
        </w:tc>
      </w:tr>
      <w:tr>
        <w:tc>
          <w:tcPr/>
          <w:p>
            <w:pPr>
              <w:pStyle w:val="Compact"/>
              <w:jc w:val="left"/>
            </w:pPr>
            <w:r>
              <w:rPr>
                <w:rFonts w:hint="eastAsia"/>
              </w:rPr>
              <w:t xml:space="preserve">その他</w:t>
            </w:r>
          </w:p>
        </w:tc>
        <w:tc>
          <w:tcPr/>
          <w:p>
            <w:pPr>
              <w:pStyle w:val="Compact"/>
              <w:jc w:val="right"/>
            </w:pPr>
            <w:r>
              <w:t xml:space="preserve">9%</w:t>
            </w:r>
          </w:p>
        </w:tc>
        <w:tc>
          <w:tcPr/>
          <w:p>
            <w:pPr>
              <w:pStyle w:val="Compact"/>
              <w:jc w:val="left"/>
            </w:pPr>
            <w:r>
              <w:rPr>
                <w:rFonts w:hint="eastAsia"/>
              </w:rPr>
              <w:t xml:space="preserve">様々</w:t>
            </w:r>
          </w:p>
        </w:tc>
        <w:tc>
          <w:tcPr/>
          <w:p>
            <w:pPr>
              <w:pStyle w:val="Compact"/>
            </w:pPr>
            <w:r>
              <w:t xml:space="preserve">—</w:t>
            </w:r>
          </w:p>
        </w:tc>
        <w:tc>
          <w:tcPr/>
          <w:p>
            <w:pPr>
              <w:pStyle w:val="Compact"/>
              <w:jc w:val="left"/>
            </w:pPr>
            <w:r>
              <w:t xml:space="preserve">—</w:t>
            </w:r>
          </w:p>
        </w:tc>
      </w:tr>
    </w:tbl>
    <w:p>
      <w:pPr>
        <w:pStyle w:val="BodyText"/>
      </w:pPr>
      <w:r>
        <w:rPr>
          <w:rFonts w:hint="eastAsia"/>
        </w:rPr>
        <w:t xml:space="preserve">出典：PrairieLine社内顧客スコアカード。架空の数値。</w:t>
      </w:r>
    </w:p>
    <w:bookmarkEnd w:id="14"/>
    <w:bookmarkEnd w:id="15"/>
    <w:bookmarkStart w:id="17" w:name="ドライバーの時計"/>
    <w:p>
      <w:pPr>
        <w:pStyle w:val="Heading1"/>
      </w:pPr>
      <w:r>
        <w:rPr>
          <w:rFonts w:hint="eastAsia"/>
        </w:rPr>
        <w:t xml:space="preserve">ドライバーの時計</w:t>
      </w:r>
    </w:p>
    <w:p>
      <w:pPr>
        <w:pStyle w:val="FirstParagraph"/>
      </w:pPr>
      <w:r>
        <w:rPr>
          <w:rFonts w:hint="eastAsia"/>
        </w:rPr>
        <w:t xml:space="preserve">トラクターは、利用可能なドライバーと組み合わされて初めて有用となる。連邦の運転時間規制（hours-of-service）では、財産輸送ドライバーは連続10時間のオフデューティ後、14時間の勤務ウィンドウ内で最大11時間運転することが一般的に許可されている。顧客先での待機は、トラックが動いていない場合でも勤務ウィンドウを消費しうる。積込予約の遅延は、実行可能な割当を、宿泊や配送遅延を要するものへと変えてしまうことがある。</w:t>
      </w:r>
    </w:p>
    <w:p>
      <w:pPr>
        <w:pStyle w:val="BodyText"/>
      </w:pPr>
      <w:r>
        <w:rPr>
          <w:rFonts w:hint="eastAsia"/>
        </w:rPr>
        <w:t xml:space="preserve">ディスパッチャーはまた、ドライバーの希望や帰宅約束を尊重しなければならなかった。アトランタ近郊のあるドライバーは、ノックスビルでの娘の日曜午後の卒業式に出席すると約束していた。ペンシルベニア州の別のドライバーは、西行きの割当なら追加で1週間出続けることを厭わなかった。3人目のドライバーは、2回の困難な配送の後、ニューヨーク市の貨物を断っていた。計画システムは合法な運転可能時間と帰宅先を表示していたが、ドライバーの希望の強さや、ディスパッチャーが交わした非公式な約束を常に反映しているわけではなかった。</w:t>
      </w:r>
    </w:p>
    <w:p>
      <w:pPr>
        <w:pStyle w:val="BodyText"/>
      </w:pPr>
      <w:r>
        <w:rPr>
          <w:rFonts w:hint="eastAsia"/>
        </w:rPr>
        <w:t xml:space="preserve">経営陣は、ディスパッチャーにどの程度の裁量を持たせるべきかで意見が分かれていた。Chenは、一貫性のないローカルな判断が空車マイル増加の一因になっていると考えていた。安全担当副社長は、システム上効率的に見える割当も、天候、駐車場の空き、顧客側の遅延、ドライバーの疲労を考慮すれば非現実的になり得ると主張した。採用担当責任者は、割当を強制すれば今週の稼働率は改善するかもしれないが、今後6か月の離職率を悪化させかねないと警告した。</w:t>
      </w:r>
    </w:p>
    <w:bookmarkStart w:id="16" w:name="図表4.-選定市場における金曜日のドライバー稼働可能状況"/>
    <w:p>
      <w:pPr>
        <w:pStyle w:val="Heading2"/>
      </w:pPr>
      <w:r>
        <w:rPr>
          <w:rFonts w:hint="eastAsia"/>
        </w:rPr>
        <w:t xml:space="preserve">図表4.</w:t>
      </w:r>
      <w:r>
        <w:t xml:space="preserve"> </w:t>
      </w:r>
      <w:r>
        <w:rPr>
          <w:rFonts w:hint="eastAsia"/>
        </w:rPr>
        <w:t xml:space="preserve">選定市場における金曜日のドライバー稼働可能状況</w:t>
      </w:r>
    </w:p>
    <w:tbl>
      <w:tblPr>
        <w:tblStyle w:val="Table"/>
        <w:tblW w:type="pct" w:w="4935"/>
        <w:tblLayout w:type="fixed"/>
        <w:tblLook w:firstRow="1" w:lastRow="0" w:firstColumn="0" w:lastColumn="0" w:noHBand="0" w:noVBand="0" w:val="0020"/>
      </w:tblPr>
      <w:tblGrid>
        <w:gridCol w:w="1863"/>
        <w:gridCol w:w="1708"/>
        <w:gridCol w:w="931"/>
        <w:gridCol w:w="1397"/>
        <w:gridCol w:w="1915"/>
      </w:tblGrid>
      <w:tr>
        <w:trPr>
          <w:tblHeader w:val="on"/>
        </w:trPr>
        <w:tc>
          <w:tcPr/>
          <w:p>
            <w:pPr>
              <w:pStyle w:val="Compact"/>
            </w:pPr>
            <w:r>
              <w:rPr>
                <w:rFonts w:hint="eastAsia"/>
              </w:rPr>
              <w:t xml:space="preserve">市場</w:t>
            </w:r>
            <w:r>
              <w:t xml:space="preserve"> </w:t>
            </w:r>
            <w:r>
              <w:rPr>
                <w:rFonts w:hint="eastAsia"/>
              </w:rPr>
              <w:t xml:space="preserve">土</w:t>
            </w:r>
          </w:p>
        </w:tc>
        <w:tc>
          <w:tcPr/>
          <w:p>
            <w:pPr>
              <w:pStyle w:val="Compact"/>
            </w:pPr>
            <w:r>
              <w:rPr>
                <w:rFonts w:hint="eastAsia"/>
              </w:rPr>
              <w:t xml:space="preserve">曜正午までに稼働可能なドライバー数</w:t>
            </w:r>
          </w:p>
        </w:tc>
        <w:tc>
          <w:tcPr/>
          <w:p>
            <w:pPr>
              <w:pStyle w:val="Compact"/>
              <w:jc w:val="right"/>
            </w:pPr>
            <w:r>
              <w:rPr>
                <w:rFonts w:hint="eastAsia"/>
              </w:rPr>
              <w:t xml:space="preserve">確定積荷数</w:t>
            </w:r>
            <w:r>
              <w:t xml:space="preserve"> </w:t>
            </w:r>
            <w:r>
              <w:rPr>
                <w:rFonts w:hint="eastAsia"/>
              </w:rPr>
              <w:t xml:space="preserve">未</w:t>
            </w:r>
          </w:p>
        </w:tc>
        <w:tc>
          <w:tcPr/>
          <w:p>
            <w:pPr>
              <w:pStyle w:val="Compact"/>
            </w:pPr>
            <w:r>
              <w:rPr>
                <w:rFonts w:hint="eastAsia"/>
              </w:rPr>
              <w:t xml:space="preserve">割当の提示積荷数</w:t>
            </w:r>
            <w:r>
              <w:t xml:space="preserve"> </w:t>
            </w:r>
            <w:r>
              <w:rPr>
                <w:rFonts w:hint="eastAsia"/>
              </w:rPr>
              <w:t xml:space="preserve">日曜まで</w:t>
            </w:r>
          </w:p>
        </w:tc>
        <w:tc>
          <w:tcPr/>
          <w:p>
            <w:pPr>
              <w:pStyle w:val="Compact"/>
              <w:jc w:val="left"/>
            </w:pPr>
            <w:r>
              <w:rPr>
                <w:rFonts w:hint="eastAsia"/>
              </w:rPr>
              <w:t xml:space="preserve">に帰宅期限があるドライバー数</w:t>
            </w:r>
          </w:p>
        </w:tc>
      </w:tr>
      <w:tr>
        <w:tc>
          <w:tcPr/>
          <w:p>
            <w:pPr>
              <w:pStyle w:val="Compact"/>
            </w:pPr>
            <w:r>
              <w:t xml:space="preserve">アトランタ / </w:t>
            </w:r>
            <w:r>
              <w:rPr>
                <w:rFonts w:hint="eastAsia"/>
              </w:rPr>
              <w:t xml:space="preserve">ジョージア州北部</w:t>
            </w:r>
          </w:p>
        </w:tc>
        <w:tc>
          <w:tcPr/>
          <w:p>
            <w:pPr>
              <w:pStyle w:val="Compact"/>
            </w:pPr>
            <w:r>
              <w:t xml:space="preserve">47</w:t>
            </w:r>
          </w:p>
        </w:tc>
        <w:tc>
          <w:tcPr/>
          <w:p>
            <w:pPr>
              <w:pStyle w:val="Compact"/>
              <w:jc w:val="right"/>
            </w:pPr>
            <w:r>
              <w:t xml:space="preserve">29</w:t>
            </w:r>
          </w:p>
        </w:tc>
        <w:tc>
          <w:tcPr/>
          <w:p>
            <w:pPr>
              <w:pStyle w:val="Compact"/>
            </w:pPr>
            <w:r>
              <w:t xml:space="preserve">18</w:t>
            </w:r>
          </w:p>
        </w:tc>
        <w:tc>
          <w:tcPr/>
          <w:p>
            <w:pPr>
              <w:pStyle w:val="Compact"/>
              <w:jc w:val="left"/>
            </w:pPr>
            <w:r>
              <w:t xml:space="preserve">21</w:t>
            </w:r>
          </w:p>
        </w:tc>
      </w:tr>
      <w:tr>
        <w:tc>
          <w:tcPr/>
          <w:p>
            <w:pPr>
              <w:pStyle w:val="Compact"/>
            </w:pPr>
            <w:r>
              <w:t xml:space="preserve">ニュージャージー / </w:t>
            </w:r>
            <w:r>
              <w:rPr>
                <w:rFonts w:hint="eastAsia"/>
              </w:rPr>
              <w:t xml:space="preserve">ペンシルベニア州東</w:t>
            </w:r>
          </w:p>
        </w:tc>
        <w:tc>
          <w:tcPr/>
          <w:p>
            <w:pPr>
              <w:pStyle w:val="Compact"/>
            </w:pPr>
            <w:r>
              <w:rPr>
                <w:rFonts w:hint="eastAsia"/>
              </w:rPr>
              <w:t xml:space="preserve">部</w:t>
            </w:r>
            <w:r>
              <w:t xml:space="preserve"> 39</w:t>
            </w:r>
          </w:p>
        </w:tc>
        <w:tc>
          <w:tcPr/>
          <w:p>
            <w:pPr>
              <w:pStyle w:val="Compact"/>
              <w:jc w:val="right"/>
            </w:pPr>
            <w:r>
              <w:t xml:space="preserve">25</w:t>
            </w:r>
          </w:p>
        </w:tc>
        <w:tc>
          <w:tcPr/>
          <w:p>
            <w:pPr>
              <w:pStyle w:val="Compact"/>
            </w:pPr>
            <w:r>
              <w:t xml:space="preserve">12</w:t>
            </w:r>
          </w:p>
        </w:tc>
        <w:tc>
          <w:tcPr/>
          <w:p>
            <w:pPr>
              <w:pStyle w:val="Compact"/>
              <w:jc w:val="left"/>
            </w:pPr>
            <w:r>
              <w:t xml:space="preserve">16</w:t>
            </w:r>
          </w:p>
        </w:tc>
      </w:tr>
      <w:tr>
        <w:tc>
          <w:tcPr/>
          <w:p>
            <w:pPr>
              <w:pStyle w:val="Compact"/>
            </w:pPr>
            <w:r>
              <w:rPr>
                <w:rFonts w:hint="eastAsia"/>
              </w:rPr>
              <w:t xml:space="preserve">オハイオ州中部</w:t>
            </w:r>
          </w:p>
        </w:tc>
        <w:tc>
          <w:tcPr/>
          <w:p>
            <w:pPr>
              <w:pStyle w:val="Compact"/>
            </w:pPr>
            <w:r>
              <w:t xml:space="preserve">22</w:t>
            </w:r>
          </w:p>
        </w:tc>
        <w:tc>
          <w:tcPr/>
          <w:p>
            <w:pPr>
              <w:pStyle w:val="Compact"/>
              <w:jc w:val="right"/>
            </w:pPr>
            <w:r>
              <w:t xml:space="preserve">31</w:t>
            </w:r>
          </w:p>
        </w:tc>
        <w:tc>
          <w:tcPr/>
          <w:p>
            <w:pPr>
              <w:pStyle w:val="Compact"/>
            </w:pPr>
            <w:r>
              <w:t xml:space="preserve">27</w:t>
            </w:r>
          </w:p>
        </w:tc>
        <w:tc>
          <w:tcPr/>
          <w:p>
            <w:pPr>
              <w:pStyle w:val="Compact"/>
              <w:jc w:val="left"/>
            </w:pPr>
            <w:r>
              <w:t xml:space="preserve">8</w:t>
            </w:r>
          </w:p>
        </w:tc>
      </w:tr>
      <w:tr>
        <w:tc>
          <w:tcPr/>
          <w:p>
            <w:pPr>
              <w:pStyle w:val="Compact"/>
            </w:pPr>
            <w:r>
              <w:rPr>
                <w:rFonts w:hint="eastAsia"/>
              </w:rPr>
              <w:t xml:space="preserve">アイオワ州</w:t>
            </w:r>
            <w:r>
              <w:t xml:space="preserve"> / </w:t>
            </w:r>
            <w:r>
              <w:rPr>
                <w:rFonts w:hint="eastAsia"/>
              </w:rPr>
              <w:t xml:space="preserve">ミネソタ州南部</w:t>
            </w:r>
          </w:p>
        </w:tc>
        <w:tc>
          <w:tcPr/>
          <w:p>
            <w:pPr>
              <w:pStyle w:val="Compact"/>
            </w:pPr>
            <w:r>
              <w:t xml:space="preserve">14</w:t>
            </w:r>
          </w:p>
        </w:tc>
        <w:tc>
          <w:tcPr/>
          <w:p>
            <w:pPr>
              <w:pStyle w:val="Compact"/>
              <w:jc w:val="right"/>
            </w:pPr>
            <w:r>
              <w:t xml:space="preserve">21</w:t>
            </w:r>
          </w:p>
        </w:tc>
        <w:tc>
          <w:tcPr/>
          <w:p>
            <w:pPr>
              <w:pStyle w:val="Compact"/>
            </w:pPr>
            <w:r>
              <w:t xml:space="preserve">19</w:t>
            </w:r>
          </w:p>
        </w:tc>
        <w:tc>
          <w:tcPr/>
          <w:p>
            <w:pPr>
              <w:pStyle w:val="Compact"/>
              <w:jc w:val="left"/>
            </w:pPr>
            <w:r>
              <w:t xml:space="preserve">4</w:t>
            </w:r>
          </w:p>
        </w:tc>
      </w:tr>
      <w:tr>
        <w:tc>
          <w:tcPr/>
          <w:p>
            <w:pPr>
              <w:pStyle w:val="Compact"/>
            </w:pPr>
            <w:r>
              <w:t xml:space="preserve">メンフィス / </w:t>
            </w:r>
            <w:r>
              <w:rPr>
                <w:rFonts w:hint="eastAsia"/>
              </w:rPr>
              <w:t xml:space="preserve">テネシー州西部</w:t>
            </w:r>
          </w:p>
        </w:tc>
        <w:tc>
          <w:tcPr/>
          <w:p>
            <w:pPr>
              <w:pStyle w:val="Compact"/>
            </w:pPr>
            <w:r>
              <w:t xml:space="preserve">19</w:t>
            </w:r>
          </w:p>
        </w:tc>
        <w:tc>
          <w:tcPr/>
          <w:p>
            <w:pPr>
              <w:pStyle w:val="Compact"/>
              <w:jc w:val="right"/>
            </w:pPr>
            <w:r>
              <w:t xml:space="preserve">18</w:t>
            </w:r>
          </w:p>
        </w:tc>
        <w:tc>
          <w:tcPr/>
          <w:p>
            <w:pPr>
              <w:pStyle w:val="Compact"/>
            </w:pPr>
            <w:r>
              <w:t xml:space="preserve">23</w:t>
            </w:r>
          </w:p>
        </w:tc>
        <w:tc>
          <w:tcPr/>
          <w:p>
            <w:pPr>
              <w:pStyle w:val="Compact"/>
              <w:jc w:val="left"/>
            </w:pPr>
            <w:r>
              <w:t xml:space="preserve">7</w:t>
            </w:r>
          </w:p>
        </w:tc>
      </w:tr>
      <w:tr>
        <w:tc>
          <w:tcPr/>
          <w:p>
            <w:pPr>
              <w:pStyle w:val="Compact"/>
            </w:pPr>
            <w:r>
              <w:t xml:space="preserve">ダラス / </w:t>
            </w:r>
            <w:r>
              <w:rPr>
                <w:rFonts w:hint="eastAsia"/>
              </w:rPr>
              <w:t xml:space="preserve">テキサス州北部</w:t>
            </w:r>
          </w:p>
        </w:tc>
        <w:tc>
          <w:tcPr/>
          <w:p>
            <w:pPr>
              <w:pStyle w:val="Compact"/>
            </w:pPr>
            <w:r>
              <w:t xml:space="preserve">31</w:t>
            </w:r>
          </w:p>
        </w:tc>
        <w:tc>
          <w:tcPr/>
          <w:p>
            <w:pPr>
              <w:pStyle w:val="Compact"/>
              <w:jc w:val="right"/>
            </w:pPr>
            <w:r>
              <w:t xml:space="preserve">28</w:t>
            </w:r>
          </w:p>
        </w:tc>
        <w:tc>
          <w:tcPr/>
          <w:p>
            <w:pPr>
              <w:pStyle w:val="Compact"/>
            </w:pPr>
            <w:r>
              <w:t xml:space="preserve">16</w:t>
            </w:r>
          </w:p>
        </w:tc>
        <w:tc>
          <w:tcPr/>
          <w:p>
            <w:pPr>
              <w:pStyle w:val="Compact"/>
              <w:jc w:val="left"/>
            </w:pPr>
            <w:r>
              <w:t xml:space="preserve">11</w:t>
            </w:r>
          </w:p>
        </w:tc>
      </w:tr>
      <w:tr>
        <w:tc>
          <w:tcPr/>
          <w:p>
            <w:pPr>
              <w:pStyle w:val="Compact"/>
            </w:pPr>
            <w:r>
              <w:t xml:space="preserve">インディアナポリス / ルイビル</w:t>
            </w:r>
          </w:p>
        </w:tc>
        <w:tc>
          <w:tcPr/>
          <w:p>
            <w:pPr>
              <w:pStyle w:val="Compact"/>
            </w:pPr>
            <w:r>
              <w:t xml:space="preserve">28</w:t>
            </w:r>
          </w:p>
        </w:tc>
        <w:tc>
          <w:tcPr/>
          <w:p>
            <w:pPr>
              <w:pStyle w:val="Compact"/>
              <w:jc w:val="right"/>
            </w:pPr>
            <w:r>
              <w:t xml:space="preserve">34</w:t>
            </w:r>
          </w:p>
        </w:tc>
        <w:tc>
          <w:tcPr/>
          <w:p>
            <w:pPr>
              <w:pStyle w:val="Compact"/>
            </w:pPr>
            <w:r>
              <w:t xml:space="preserve">23</w:t>
            </w:r>
          </w:p>
        </w:tc>
        <w:tc>
          <w:tcPr/>
          <w:p>
            <w:pPr>
              <w:pStyle w:val="Compact"/>
              <w:jc w:val="left"/>
            </w:pPr>
            <w:r>
              <w:t xml:space="preserve">13</w:t>
            </w:r>
          </w:p>
        </w:tc>
      </w:tr>
    </w:tbl>
    <w:p>
      <w:pPr>
        <w:pStyle w:val="BodyText"/>
      </w:pPr>
      <w:r>
        <w:rPr>
          <w:rFonts w:hint="eastAsia"/>
        </w:rPr>
        <w:t xml:space="preserve">出典：午後2時40分時点のPrairieLine計画スナップショット。架空の数値。</w:t>
      </w:r>
    </w:p>
    <w:bookmarkEnd w:id="16"/>
    <w:bookmarkEnd w:id="17"/>
    <w:bookmarkStart w:id="19" w:name="入札シーズン"/>
    <w:p>
      <w:pPr>
        <w:pStyle w:val="Heading1"/>
      </w:pPr>
      <w:r>
        <w:rPr>
          <w:rFonts w:hint="eastAsia"/>
        </w:rPr>
        <w:t xml:space="preserve">入札シーズン</w:t>
      </w:r>
    </w:p>
    <w:p>
      <w:pPr>
        <w:pStyle w:val="FirstParagraph"/>
      </w:pPr>
      <w:r>
        <w:rPr>
          <w:rFonts w:hint="eastAsia"/>
        </w:rPr>
        <w:t xml:space="preserve">目下のディスパッチ問題は、年間入札シーズンの最中に発生した。荷主各社はキャリアに対し、翌年の数千の起点・終点レーンについて価格と想定能力の見積もりを求めていた。あるレーンを獲得しても予測された貨物量が実現する保証はなかったが、価格と約束された受諾水準はPrairieLineのネットワークを今後数か月にわたって形作ることになる。</w:t>
      </w:r>
    </w:p>
    <w:p>
      <w:pPr>
        <w:pStyle w:val="BodyText"/>
      </w:pPr>
      <w:r>
        <w:rPr>
          <w:rFonts w:hint="eastAsia"/>
        </w:rPr>
        <w:t xml:space="preserve">営業部門は、需要回復の兆しが見える中西部発のレーンで積極的な入札を望んでいた。オペレーション部門は、東行き貨物を取りすぎれば、さらに多くのドライバーが弱い往路市場に配置されることになると懸念していた。財務部門は、ブローカレージの役割拡大を好んでいた。すべてのピークをカバーするだけのトラクターを保有しなくても顧客貨物を受け入れられるからだ。ドライバー採用担当は、オハイオ州とテネシー州に新たな拠点（ドミサイル）を設けることを提案したが、各拠点はドライバーを確実に帰宅させるだけの十分な貨物の流れを必要としていた。</w:t>
      </w:r>
    </w:p>
    <w:p>
      <w:pPr>
        <w:pStyle w:val="BodyText"/>
      </w:pPr>
      <w:r>
        <w:rPr>
          <w:rFonts w:hint="eastAsia"/>
        </w:rPr>
        <w:t xml:space="preserve">同社はまた、何台のトラクターとトレーラーを運行すべきかも決定しなければならなかった。新型トラクターは燃費と信頼性を改善するが、マージンが薄い時期に資本を必要とした。余剰トラクターを駐車させておくことは柔軟性を保つが、減価償却費と資金調達コストを生んだ。車両数を削減すれば稼働率は改善するかもしれないが、貨物需要が予想外に強まった場合にPrairieLineは対応力を欠くことになる。</w:t>
      </w:r>
    </w:p>
    <w:bookmarkStart w:id="18" w:name="図表5.-2027年に向けた経営陣の提案"/>
    <w:p>
      <w:pPr>
        <w:pStyle w:val="Heading2"/>
      </w:pPr>
      <w:r>
        <w:rPr>
          <w:rFonts w:hint="eastAsia"/>
        </w:rPr>
        <w:t xml:space="preserve">図表5.</w:t>
      </w:r>
      <w:r>
        <w:t xml:space="preserve"> </w:t>
      </w:r>
      <w:r>
        <w:rPr>
          <w:rFonts w:hint="eastAsia"/>
        </w:rPr>
        <w:t xml:space="preserve">2027年に向けた経営陣の提案</w:t>
      </w:r>
    </w:p>
    <w:tbl>
      <w:tblPr>
        <w:tblStyle w:val="Table"/>
        <w:tblW w:type="pct" w:w="4944"/>
        <w:tblLayout w:type="fixed"/>
        <w:tblLook w:firstRow="1" w:lastRow="0" w:firstColumn="0" w:lastColumn="0" w:noHBand="0" w:noVBand="0" w:val="0020"/>
      </w:tblPr>
      <w:tblGrid>
        <w:gridCol w:w="1913"/>
        <w:gridCol w:w="1334"/>
        <w:gridCol w:w="2180"/>
        <w:gridCol w:w="2402"/>
      </w:tblGrid>
      <w:tr>
        <w:trPr>
          <w:tblHeader w:val="on"/>
        </w:trPr>
        <w:tc>
          <w:tcPr/>
          <w:p>
            <w:pPr>
              <w:pStyle w:val="Compact"/>
              <w:jc w:val="left"/>
            </w:pPr>
            <w:r>
              <w:rPr>
                <w:rFonts w:hint="eastAsia"/>
              </w:rPr>
              <w:t xml:space="preserve">提案</w:t>
            </w:r>
          </w:p>
        </w:tc>
        <w:tc>
          <w:tcPr/>
          <w:p>
            <w:pPr>
              <w:pStyle w:val="Compact"/>
              <w:jc w:val="center"/>
            </w:pPr>
            <w:r>
              <w:rPr>
                <w:rFonts w:hint="eastAsia"/>
              </w:rPr>
              <w:t xml:space="preserve">年間見積コミットメント</w:t>
            </w:r>
          </w:p>
        </w:tc>
        <w:tc>
          <w:tcPr/>
          <w:p>
            <w:pPr>
              <w:pStyle w:val="Compact"/>
              <w:jc w:val="center"/>
            </w:pPr>
            <w:r>
              <w:rPr>
                <w:rFonts w:hint="eastAsia"/>
              </w:rPr>
              <w:t xml:space="preserve">想定される利点</w:t>
            </w:r>
          </w:p>
        </w:tc>
        <w:tc>
          <w:tcPr/>
          <w:p>
            <w:pPr>
              <w:pStyle w:val="Compact"/>
              <w:jc w:val="center"/>
            </w:pPr>
            <w:r>
              <w:rPr>
                <w:rFonts w:hint="eastAsia"/>
              </w:rPr>
              <w:t xml:space="preserve">主な懸念事項</w:t>
            </w:r>
          </w:p>
        </w:tc>
      </w:tr>
      <w:tr>
        <w:tc>
          <w:tcPr/>
          <w:p>
            <w:pPr>
              <w:pStyle w:val="Compact"/>
              <w:jc w:val="left"/>
            </w:pPr>
            <w:r>
              <w:rPr>
                <w:rFonts w:hint="eastAsia"/>
              </w:rPr>
              <w:t xml:space="preserve">オハイオ州・テネシー州にドライバー90人を追加</w:t>
            </w:r>
          </w:p>
        </w:tc>
        <w:tc>
          <w:tcPr/>
          <w:p>
            <w:pPr>
              <w:pStyle w:val="Compact"/>
              <w:jc w:val="center"/>
            </w:pPr>
            <w:r>
              <w:t xml:space="preserve">$7.8 million</w:t>
            </w:r>
          </w:p>
        </w:tc>
        <w:tc>
          <w:tcPr/>
          <w:p>
            <w:pPr>
              <w:pStyle w:val="Compact"/>
              <w:jc w:val="center"/>
            </w:pPr>
            <w:r>
              <w:rPr>
                <w:rFonts w:hint="eastAsia"/>
              </w:rPr>
              <w:t xml:space="preserve">強い往路市場でのカバー率を改善</w:t>
            </w:r>
          </w:p>
        </w:tc>
        <w:tc>
          <w:tcPr/>
          <w:p>
            <w:pPr>
              <w:pStyle w:val="Compact"/>
              <w:jc w:val="center"/>
            </w:pPr>
            <w:r>
              <w:rPr>
                <w:rFonts w:hint="eastAsia"/>
              </w:rPr>
              <w:t xml:space="preserve">採用の成否と復路貨物の不確実性</w:t>
            </w:r>
          </w:p>
        </w:tc>
      </w:tr>
      <w:tr>
        <w:tc>
          <w:tcPr/>
          <w:p>
            <w:pPr>
              <w:pStyle w:val="Compact"/>
              <w:jc w:val="left"/>
            </w:pPr>
            <w:r>
              <w:rPr>
                <w:rFonts w:hint="eastAsia"/>
              </w:rPr>
              <w:t xml:space="preserve">ブローカレージ能力の拡大</w:t>
            </w:r>
          </w:p>
        </w:tc>
        <w:tc>
          <w:tcPr/>
          <w:p>
            <w:pPr>
              <w:pStyle w:val="Compact"/>
              <w:jc w:val="center"/>
            </w:pPr>
            <w:r>
              <w:t xml:space="preserve">$3.2 million</w:t>
            </w:r>
          </w:p>
        </w:tc>
        <w:tc>
          <w:tcPr/>
          <w:p>
            <w:pPr>
              <w:pStyle w:val="Compact"/>
              <w:jc w:val="center"/>
            </w:pPr>
            <w:r>
              <w:rPr>
                <w:rFonts w:hint="eastAsia"/>
              </w:rPr>
              <w:t xml:space="preserve">全機材を保有せずピークをカバー</w:t>
            </w:r>
          </w:p>
        </w:tc>
        <w:tc>
          <w:tcPr/>
          <w:p>
            <w:pPr>
              <w:pStyle w:val="Compact"/>
              <w:jc w:val="center"/>
            </w:pPr>
            <w:r>
              <w:rPr>
                <w:rFonts w:hint="eastAsia"/>
              </w:rPr>
              <w:t xml:space="preserve">サービスと購入運賃に対する統制力の低下</w:t>
            </w:r>
          </w:p>
        </w:tc>
      </w:tr>
      <w:tr>
        <w:tc>
          <w:tcPr/>
          <w:p>
            <w:pPr>
              <w:pStyle w:val="Compact"/>
              <w:jc w:val="left"/>
            </w:pPr>
            <w:r>
              <w:rPr>
                <w:rFonts w:hint="eastAsia"/>
              </w:rPr>
              <w:t xml:space="preserve">トラクター車両数を75台削減</w:t>
            </w:r>
          </w:p>
        </w:tc>
        <w:tc>
          <w:tcPr/>
          <w:p>
            <w:pPr>
              <w:pStyle w:val="Compact"/>
              <w:jc w:val="center"/>
            </w:pPr>
            <w:r>
              <w:t xml:space="preserve">$1.9 million savings</w:t>
            </w:r>
          </w:p>
        </w:tc>
        <w:tc>
          <w:tcPr/>
          <w:p>
            <w:pPr>
              <w:pStyle w:val="Compact"/>
              <w:jc w:val="center"/>
            </w:pPr>
            <w:r>
              <w:rPr>
                <w:rFonts w:hint="eastAsia"/>
              </w:rPr>
              <w:t xml:space="preserve">稼働率とキャッシュフローを改善</w:t>
            </w:r>
          </w:p>
        </w:tc>
        <w:tc>
          <w:tcPr/>
          <w:p>
            <w:pPr>
              <w:pStyle w:val="Compact"/>
              <w:jc w:val="center"/>
            </w:pPr>
            <w:r>
              <w:rPr>
                <w:rFonts w:hint="eastAsia"/>
              </w:rPr>
              <w:t xml:space="preserve">貨物が回復した場合の能力不足</w:t>
            </w:r>
          </w:p>
        </w:tc>
      </w:tr>
      <w:tr>
        <w:tc>
          <w:tcPr/>
          <w:p>
            <w:pPr>
              <w:pStyle w:val="Compact"/>
              <w:jc w:val="left"/>
            </w:pPr>
            <w:r>
              <w:rPr>
                <w:rFonts w:hint="eastAsia"/>
              </w:rPr>
              <w:t xml:space="preserve">ディスパッチ最適化プラットフォームの導入</w:t>
            </w:r>
          </w:p>
        </w:tc>
        <w:tc>
          <w:tcPr/>
          <w:p>
            <w:pPr>
              <w:pStyle w:val="Compact"/>
              <w:jc w:val="center"/>
            </w:pPr>
            <w:r>
              <w:t xml:space="preserve">$2.6 million</w:t>
            </w:r>
          </w:p>
        </w:tc>
        <w:tc>
          <w:tcPr/>
          <w:p>
            <w:pPr>
              <w:pStyle w:val="Compact"/>
              <w:jc w:val="center"/>
            </w:pPr>
            <w:r>
              <w:rPr>
                <w:rFonts w:hint="eastAsia"/>
              </w:rPr>
              <w:t xml:space="preserve">空車マイルを削減し割当を標準化</w:t>
            </w:r>
          </w:p>
        </w:tc>
        <w:tc>
          <w:tcPr/>
          <w:p>
            <w:pPr>
              <w:pStyle w:val="Compact"/>
              <w:jc w:val="center"/>
            </w:pPr>
            <w:r>
              <w:rPr>
                <w:rFonts w:hint="eastAsia"/>
              </w:rPr>
              <w:t xml:space="preserve">ディスパッチャーおよびドライバーの受容</w:t>
            </w:r>
          </w:p>
        </w:tc>
      </w:tr>
      <w:tr>
        <w:tc>
          <w:tcPr/>
          <w:p>
            <w:pPr>
              <w:pStyle w:val="Compact"/>
              <w:jc w:val="left"/>
            </w:pPr>
            <w:r>
              <w:rPr>
                <w:rFonts w:hint="eastAsia"/>
              </w:rPr>
              <w:t xml:space="preserve">帰宅時間保証プレミアムの提供</w:t>
            </w:r>
          </w:p>
        </w:tc>
        <w:tc>
          <w:tcPr/>
          <w:p>
            <w:pPr>
              <w:pStyle w:val="Compact"/>
              <w:jc w:val="center"/>
            </w:pPr>
            <w:r>
              <w:t xml:space="preserve">$4.1 million</w:t>
            </w:r>
          </w:p>
        </w:tc>
        <w:tc>
          <w:tcPr/>
          <w:p>
            <w:pPr>
              <w:pStyle w:val="Compact"/>
              <w:jc w:val="center"/>
            </w:pPr>
            <w:r>
              <w:rPr>
                <w:rFonts w:hint="eastAsia"/>
              </w:rPr>
              <w:t xml:space="preserve">採用と定着率を改善</w:t>
            </w:r>
          </w:p>
        </w:tc>
        <w:tc>
          <w:tcPr/>
          <w:p>
            <w:pPr>
              <w:pStyle w:val="Compact"/>
              <w:jc w:val="center"/>
            </w:pPr>
            <w:r>
              <w:rPr>
                <w:rFonts w:hint="eastAsia"/>
              </w:rPr>
              <w:t xml:space="preserve">積荷選択を制約し空車マイルを増やす可能性</w:t>
            </w:r>
          </w:p>
        </w:tc>
      </w:tr>
      <w:tr>
        <w:tc>
          <w:tcPr/>
          <w:p>
            <w:pPr>
              <w:pStyle w:val="Compact"/>
              <w:jc w:val="left"/>
            </w:pPr>
            <w:r>
              <w:rPr>
                <w:rFonts w:hint="eastAsia"/>
              </w:rPr>
              <w:t xml:space="preserve">スポット市場への参加拡大</w:t>
            </w:r>
          </w:p>
        </w:tc>
        <w:tc>
          <w:tcPr/>
          <w:p>
            <w:pPr>
              <w:pStyle w:val="Compact"/>
              <w:jc w:val="center"/>
            </w:pPr>
            <w:r>
              <w:t xml:space="preserve">Variable</w:t>
            </w:r>
          </w:p>
        </w:tc>
        <w:tc>
          <w:tcPr/>
          <w:p>
            <w:pPr>
              <w:pStyle w:val="Compact"/>
              <w:jc w:val="center"/>
            </w:pPr>
            <w:r>
              <w:rPr>
                <w:rFonts w:hint="eastAsia"/>
              </w:rPr>
              <w:t xml:space="preserve">高運賃の短期機会を獲得</w:t>
            </w:r>
          </w:p>
        </w:tc>
        <w:tc>
          <w:tcPr/>
          <w:p>
            <w:pPr>
              <w:pStyle w:val="Compact"/>
              <w:jc w:val="center"/>
            </w:pPr>
            <w:r>
              <w:rPr>
                <w:rFonts w:hint="eastAsia"/>
              </w:rPr>
              <w:t xml:space="preserve">変動性と契約サービスの弱体化</w:t>
            </w:r>
          </w:p>
        </w:tc>
      </w:tr>
    </w:tbl>
    <w:p>
      <w:pPr>
        <w:pStyle w:val="BodyText"/>
      </w:pPr>
      <w:r>
        <w:rPr>
          <w:rFonts w:hint="eastAsia"/>
        </w:rPr>
        <w:t xml:space="preserve">出典：PrairieLine予備計画見積もり。架空の数値。</w:t>
      </w:r>
    </w:p>
    <w:bookmarkEnd w:id="18"/>
    <w:bookmarkEnd w:id="19"/>
    <w:bookmarkStart w:id="20" w:name="問題を見る4つの視点"/>
    <w:p>
      <w:pPr>
        <w:pStyle w:val="Heading1"/>
      </w:pPr>
      <w:r>
        <w:rPr>
          <w:rFonts w:hint="eastAsia"/>
        </w:rPr>
        <w:t xml:space="preserve">問題を見る4つの視点</w:t>
      </w:r>
    </w:p>
    <w:p>
      <w:pPr>
        <w:pStyle w:val="FirstParagraph"/>
      </w:pPr>
      <w:r>
        <w:rPr>
          <w:rFonts w:hint="eastAsia"/>
        </w:rPr>
        <w:t xml:space="preserve">Chenはネットワーク調整問題として捉えていた。彼女は、PrairieLineが積荷とドライバーの評価をあまりにも局所的に行っており、各割当が車両群をどこに残すかへの配慮が不十分だと考えていた。彼女は、将来発生しうる貨物のためにドライバーの一部を確保し、ブローカレージをより体系的に活用し、各割当の下流での価値に関する共通の指標をディスパッチャーに与えることを望んでいた。</w:t>
      </w:r>
    </w:p>
    <w:p>
      <w:pPr>
        <w:pStyle w:val="BodyText"/>
      </w:pPr>
      <w:r>
        <w:rPr>
          <w:rFonts w:hint="eastAsia"/>
        </w:rPr>
        <w:t xml:space="preserve">最高商業責任者Rafael</w:t>
      </w:r>
      <w:r>
        <w:t xml:space="preserve"> </w:t>
      </w:r>
      <w:r>
        <w:rPr>
          <w:rFonts w:hint="eastAsia"/>
        </w:rPr>
        <w:t xml:space="preserve">Torresは顧客問題として捉えていた。彼は、2027年に収益性の高い貨物を提供する可能性が最も高い顧客に対して、受諾率と定時サービスをキャリアが保護しなければならないと主張した。今日限界的な積荷を断れば、次回の入札サイクルでレーン全体を失いかねない。彼は、あらゆる積荷をその場の経済性だけで扱うのではなく、オペレーション部門が戦略顧客の貨物と機会的な取引とを区別することを望んでいた。</w:t>
      </w:r>
    </w:p>
    <w:p>
      <w:pPr>
        <w:pStyle w:val="BodyText"/>
      </w:pPr>
      <w:r>
        <w:rPr>
          <w:rFonts w:hint="eastAsia"/>
        </w:rPr>
        <w:t xml:space="preserve">最高人事責任者Dana</w:t>
      </w:r>
      <w:r>
        <w:t xml:space="preserve"> </w:t>
      </w:r>
      <w:r>
        <w:rPr>
          <w:rFonts w:hint="eastAsia"/>
        </w:rPr>
        <w:t xml:space="preserve">Wilkesはドライバー問題として捉えていた。PrairieLineの予測可能な帰宅時間という約束は弱まりつつあり、離職率は上昇していた。彼女は、より狭い運行地域、明確な帰宅時間コミットメント、待機時間や好ましくない割当に対してドライバーに報酬を与える給与制度を支持していた。彼女は、こうした方針がネットワークの柔軟性を低下させうることを認めつつも、乗員のいないトラクターは収益をまったく生まないと主張した。</w:t>
      </w:r>
    </w:p>
    <w:p>
      <w:pPr>
        <w:pStyle w:val="BodyText"/>
      </w:pPr>
      <w:r>
        <w:rPr>
          <w:rFonts w:hint="eastAsia"/>
        </w:rPr>
        <w:t xml:space="preserve">最高財務責任者Evan</w:t>
      </w:r>
      <w:r>
        <w:t xml:space="preserve"> </w:t>
      </w:r>
      <w:r>
        <w:rPr>
          <w:rFonts w:hint="eastAsia"/>
        </w:rPr>
        <w:t xml:space="preserve">Brooksは資本とリスクの問題として捉えていた。彼は、不確実なピークをカバーするだけの機材をPrairieLineが保有すべきかどうかを疑問視していた。彼は、貨物量がより明確になるまで、トラクター台数の削減、ブローカレージの拡大、より短期の顧客コミットメントの活用を支持していた。他の役員たちは、自社保有車両群の縮小がサービス統制力を損ない、まさに能力が逼迫する時期にスポット価格へさらされることになると懸念していた。</w:t>
      </w:r>
    </w:p>
    <w:bookmarkEnd w:id="20"/>
    <w:bookmarkStart w:id="21" w:name="金曜日の決断"/>
    <w:p>
      <w:pPr>
        <w:pStyle w:val="Heading1"/>
      </w:pPr>
      <w:r>
        <w:rPr>
          <w:rFonts w:hint="eastAsia"/>
        </w:rPr>
        <w:t xml:space="preserve">金曜日の決断</w:t>
      </w:r>
    </w:p>
    <w:p>
      <w:pPr>
        <w:pStyle w:val="FirstParagraph"/>
      </w:pPr>
      <w:r>
        <w:rPr>
          <w:rFonts w:hint="eastAsia"/>
        </w:rPr>
        <w:t xml:space="preserve">午後3時15分までに、未回答の積荷提示件数は151件に増加していた。ある食品顧客がアイオワから南東部への冷蔵積荷11件を追加した。ある建築資材顧客は、プラントが生産を停止したためオハイオの積荷6件を取り下げた。ニュージャージーからオハイオへの積荷掲示板の投稿価格は250ドル上昇したが、PrairieLineのブローカーが電話をかけ終える前にその積荷は消えてしまった。</w:t>
      </w:r>
    </w:p>
    <w:p>
      <w:pPr>
        <w:pStyle w:val="BodyText"/>
      </w:pPr>
      <w:r>
        <w:rPr>
          <w:rFonts w:hint="eastAsia"/>
        </w:rPr>
        <w:t xml:space="preserve">Chenは夜間ディスパッチチームに指示を与えなければならなかった。彼女は、目に見える積荷の中で最も貢献度の高いものを重視することも、最良の契約顧客を保護することも、ドライバーを帰宅方向へ向かわせる割当を優先することも、まだ現れていない貨物を見越してドライバーを確保しておくこともできた。それぞれのルールは異なる勝者と敗者を生むことになる。折衷的なアプローチは合理的に聞こえたが、誰もその重み付けについて合意しておらず、状況は会議で結論を出せるより速く変化していた。</w:t>
      </w:r>
    </w:p>
    <w:p>
      <w:pPr>
        <w:pStyle w:val="BodyText"/>
      </w:pPr>
      <w:r>
        <w:rPr>
          <w:rFonts w:hint="eastAsia"/>
        </w:rPr>
        <w:t xml:space="preserve">月曜日には、経営陣は2027年のレーン入札、拠点変更、ブローカレージ拡大、車両群規模、提案されているディスパッチプラットフォームについても検討を始める予定だった。金曜日の割当は、毎週数千件の決定を行う会社にとってほんの数百件の決定にすぎなかったが、それはより深い問いを露わにしていた。すなわち、PrairieLineは自社のネットワークをどのような姿にしたいのか、そしてそこへ到達するためにどれだけの短期的な業績を犠牲にする意思があるのか、という問いである。</w:t>
      </w:r>
    </w:p>
    <w:bookmarkEnd w:id="21"/>
    <w:bookmarkStart w:id="22" w:name="討議設問"/>
    <w:p>
      <w:pPr>
        <w:pStyle w:val="Heading1"/>
      </w:pPr>
      <w:r>
        <w:rPr>
          <w:rFonts w:hint="eastAsia"/>
        </w:rPr>
        <w:t xml:space="preserve">討議設問</w:t>
      </w:r>
    </w:p>
    <w:p>
      <w:pPr>
        <w:numPr>
          <w:ilvl w:val="0"/>
          <w:numId w:val="1001"/>
        </w:numPr>
      </w:pPr>
      <w:r>
        <w:rPr>
          <w:rFonts w:hint="eastAsia"/>
        </w:rPr>
        <w:t xml:space="preserve">金曜日午後にPrairieLineが直面している中心的な問題は何か。</w:t>
      </w:r>
    </w:p>
    <w:p>
      <w:pPr>
        <w:numPr>
          <w:ilvl w:val="0"/>
          <w:numId w:val="1001"/>
        </w:numPr>
      </w:pPr>
      <w:r>
        <w:rPr>
          <w:rFonts w:hint="eastAsia"/>
        </w:rPr>
        <w:t xml:space="preserve">即時のマージンは魅力的だが目的地の往路貨物が弱い積荷を、経営陣はどのように評価すべきか。</w:t>
      </w:r>
    </w:p>
    <w:p>
      <w:pPr>
        <w:numPr>
          <w:ilvl w:val="0"/>
          <w:numId w:val="1001"/>
        </w:numPr>
      </w:pPr>
      <w:r>
        <w:rPr>
          <w:rFonts w:hint="eastAsia"/>
        </w:rPr>
        <w:t xml:space="preserve">能力が全ての提示積荷をカバーするのに不十分な場合、どの顧客コミットメントを優先すべきか。</w:t>
      </w:r>
    </w:p>
    <w:p>
      <w:pPr>
        <w:numPr>
          <w:ilvl w:val="0"/>
          <w:numId w:val="1001"/>
        </w:numPr>
      </w:pPr>
      <w:r>
        <w:rPr>
          <w:rFonts w:hint="eastAsia"/>
        </w:rPr>
        <w:t xml:space="preserve">ドライバーの帰宅時間コミットメントと割当に関する希望は、ディスパッチの意思決定にどのように影響すべきか。</w:t>
      </w:r>
    </w:p>
    <w:p>
      <w:pPr>
        <w:numPr>
          <w:ilvl w:val="0"/>
          <w:numId w:val="1001"/>
        </w:numPr>
      </w:pPr>
      <w:r>
        <w:rPr>
          <w:rFonts w:hint="eastAsia"/>
        </w:rPr>
        <w:t xml:space="preserve">PrairieLineは、いつ低価格の再配置積荷を受け入れるのではなく、ドライバーを空車で移動させるべきか。</w:t>
      </w:r>
    </w:p>
    <w:p>
      <w:pPr>
        <w:numPr>
          <w:ilvl w:val="0"/>
          <w:numId w:val="1001"/>
        </w:numPr>
      </w:pPr>
      <w:r>
        <w:rPr>
          <w:rFonts w:hint="eastAsia"/>
        </w:rPr>
        <w:t xml:space="preserve">金曜日のディスパッチボードには、割当を大きく変えうるどのような情報が欠けているか。</w:t>
      </w:r>
    </w:p>
    <w:p>
      <w:pPr>
        <w:numPr>
          <w:ilvl w:val="0"/>
          <w:numId w:val="1001"/>
        </w:numPr>
      </w:pPr>
      <w:r>
        <w:rPr>
          <w:rFonts w:hint="eastAsia"/>
        </w:rPr>
        <w:t xml:space="preserve">同社は自社ドライバーと外部ブローカレージ能力の間で貨物をどのように配分すべきか。</w:t>
      </w:r>
    </w:p>
    <w:p>
      <w:pPr>
        <w:numPr>
          <w:ilvl w:val="0"/>
          <w:numId w:val="1001"/>
        </w:numPr>
      </w:pPr>
      <w:r>
        <w:rPr>
          <w:rFonts w:hint="eastAsia"/>
        </w:rPr>
        <w:t xml:space="preserve">PrairieLineはレーンごとの年間価格と能力コミットメントを入札する際、何を考慮すべきか。</w:t>
      </w:r>
    </w:p>
    <w:p>
      <w:pPr>
        <w:numPr>
          <w:ilvl w:val="0"/>
          <w:numId w:val="1001"/>
        </w:numPr>
      </w:pPr>
      <w:r>
        <w:rPr>
          <w:rFonts w:hint="eastAsia"/>
        </w:rPr>
        <w:t xml:space="preserve">オハイオ州とテネシー州にドライバーを追加することは、ネットワークを改善するのか、それとも単に不均衡を別の場所に移すだけなのか。</w:t>
      </w:r>
    </w:p>
    <w:p>
      <w:pPr>
        <w:numPr>
          <w:ilvl w:val="0"/>
          <w:numId w:val="1001"/>
        </w:numPr>
      </w:pPr>
      <w:r>
        <w:rPr>
          <w:rFonts w:hint="eastAsia"/>
        </w:rPr>
        <w:t xml:space="preserve">PrairieLineは、提案されているディスパッチプラットフォームが顧客、ドライバー、将来期間の間でコストを移動させているだけでなく、実際に業績を改善していることをどのように判断すべきか。</w:t>
      </w:r>
    </w:p>
    <w:bookmarkEnd w:id="22"/>
    <w:bookmarkStart w:id="28" w:name="意思決定フレーミング設問"/>
    <w:p>
      <w:pPr>
        <w:pStyle w:val="Heading1"/>
      </w:pPr>
      <w:r>
        <w:rPr>
          <w:rFonts w:hint="eastAsia"/>
        </w:rPr>
        <w:t xml:space="preserve">意思決定フレーミング設問</w:t>
      </w:r>
    </w:p>
    <w:p>
      <w:pPr>
        <w:numPr>
          <w:ilvl w:val="0"/>
          <w:numId w:val="1002"/>
        </w:numPr>
      </w:pPr>
      <w:r>
        <w:rPr>
          <w:rFonts w:hint="eastAsia"/>
        </w:rPr>
        <w:t xml:space="preserve">意思決定者の責任を特定し記述せよ。これにより問題の範囲が定まる。</w:t>
      </w:r>
    </w:p>
    <w:p>
      <w:pPr>
        <w:numPr>
          <w:ilvl w:val="0"/>
          <w:numId w:val="1002"/>
        </w:numPr>
      </w:pPr>
      <w:hyperlink r:id="rId23">
        <w:r>
          <w:rPr>
            <w:rStyle w:val="Hyperlink"/>
          </w:rPr>
          <w:t xml:space="preserve">メトリクス・ピラミッド・ツール</w:t>
        </w:r>
      </w:hyperlink>
      <w:r>
        <w:rPr>
          <w:rFonts w:hint="eastAsia"/>
        </w:rPr>
        <w:t xml:space="preserve">を用いて、さまざまな業績指標を特定し優先順位を付けよ。指標を保持する楕円をクリックして、それが最大化すべき指標（緑）、最小化すべき指標（赤）、下限としてのターゲット（薄緑）、上限としてのターゲット（薄赤）、あるいは単なるターゲット（紫）のいずれであるかを示すこと。</w:t>
      </w:r>
    </w:p>
    <w:p>
      <w:pPr>
        <w:numPr>
          <w:ilvl w:val="0"/>
          <w:numId w:val="1002"/>
        </w:numPr>
      </w:pPr>
      <w:hyperlink r:id="rId24">
        <w:r>
          <w:rPr>
            <w:rStyle w:val="Hyperlink"/>
            <w:rFonts w:hint="eastAsia"/>
          </w:rPr>
          <w:t xml:space="preserve">決定優先順位付けツール</w:t>
        </w:r>
      </w:hyperlink>
      <w:r>
        <w:rPr>
          <w:rFonts w:hint="eastAsia"/>
        </w:rPr>
        <w:t xml:space="preserve">を用いて、まずさまざまな種類の決定を列挙せよ（</w:t>
      </w:r>
      <w:hyperlink r:id="rId25">
        <w:r>
          <w:rPr>
            <w:rStyle w:val="Hyperlink"/>
            <w:rFonts w:hint="eastAsia"/>
          </w:rPr>
          <w:t xml:space="preserve">決定の種類</w:t>
        </w:r>
      </w:hyperlink>
      <w:r>
        <w:rPr>
          <w:rFonts w:hint="eastAsia"/>
        </w:rPr>
        <w:t xml:space="preserve">を手引きとして使用すること）。これらは右側の行列の行を構成し、列は上記のピラミッドで優先順位付けされた業績指標を左から順に並べたものとなる。各セルをクリックして、その決定が各指標に与える影響が高い（赤）、中程度（オレンジ）、低い（黄）、なし（白）のいずれかを示すこと。</w:t>
      </w:r>
    </w:p>
    <w:p>
      <w:pPr>
        <w:numPr>
          <w:ilvl w:val="0"/>
          <w:numId w:val="1002"/>
        </w:numPr>
      </w:pPr>
      <w:r>
        <w:rPr>
          <w:rFonts w:hint="eastAsia"/>
        </w:rPr>
        <w:t xml:space="preserve">各行の一番左にあるハンドル（三本線）をつかんで、行を上下に移動できる。最も重要な指標に最も大きな影響を与える決定が上位に来るよう行を並べ替えよ。左上隅のセルには、赤とオレンジのセルが最も密集しているべきである。この時点で、あなたの検討において最も注意を払うべき決定を特定せよ。最も重要な指標に対して中程度または高い影響を持つ決定が一つもない場合は、決定のリストを見直すこと。</w:t>
      </w:r>
    </w:p>
    <w:p>
      <w:pPr>
        <w:numPr>
          <w:ilvl w:val="0"/>
          <w:numId w:val="1002"/>
        </w:numPr>
      </w:pPr>
      <w:hyperlink r:id="rId26">
        <w:r>
          <w:rPr>
            <w:rStyle w:val="Hyperlink"/>
            <w:rFonts w:hint="eastAsia"/>
          </w:rPr>
          <w:t xml:space="preserve">不確実性優先順位付けツール</w:t>
        </w:r>
      </w:hyperlink>
      <w:r>
        <w:rPr>
          <w:rFonts w:hint="eastAsia"/>
        </w:rPr>
        <w:t xml:space="preserve">を用いて、不確実性についても同様に列挙し優先順位付けを行え。</w:t>
      </w:r>
      <w:hyperlink r:id="rId27">
        <w:r>
          <w:rPr>
            <w:rStyle w:val="Hyperlink"/>
            <w:rFonts w:hint="eastAsia"/>
          </w:rPr>
          <w:t xml:space="preserve">不確実性のカテゴリー</w:t>
        </w:r>
      </w:hyperlink>
      <w:r>
        <w:rPr>
          <w:rFonts w:hint="eastAsia"/>
        </w:rPr>
        <w:t xml:space="preserve">を手引きとして用いること。</w:t>
      </w:r>
    </w:p>
    <w:p>
      <w:pPr>
        <w:numPr>
          <w:ilvl w:val="0"/>
          <w:numId w:val="1002"/>
        </w:numPr>
      </w:pPr>
      <w:r>
        <w:rPr>
          <w:rFonts w:hint="eastAsia"/>
        </w:rPr>
        <w:t xml:space="preserve">平均値として評価できる不確実性と、リスクイベントとして評価すべき不確実性を区別することが重要である。</w:t>
      </w:r>
    </w:p>
    <w:p>
      <w:pPr>
        <w:numPr>
          <w:ilvl w:val="1"/>
          <w:numId w:val="1003"/>
        </w:numPr>
      </w:pPr>
      <w:r>
        <w:rPr>
          <w:rFonts w:hint="eastAsia"/>
        </w:rPr>
        <w:t xml:space="preserve">どの不確実性の源が、時間平均の業績として捉えられるか。</w:t>
      </w:r>
    </w:p>
    <w:p>
      <w:pPr>
        <w:numPr>
          <w:ilvl w:val="1"/>
          <w:numId w:val="1003"/>
        </w:numPr>
      </w:pPr>
      <w:r>
        <w:rPr>
          <w:rFonts w:hint="eastAsia"/>
        </w:rPr>
        <w:t xml:space="preserve">どの不確実性の源が、平均値では適切に捉えられないリスクの形態を表しているか。</w:t>
      </w:r>
    </w:p>
    <w:p>
      <w:pPr>
        <w:numPr>
          <w:ilvl w:val="0"/>
          <w:numId w:val="1002"/>
        </w:numPr>
      </w:pPr>
      <w:r>
        <w:rPr>
          <w:rFonts w:hint="eastAsia"/>
        </w:rPr>
        <w:t xml:space="preserve">最も重要な指標に最も大きな影響を与えると思われる決定を一つ選べ。</w:t>
      </w:r>
    </w:p>
    <w:p>
      <w:pPr>
        <w:numPr>
          <w:ilvl w:val="1"/>
          <w:numId w:val="1004"/>
        </w:numPr>
      </w:pPr>
      <w:r>
        <w:rPr>
          <w:rFonts w:hint="eastAsia"/>
        </w:rPr>
        <w:t xml:space="preserve">この決定を下すためにどのようなアプローチを用いると考えられるか。</w:t>
      </w:r>
    </w:p>
    <w:p>
      <w:pPr>
        <w:numPr>
          <w:ilvl w:val="1"/>
          <w:numId w:val="1004"/>
        </w:numPr>
      </w:pPr>
      <w:r>
        <w:rPr>
          <w:rFonts w:hint="eastAsia"/>
        </w:rPr>
        <w:t xml:space="preserve">この決定を下すために必要と思われるデータは何か。決定が高いまたは中程度の影響を持つ業績指標の計算に必要なデータを含めること。</w:t>
      </w:r>
    </w:p>
    <w:p>
      <w:pPr>
        <w:numPr>
          <w:ilvl w:val="0"/>
          <w:numId w:val="1002"/>
        </w:numPr>
      </w:pPr>
      <w:r>
        <w:rPr>
          <w:rFonts w:hint="eastAsia"/>
        </w:rPr>
        <w:t xml:space="preserve">(7)で特定したのと同じ決定について、その実行のために協力する必要のある人物、部門、グループ、または組織を特定せよ。</w:t>
      </w:r>
    </w:p>
    <w:bookmarkEnd w:id="28"/>
    <w:bookmarkStart w:id="31" w:name="chatgpt-ノート"/>
    <w:p>
      <w:pPr>
        <w:pStyle w:val="Heading1"/>
      </w:pPr>
      <w:r>
        <w:t xml:space="preserve">ChatGPT ノート</w:t>
      </w:r>
    </w:p>
    <w:bookmarkStart w:id="29" w:name="プロンプト"/>
    <w:p>
      <w:pPr>
        <w:pStyle w:val="Heading2"/>
      </w:pPr>
      <w:r>
        <w:t xml:space="preserve">プロンプト</w:t>
      </w:r>
    </w:p>
    <w:p>
      <w:pPr>
        <w:pStyle w:val="FirstParagraph"/>
      </w:pPr>
      <w:r>
        <w:t xml:space="preserve">https://warrenpowell.org/bridging-vol1/chapter-2/#truckload-fleet-management </w:t>
      </w:r>
      <w:r>
        <w:rPr>
          <w:rFonts w:hint="eastAsia"/>
        </w:rPr>
        <w:t xml:space="preserve">の節にある内容に基づき、4～6ページのケーススタディを作成せよ。その節にある指標、決定、不確実性に基づいた文脈を作成するが、それらを明示的に取り上げないこと。ケースの動機付けを行うこと</w:t>
      </w:r>
      <w:r>
        <w:t xml:space="preserve"> Bottom of Form</w:t>
      </w:r>
    </w:p>
    <w:bookmarkEnd w:id="29"/>
    <w:bookmarkStart w:id="30" w:name="要約"/>
    <w:p>
      <w:pPr>
        <w:pStyle w:val="Heading2"/>
      </w:pPr>
      <w:r>
        <w:rPr>
          <w:rFonts w:hint="eastAsia"/>
        </w:rPr>
        <w:t xml:space="preserve">要約</w:t>
      </w:r>
    </w:p>
    <w:p>
      <w:pPr>
        <w:pStyle w:val="FirstParagraph"/>
      </w:pPr>
      <w:r>
        <w:rPr>
          <w:rFonts w:hint="eastAsia"/>
        </w:rPr>
        <w:t xml:space="preserve">本ケースは、日々の積荷受諾、ドライバー割当、顧客コミットメント、帰宅時間の約束、ブローカレージ能力、年間レーン入札、車両群規模を調整しようとする、架空の中規模トラックロードキャリアを取り上げている。</w:t>
      </w:r>
    </w:p>
    <w:p>
      <w:pPr>
        <w:pStyle w:val="BodyText"/>
      </w:pPr>
      <w:r>
        <w:rPr>
          <w:rFonts w:hint="eastAsia"/>
        </w:rPr>
        <w:t xml:space="preserve">この設定は、2024年にトラックが米国貨物112億7000万トンを輸送し、約9,060億ドルの収益を生み出したという業界データに動機付けられている。本ケースはまた、連邦のドライバー雇用データ、運転時間規制データ、ディーゼル価格データも参考にしている。</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4" Target="https://warrenpowell.org/decision-framing-tool/#decision-prioritization-tool" TargetMode="External" /><Relationship Type="http://schemas.openxmlformats.org/officeDocument/2006/relationships/hyperlink" Id="rId23" Target="https://warrenpowell.org/decision-framing-tool/#metrics-pyramid-tool" TargetMode="External" /><Relationship Type="http://schemas.openxmlformats.org/officeDocument/2006/relationships/hyperlink" Id="rId26" Target="https://warrenpowell.org/decision-framing-tool/#uncertainty-prioritization-tool" TargetMode="External" /><Relationship Type="http://schemas.openxmlformats.org/officeDocument/2006/relationships/hyperlink" Id="rId25" Target="https://warrenpowell.org/decisionsdecisions/#types-of-decision-settings" TargetMode="External" /><Relationship Type="http://schemas.openxmlformats.org/officeDocument/2006/relationships/hyperlink" Id="rId27" Target="https://warrenpowell.org/modeling-uncertainty/#categories" TargetMode="External" /></Relationships>
</file>

<file path=word/_rels/footnotes.xml.rels><?xml version="1.0" encoding="UTF-8"?><Relationships xmlns="http://schemas.openxmlformats.org/package/2006/relationships"><Relationship Type="http://schemas.openxmlformats.org/officeDocument/2006/relationships/hyperlink" Id="rId24" Target="https://warrenpowell.org/decision-framing-tool/#decision-prioritization-tool" TargetMode="External" /><Relationship Type="http://schemas.openxmlformats.org/officeDocument/2006/relationships/hyperlink" Id="rId23" Target="https://warrenpowell.org/decision-framing-tool/#metrics-pyramid-tool" TargetMode="External" /><Relationship Type="http://schemas.openxmlformats.org/officeDocument/2006/relationships/hyperlink" Id="rId26" Target="https://warrenpowell.org/decision-framing-tool/#uncertainty-prioritization-tool" TargetMode="External" /><Relationship Type="http://schemas.openxmlformats.org/officeDocument/2006/relationships/hyperlink" Id="rId25" Target="https://warrenpowell.org/decisionsdecisions/#types-of-decision-settings" TargetMode="External" /><Relationship Type="http://schemas.openxmlformats.org/officeDocument/2006/relationships/hyperlink" Id="rId27" Target="https://warrenpowell.org/modeling-uncertainty/#catego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2026-09-11T17:54:45Z</dcterms:created>
  <dcterms:modified xsi:type="dcterms:W3CDTF">2026-09-11T17:54:45Z</dcterms:modified>
</cp:coreProperties>
</file>

<file path=docProps/custom.xml><?xml version="1.0" encoding="utf-8"?>
<Properties xmlns="http://schemas.openxmlformats.org/officeDocument/2006/custom-properties" xmlns:vt="http://schemas.openxmlformats.org/officeDocument/2006/docPropsVTypes"/>
</file>