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レッドウッドの資金の針の穴"/>
    <w:p>
      <w:pPr>
        <w:pStyle w:val="Heading1"/>
      </w:pPr>
      <w:r>
        <w:rPr>
          <w:rFonts w:hint="eastAsia"/>
        </w:rPr>
        <w:t xml:space="preserve">レッドウッドの資金の針の穴</w:t>
      </w:r>
    </w:p>
    <w:p>
      <w:pPr>
        <w:pStyle w:val="FirstParagraph"/>
      </w:pPr>
      <w:r>
        <w:rPr>
          <w:rFonts w:hint="eastAsia"/>
        </w:rPr>
        <w:t xml:space="preserve">ある州の依存症対策機関が、ナロキソン、治療、リカバリー――そして制限付き歳入の間でバランスを取る</w:t>
      </w:r>
    </w:p>
    <w:p>
      <w:pPr>
        <w:pStyle w:val="BodyText"/>
      </w:pPr>
      <w:r>
        <w:rPr>
          <w:rFonts w:hint="eastAsia"/>
        </w:rPr>
        <w:t xml:space="preserve">このケースはフィクションである。公的統計および連邦プログラムの説明は、末尾に記載した出典から引用している。</w:t>
      </w:r>
    </w:p>
    <w:p>
      <w:pPr>
        <w:pStyle w:val="BodyText"/>
      </w:pPr>
      <w:r>
        <w:rPr>
          <w:rFonts w:hint="eastAsia"/>
          <w:b/>
          <w:bCs/>
        </w:rPr>
        <w:t xml:space="preserve">2026年10月7日</w:t>
      </w:r>
      <w:r>
        <w:rPr>
          <w:b/>
          <w:bCs/>
        </w:rPr>
        <w:t xml:space="preserve"> — </w:t>
      </w:r>
      <w:r>
        <w:rPr>
          <w:rFonts w:hint="eastAsia"/>
          <w:b/>
          <w:bCs/>
        </w:rPr>
        <w:t xml:space="preserve">午前6時20分。</w:t>
      </w:r>
      <w:r>
        <w:t xml:space="preserve"> </w:t>
      </w:r>
      <w:r>
        <w:rPr>
          <w:rFonts w:hint="eastAsia"/>
        </w:rPr>
        <w:t xml:space="preserve">レッドウッド・リカバリーサービス局(RDRS)長官のエレナ・マルケス博士は、キッチンテーブルに3つのスプレッドシートを開いていた。1つ目は州全体のオーバードーズ(過剰摂取)死亡数の減少を示していた。2つ目は1,860万ドルと見込まれる資金ギャップを示していた。3つ目は、州議会、連邦政府、あるいは民間寄付者が動かない限り6月以降維持できない126のポジションを列挙していた。</w:t>
      </w:r>
    </w:p>
    <w:p>
      <w:pPr>
        <w:pStyle w:val="BodyText"/>
      </w:pPr>
      <w:r>
        <w:rPr>
          <w:rFonts w:hint="eastAsia"/>
          <w:b/>
          <w:bCs/>
        </w:rPr>
        <w:t xml:space="preserve">死亡率の見かけ上の改善は、問題を単純化するどころか、むしろ複雑にした。</w:t>
      </w:r>
      <w:r>
        <w:t xml:space="preserve"> </w:t>
      </w:r>
      <w:r>
        <w:rPr>
          <w:rFonts w:hint="eastAsia"/>
        </w:rPr>
        <w:t xml:space="preserve">全国的には、オーバードーズによる死亡数はパンデミック時のピークから急減していたが、それでも年間数万人が死亡し続けていた。CDCによる2025年12月までの12か月間の暫定推計はおよそ69,973人の死亡で、前年比13.9%減であった。2024年の確定データでは、オピオイド関連死亡は54,045人で、そのうち47,735人はメタドン以外の合成オピオイドが関与していた。一方でSAMHSAの推計では、2024年に12歳以上のアメリカ人480万人がオピオイド使用障害を抱えていたが、オピオイド使用障害治療薬を受けていたのはわずか17%であった。</w:t>
      </w:r>
    </w:p>
    <w:p>
      <w:pPr>
        <w:pStyle w:val="BodyText"/>
      </w:pPr>
      <w:r>
        <w:rPr>
          <w:rFonts w:hint="eastAsia"/>
        </w:rPr>
        <w:t xml:space="preserve">レッドウッド州知事は、緊急投資を今こそ削減できるという根拠を求めていた。郡当局はより多くのナロキソンを求めていた。治療提供者はより高い償還額を求めていた。リカバリー団体は住居と就労支援を求めていた。連邦補助金は依然として大きかったが、それぞれに対象人口、必須活動、報告ルール、成果指標が個別に付帯していた。地元の寄付者は柔軟ではあったが規模が小さく、常勤スタッフよりも目に見える短期的プロジェクトへの関心を強めていた。</w:t>
      </w:r>
    </w:p>
    <w:p>
      <w:pPr>
        <w:pStyle w:val="BodyText"/>
      </w:pPr>
      <w:r>
        <w:rPr>
          <w:rFonts w:hint="eastAsia"/>
        </w:rPr>
        <w:t xml:space="preserve">午前9時、マルケスは予算リトリートの議長を務めることになっていた。問題は単に資金をどう調達するかではなかった。利用可能な資金に付帯する制限にきれいには収まらないニーズを持つ人々に対応しながら、州全体の労働力を維持できるような資金ポートフォリオをどう構築するか、ということだった。</w:t>
      </w:r>
    </w:p>
    <w:bookmarkEnd w:id="9"/>
    <w:bookmarkStart w:id="10" w:name="レッドウッドのシステム"/>
    <w:p>
      <w:pPr>
        <w:pStyle w:val="Heading1"/>
      </w:pPr>
      <w:r>
        <w:t xml:space="preserve">レッドウッドのシステム</w:t>
      </w:r>
    </w:p>
    <w:p>
      <w:pPr>
        <w:pStyle w:val="FirstParagraph"/>
      </w:pPr>
      <w:r>
        <w:rPr>
          <w:rFonts w:hint="eastAsia"/>
        </w:rPr>
        <w:t xml:space="preserve">レッドウッドは人口680万人の架空の州であり、2つの大都市圏、衰退しつつある工業回廊、農業地帯、部族の土地、そして遠隔山岳コミュニティを抱えていた。RDRSは5年前、州のオーバードーズ予防局、依存症治療機関、リカバリーサービス部門を統合して設立された。この統合は「単一のケアの連続体」を約束したが、その財源は分断されたままだった。</w:t>
      </w:r>
    </w:p>
    <w:p>
      <w:pPr>
        <w:pStyle w:val="BodyText"/>
      </w:pPr>
      <w:r>
        <w:rPr>
          <w:rFonts w:hint="eastAsia"/>
        </w:rPr>
        <w:t xml:space="preserve">RDRSは病院を運営していなかった。臨床医、薬剤師、疫学者、ピア・リカバリー専門員、助成金管理者、調達担当者、地域コーディネーターを雇用していた。地域の提供団体や郡機関と契約を結ぶ一方で、州全体のナロキソン倉庫、オーバードーズ監視、治療アクセスライン、モバイル臨床チーム、リカバリー・ナビゲーション・プログラムを直接運営していた。</w:t>
      </w:r>
    </w:p>
    <w:p>
      <w:pPr>
        <w:pStyle w:val="BodyText"/>
      </w:pPr>
      <w:r>
        <w:rPr>
          <w:rFonts w:hint="eastAsia"/>
        </w:rPr>
        <w:t xml:space="preserve">人件費は同局の支配的なコストだった。スタッフは単にサービスを提供するだけでなく、地域のパートナーを訓練し、常時指示書(スタンディングオーダー)を維持し、サブ受給者を監視し、連邦向けデータを収集し、クラスターを調査し、提供者側のキャパシティを交渉し、人々が緊急ケアから治療、住居、給付、就労へと移行するのを支援していた。多くのポジションは、実質的には恒久的な業務責任となっていたにもかかわらず、一時的なプロジェクト経費として扱う助成金によって支えられていた。</w:t>
      </w:r>
    </w:p>
    <w:p>
      <w:pPr>
        <w:pStyle w:val="BodyText"/>
      </w:pPr>
      <w:r>
        <w:rPr>
          <w:rFonts w:hint="eastAsia"/>
        </w:rPr>
        <w:t xml:space="preserve">図表1.</w:t>
      </w:r>
      <w:r>
        <w:t xml:space="preserve"> </w:t>
      </w:r>
      <w:r>
        <w:rPr>
          <w:rFonts w:hint="eastAsia"/>
        </w:rPr>
        <w:t xml:space="preserve">RDRSの運営プロファイル、FY2026</w:t>
      </w:r>
    </w:p>
    <w:tbl>
      <w:tblPr>
        <w:tblStyle w:val="Table"/>
        <w:tblW w:type="pct" w:w="4930"/>
        <w:tblLayout w:type="fixed"/>
        <w:tblLook w:firstRow="1" w:lastRow="0" w:firstColumn="0" w:lastColumn="0" w:noHBand="0" w:noVBand="0" w:val="0020"/>
      </w:tblPr>
      <w:tblGrid>
        <w:gridCol w:w="2270"/>
        <w:gridCol w:w="664"/>
        <w:gridCol w:w="996"/>
        <w:gridCol w:w="3876"/>
      </w:tblGrid>
      <w:tr>
        <w:trPr>
          <w:tblHeader w:val="on"/>
        </w:trPr>
        <w:tc>
          <w:tcPr/>
          <w:p>
            <w:pPr>
              <w:pStyle w:val="Compact"/>
              <w:jc w:val="left"/>
            </w:pPr>
            <w:r>
              <w:rPr>
                <w:rFonts w:hint="eastAsia"/>
              </w:rPr>
              <w:t xml:space="preserve">プログラム分野</w:t>
            </w:r>
          </w:p>
        </w:tc>
        <w:tc>
          <w:tcPr/>
          <w:p>
            <w:pPr>
              <w:pStyle w:val="Compact"/>
              <w:jc w:val="center"/>
            </w:pPr>
            <w:r>
              <w:rPr>
                <w:rFonts w:hint="eastAsia"/>
              </w:rPr>
              <w:t xml:space="preserve">従業員数</w:t>
            </w:r>
          </w:p>
        </w:tc>
        <w:tc>
          <w:tcPr/>
          <w:p>
            <w:pPr>
              <w:pStyle w:val="Compact"/>
              <w:jc w:val="center"/>
            </w:pPr>
            <w:r>
              <w:rPr>
                <w:rFonts w:hint="eastAsia"/>
              </w:rPr>
              <w:t xml:space="preserve">年間コスト</w:t>
            </w:r>
          </w:p>
        </w:tc>
        <w:tc>
          <w:tcPr/>
          <w:p>
            <w:pPr>
              <w:pStyle w:val="Compact"/>
              <w:jc w:val="left"/>
            </w:pPr>
            <w:r>
              <w:rPr>
                <w:rFonts w:hint="eastAsia"/>
              </w:rPr>
              <w:t xml:space="preserve">FY2026の主な成果</w:t>
            </w:r>
          </w:p>
        </w:tc>
      </w:tr>
      <w:tr>
        <w:tc>
          <w:tcPr/>
          <w:p>
            <w:pPr>
              <w:pStyle w:val="Compact"/>
              <w:jc w:val="left"/>
            </w:pPr>
            <w:r>
              <w:t xml:space="preserve">ナロキソンとハームリダクション</w:t>
            </w:r>
          </w:p>
        </w:tc>
        <w:tc>
          <w:tcPr/>
          <w:p>
            <w:pPr>
              <w:pStyle w:val="Compact"/>
              <w:jc w:val="center"/>
            </w:pPr>
            <w:r>
              <w:t xml:space="preserve">94</w:t>
            </w:r>
          </w:p>
        </w:tc>
        <w:tc>
          <w:tcPr/>
          <w:p>
            <w:pPr>
              <w:pStyle w:val="Compact"/>
              <w:jc w:val="center"/>
            </w:pPr>
            <w:r>
              <w:rPr>
                <w:rFonts w:hint="eastAsia"/>
              </w:rPr>
              <w:t xml:space="preserve">1,890万ドル</w:t>
            </w:r>
          </w:p>
        </w:tc>
        <w:tc>
          <w:tcPr/>
          <w:p>
            <w:pPr>
              <w:pStyle w:val="Compact"/>
              <w:jc w:val="left"/>
            </w:pPr>
            <w:r>
              <w:rPr>
                <w:rFonts w:hint="eastAsia"/>
              </w:rPr>
              <w:t xml:space="preserve">2回分キット428,000個配布;31,400人を訓練</w:t>
            </w:r>
          </w:p>
        </w:tc>
      </w:tr>
      <w:tr>
        <w:tc>
          <w:tcPr/>
          <w:p>
            <w:pPr>
              <w:pStyle w:val="Compact"/>
              <w:jc w:val="left"/>
            </w:pPr>
            <w:r>
              <w:rPr>
                <w:rFonts w:hint="eastAsia"/>
              </w:rPr>
              <w:t xml:space="preserve">治療アクセスと臨床サービス</w:t>
            </w:r>
            <w:r>
              <w:t xml:space="preserve"> 171</w:t>
            </w:r>
          </w:p>
        </w:tc>
        <w:tc>
          <w:tcPr/>
          <w:p>
            <w:pPr>
              <w:pStyle w:val="Compact"/>
              <w:jc w:val="center"/>
            </w:pPr>
            <w:r>
              <w:rPr>
                <w:rFonts w:hint="eastAsia"/>
              </w:rPr>
              <w:t xml:space="preserve">4,370万ドル</w:t>
            </w:r>
          </w:p>
        </w:tc>
        <w:tc>
          <w:tcPr/>
          <w:p>
            <w:pPr>
              <w:pStyle w:val="Compact"/>
              <w:jc w:val="center"/>
            </w:pPr>
            <w:r>
              <w:rPr>
                <w:rFonts w:hint="eastAsia"/>
              </w:rPr>
              <w:t xml:space="preserve">治療開始21,800</w:t>
            </w:r>
          </w:p>
        </w:tc>
        <w:tc>
          <w:tcPr/>
          <w:p>
            <w:pPr>
              <w:pStyle w:val="Compact"/>
              <w:jc w:val="left"/>
            </w:pPr>
            <w:r>
              <w:rPr>
                <w:rFonts w:hint="eastAsia"/>
              </w:rPr>
              <w:t xml:space="preserve">件;MOUD(薬物使用障害治療)開始7,600件</w:t>
            </w:r>
          </w:p>
        </w:tc>
      </w:tr>
      <w:tr>
        <w:tc>
          <w:tcPr/>
          <w:p>
            <w:pPr>
              <w:pStyle w:val="Compact"/>
              <w:jc w:val="left"/>
            </w:pPr>
            <w:r>
              <w:rPr>
                <w:rFonts w:hint="eastAsia"/>
              </w:rPr>
              <w:t xml:space="preserve">リカバリーと安定化</w:t>
            </w:r>
            <w:r>
              <w:t xml:space="preserve"> 116</w:t>
            </w:r>
          </w:p>
        </w:tc>
        <w:tc>
          <w:tcPr/>
          <w:p>
            <w:pPr>
              <w:pStyle w:val="Compact"/>
              <w:jc w:val="center"/>
            </w:pPr>
            <w:r>
              <w:rPr>
                <w:rFonts w:hint="eastAsia"/>
              </w:rPr>
              <w:t xml:space="preserve">2,540万ド</w:t>
            </w:r>
          </w:p>
        </w:tc>
        <w:tc>
          <w:tcPr/>
          <w:p>
            <w:pPr>
              <w:pStyle w:val="Compact"/>
              <w:jc w:val="center"/>
            </w:pPr>
            <w:r>
              <w:t xml:space="preserve">ル ナビゲーショ</w:t>
            </w:r>
          </w:p>
        </w:tc>
        <w:tc>
          <w:tcPr/>
          <w:p>
            <w:pPr>
              <w:pStyle w:val="Compact"/>
              <w:jc w:val="left"/>
            </w:pPr>
            <w:r>
              <w:rPr>
                <w:rFonts w:hint="eastAsia"/>
              </w:rPr>
              <w:t xml:space="preserve">ン、住居、または就労支援を受けたクライアント12,900人</w:t>
            </w:r>
          </w:p>
        </w:tc>
      </w:tr>
      <w:tr>
        <w:tc>
          <w:tcPr/>
          <w:p>
            <w:pPr>
              <w:pStyle w:val="Compact"/>
              <w:jc w:val="left"/>
            </w:pPr>
            <w:r>
              <w:rPr>
                <w:rFonts w:hint="eastAsia"/>
              </w:rPr>
              <w:t xml:space="preserve">監視、評価、助成金管理</w:t>
            </w:r>
            <w:r>
              <w:t xml:space="preserve"> 73 1,</w:t>
            </w:r>
          </w:p>
        </w:tc>
        <w:tc>
          <w:tcPr/>
          <w:p>
            <w:pPr>
              <w:pStyle w:val="Compact"/>
              <w:jc w:val="center"/>
            </w:pPr>
            <w:r>
              <w:rPr>
                <w:rFonts w:hint="eastAsia"/>
              </w:rPr>
              <w:t xml:space="preserve">680万ドル</w:t>
            </w:r>
          </w:p>
        </w:tc>
        <w:tc>
          <w:tcPr/>
          <w:p>
            <w:pPr>
              <w:pStyle w:val="Compact"/>
              <w:jc w:val="center"/>
            </w:pPr>
            <w:r>
              <w:rPr>
                <w:rFonts w:hint="eastAsia"/>
              </w:rPr>
              <w:t xml:space="preserve">サブ助成金62件を</w:t>
            </w:r>
          </w:p>
        </w:tc>
        <w:tc>
          <w:tcPr/>
          <w:p>
            <w:pPr>
              <w:pStyle w:val="Compact"/>
              <w:jc w:val="left"/>
            </w:pPr>
            <w:r>
              <w:rPr>
                <w:rFonts w:hint="eastAsia"/>
              </w:rPr>
              <w:t xml:space="preserve">監視;週次オーバードーズ・ダッシュボード</w:t>
            </w:r>
          </w:p>
        </w:tc>
      </w:tr>
      <w:tr>
        <w:tc>
          <w:tcPr/>
          <w:p>
            <w:pPr>
              <w:pStyle w:val="Compact"/>
              <w:jc w:val="left"/>
            </w:pPr>
            <w:r>
              <w:rPr>
                <w:rFonts w:hint="eastAsia"/>
              </w:rPr>
              <w:t xml:space="preserve">管理および共有サービス</w:t>
            </w:r>
            <w:r>
              <w:t xml:space="preserve"> 52</w:t>
            </w:r>
          </w:p>
        </w:tc>
        <w:tc>
          <w:tcPr/>
          <w:p>
            <w:pPr>
              <w:pStyle w:val="Compact"/>
              <w:jc w:val="center"/>
            </w:pPr>
            <w:r>
              <w:rPr>
                <w:rFonts w:hint="eastAsia"/>
              </w:rPr>
              <w:t xml:space="preserve">1,320万ドル</w:t>
            </w:r>
          </w:p>
        </w:tc>
        <w:tc>
          <w:tcPr/>
          <w:p>
            <w:pPr>
              <w:pStyle w:val="Compact"/>
              <w:jc w:val="center"/>
            </w:pPr>
            <w:r>
              <w:rPr>
                <w:rFonts w:hint="eastAsia"/>
              </w:rPr>
              <w:t xml:space="preserve">調達、財務、IT</w:t>
            </w:r>
          </w:p>
        </w:tc>
        <w:tc>
          <w:tcPr/>
          <w:p>
            <w:pPr>
              <w:pStyle w:val="Compact"/>
              <w:jc w:val="left"/>
            </w:pPr>
            <w:r>
              <w:rPr>
                <w:rFonts w:hint="eastAsia"/>
              </w:rPr>
              <w:t xml:space="preserve">、法務、人事</w:t>
            </w:r>
          </w:p>
        </w:tc>
      </w:tr>
      <w:tr>
        <w:tc>
          <w:tcPr/>
          <w:p>
            <w:pPr>
              <w:pStyle w:val="Compact"/>
              <w:jc w:val="left"/>
            </w:pPr>
            <w:r>
              <w:rPr>
                <w:rFonts w:hint="eastAsia"/>
              </w:rPr>
              <w:t xml:space="preserve">合計</w:t>
            </w:r>
            <w:r>
              <w:t xml:space="preserve"> 5</w:t>
            </w:r>
          </w:p>
        </w:tc>
        <w:tc>
          <w:tcPr/>
          <w:p>
            <w:pPr>
              <w:pStyle w:val="Compact"/>
              <w:jc w:val="center"/>
            </w:pPr>
            <w:r>
              <w:t xml:space="preserve">06 1</w:t>
            </w:r>
          </w:p>
        </w:tc>
        <w:tc>
          <w:tcPr/>
          <w:p>
            <w:pPr>
              <w:pStyle w:val="Compact"/>
              <w:jc w:val="center"/>
            </w:pPr>
            <w:r>
              <w:rPr>
                <w:rFonts w:hint="eastAsia"/>
              </w:rPr>
              <w:t xml:space="preserve">億1,800万ドル</w:t>
            </w:r>
            <w:r>
              <w:t xml:space="preserve"> </w:t>
            </w:r>
            <w:r>
              <w:rPr>
                <w:rFonts w:hint="eastAsia"/>
              </w:rPr>
              <w:t xml:space="preserve">州</w:t>
            </w:r>
          </w:p>
        </w:tc>
        <w:tc>
          <w:tcPr/>
          <w:p>
            <w:pPr>
              <w:pStyle w:val="Compact"/>
              <w:jc w:val="left"/>
            </w:pPr>
            <w:r>
              <w:rPr>
                <w:rFonts w:hint="eastAsia"/>
              </w:rPr>
              <w:t xml:space="preserve">全体の運営</w:t>
            </w:r>
          </w:p>
        </w:tc>
      </w:tr>
    </w:tbl>
    <w:p>
      <w:pPr>
        <w:pStyle w:val="BodyText"/>
      </w:pPr>
      <w:r>
        <w:rPr>
          <w:rFonts w:hint="eastAsia"/>
        </w:rPr>
        <w:t xml:space="preserve">注:レッドウッドのデータはすべて架空のものである。「年間コスト」には人件費、福利厚生、契約費、消耗品費、配賦済み間接費が含まれる。</w:t>
      </w:r>
    </w:p>
    <w:bookmarkEnd w:id="10"/>
    <w:bookmarkStart w:id="11" w:name="良い年だったのかそれとも脆い改善なのか"/>
    <w:p>
      <w:pPr>
        <w:pStyle w:val="Heading1"/>
      </w:pPr>
      <w:r>
        <w:rPr>
          <w:rFonts w:hint="eastAsia"/>
        </w:rPr>
        <w:t xml:space="preserve">良い年だったのか――それとも脆い改善なのか?</w:t>
      </w:r>
    </w:p>
    <w:p>
      <w:pPr>
        <w:pStyle w:val="FirstParagraph"/>
      </w:pPr>
      <w:r>
        <w:rPr>
          <w:rFonts w:hint="eastAsia"/>
        </w:rPr>
        <w:t xml:space="preserve">レッドウッドの暫定オーバードーズ死亡数は、2023年の2,180人から2025年には1,640人へと減少していた。救急外来でのオーバードーズ受診も減少していたが、その度合いはより緩やかだった。州全体の合計値は根強い格差を隠していた。都市部の死亡は農村部よりも速く減少しており、45歳以上の成人の死亡減少は緩やかで、スティミュラント(覚醒剤系薬物)関連のオーバードーズが症例に占める割合が増大していた。いくつかの郡では、1回の事案で複数回ナロキソンが使用されるケースが報告されていた。</w:t>
      </w:r>
    </w:p>
    <w:p>
      <w:pPr>
        <w:pStyle w:val="BodyText"/>
      </w:pPr>
      <w:r>
        <w:rPr>
          <w:rFonts w:hint="eastAsia"/>
        </w:rPr>
        <w:t xml:space="preserve">マルケスの疫学者たちは、この減少を危機が去った証拠として扱うことに警鐘を鳴らした。全米レベルの分析では、最近の改善はナロキソン配布の拡大、治療アクセスの改善、違法薬物供給の変化、パンデミック後の予防活動の復旧、継続的な公的投資など複数の要因によるものとされていた。もし成果が改善したという理由で資金が削減されれば、州はその成果に貢献してきた能力の一部を解体してしまうかもしれない。</w:t>
      </w:r>
    </w:p>
    <w:bookmarkEnd w:id="11"/>
    <w:bookmarkStart w:id="12" w:name="歳入の構造"/>
    <w:p>
      <w:pPr>
        <w:pStyle w:val="Heading1"/>
      </w:pPr>
      <w:r>
        <w:rPr>
          <w:rFonts w:hint="eastAsia"/>
        </w:rPr>
        <w:t xml:space="preserve">歳入の構造</w:t>
      </w:r>
    </w:p>
    <w:p>
      <w:pPr>
        <w:pStyle w:val="FirstParagraph"/>
      </w:pPr>
      <w:r>
        <w:rPr>
          <w:rFonts w:hint="eastAsia"/>
        </w:rPr>
        <w:t xml:space="preserve">RDRSの予算は、遠目には多様化しているように見えた。しかし実際には、その多くが制限付きであった。連邦の州オピオイド対応(SOR)プログラムは予防、ハームリダクション、治療、リカバリーの各サービスを支援していたが、継続的な資金供給は議会の予算措置、目標達成の進捗、期限内の報告、助成金条件への準拠に依存していた。FY2024のSOR公募通知は、全国で最大59件の助成に対し14億8,050万ドルを見込んでいた。HHSは後にFY2025の州・部族オピオイド対応継続助成として15億ドル超を発表した。この見かけ上の安定性は、州レベルでの年次の不確実性を消し去るものではなかった。</w:t>
      </w:r>
    </w:p>
    <w:p>
      <w:pPr>
        <w:pStyle w:val="BodyText"/>
      </w:pPr>
      <w:r>
        <w:rPr>
          <w:rFonts w:hint="eastAsia"/>
        </w:rPr>
        <w:t xml:space="preserve">その他の連邦資金は、監視、ブロック補助金対象人口、司法関与者、妊娠・育児中の人々、若年層向け予防、あるいは特定のエビデンスに基づく実践に焦点を当てていた。州予算は柔軟性が高かったが、年次予算サイクルにさらされていた。オピオイド和解金は被害是正活動を支援できたが、法的合意と政治的監視の下に置かれていた。メディケイドは臨床上の受診を償還したが、一般的には広範なアウトリーチ、公共の場に設置するナロキソン、助成金コンプライアンス、就労ナビゲーションには支払われなかった。民間の寄付者はしばしば、測定可能で目に見える成果を伴う名前付きイニシアチブを好んだ。</w:t>
      </w:r>
    </w:p>
    <w:p>
      <w:pPr>
        <w:pStyle w:val="BodyText"/>
      </w:pPr>
      <w:r>
        <w:rPr>
          <w:rFonts w:hint="eastAsia"/>
        </w:rPr>
        <w:t xml:space="preserve">図表2.</w:t>
      </w:r>
      <w:r>
        <w:t xml:space="preserve"> </w:t>
      </w:r>
      <w:r>
        <w:rPr>
          <w:rFonts w:hint="eastAsia"/>
        </w:rPr>
        <w:t xml:space="preserve">FY2027の資金源別見込み</w:t>
      </w:r>
    </w:p>
    <w:tbl>
      <w:tblPr>
        <w:tblStyle w:val="Table"/>
        <w:tblW w:type="pct" w:w="4939"/>
        <w:tblLayout w:type="fixed"/>
        <w:tblLook w:firstRow="1" w:lastRow="0" w:firstColumn="0" w:lastColumn="0" w:noHBand="0" w:noVBand="0" w:val="0020"/>
      </w:tblPr>
      <w:tblGrid>
        <w:gridCol w:w="1488"/>
        <w:gridCol w:w="528"/>
        <w:gridCol w:w="1104"/>
        <w:gridCol w:w="4704"/>
      </w:tblGrid>
      <w:tr>
        <w:trPr>
          <w:tblHeader w:val="on"/>
        </w:trPr>
        <w:tc>
          <w:tcPr/>
          <w:p>
            <w:pPr>
              <w:pStyle w:val="Compact"/>
              <w:jc w:val="left"/>
            </w:pPr>
            <w:r>
              <w:rPr>
                <w:rFonts w:hint="eastAsia"/>
              </w:rPr>
              <w:t xml:space="preserve">資金源</w:t>
            </w:r>
          </w:p>
        </w:tc>
        <w:tc>
          <w:tcPr/>
          <w:p>
            <w:pPr>
              <w:pStyle w:val="Compact"/>
              <w:jc w:val="left"/>
            </w:pPr>
            <w:r>
              <w:t xml:space="preserve">FY2026</w:t>
            </w:r>
          </w:p>
        </w:tc>
        <w:tc>
          <w:tcPr/>
          <w:p>
            <w:pPr>
              <w:pStyle w:val="Compact"/>
            </w:pPr>
            <w:r>
              <w:rPr>
                <w:rFonts w:hint="eastAsia"/>
              </w:rPr>
              <w:t xml:space="preserve">FY2027計画ケース</w:t>
            </w:r>
            <w:r>
              <w:t xml:space="preserve"> </w:t>
            </w:r>
            <w:r>
              <w:rPr>
                <w:rFonts w:hint="eastAsia"/>
              </w:rPr>
              <w:t xml:space="preserve">主な</w:t>
            </w:r>
          </w:p>
        </w:tc>
        <w:tc>
          <w:tcPr/>
          <w:p>
            <w:pPr>
              <w:pStyle w:val="Compact"/>
              <w:jc w:val="left"/>
            </w:pPr>
            <w:r>
              <w:rPr>
                <w:rFonts w:hint="eastAsia"/>
              </w:rPr>
              <w:t xml:space="preserve">制限または不確実性</w:t>
            </w:r>
          </w:p>
        </w:tc>
      </w:tr>
      <w:tr>
        <w:tc>
          <w:tcPr/>
          <w:p>
            <w:pPr>
              <w:pStyle w:val="Compact"/>
              <w:jc w:val="left"/>
            </w:pPr>
            <w:r>
              <w:rPr>
                <w:rFonts w:hint="eastAsia"/>
              </w:rPr>
              <w:t xml:space="preserve">連邦SOR助成金</w:t>
            </w:r>
            <w:r>
              <w:t xml:space="preserve"> 3,84</w:t>
            </w:r>
          </w:p>
        </w:tc>
        <w:tc>
          <w:tcPr/>
          <w:p>
            <w:pPr>
              <w:pStyle w:val="Compact"/>
              <w:jc w:val="left"/>
            </w:pPr>
            <w:r>
              <w:rPr>
                <w:rFonts w:hint="eastAsia"/>
              </w:rPr>
              <w:t xml:space="preserve">0万ドル</w:t>
            </w:r>
          </w:p>
        </w:tc>
        <w:tc>
          <w:tcPr/>
          <w:p>
            <w:pPr>
              <w:pStyle w:val="Compact"/>
            </w:pPr>
            <w:r>
              <w:rPr>
                <w:rFonts w:hint="eastAsia"/>
              </w:rPr>
              <w:t xml:space="preserve">3,100万ドル—3,920万ドル</w:t>
            </w:r>
          </w:p>
        </w:tc>
        <w:tc>
          <w:tcPr/>
          <w:p>
            <w:pPr>
              <w:pStyle w:val="Compact"/>
              <w:jc w:val="left"/>
            </w:pPr>
            <w:r>
              <w:rPr>
                <w:rFonts w:hint="eastAsia"/>
              </w:rPr>
              <w:t xml:space="preserve">年次継続;オピオイド/スティミュラントに関する目標;詳細な報告;サブ受給者要件</w:t>
            </w:r>
          </w:p>
        </w:tc>
      </w:tr>
      <w:tr>
        <w:tc>
          <w:tcPr/>
          <w:p>
            <w:pPr>
              <w:pStyle w:val="Compact"/>
              <w:jc w:val="left"/>
            </w:pPr>
            <w:r>
              <w:rPr>
                <w:rFonts w:hint="eastAsia"/>
              </w:rPr>
              <w:t xml:space="preserve">その他の連邦助成金</w:t>
            </w:r>
            <w:r>
              <w:t xml:space="preserve"> 1,</w:t>
            </w:r>
          </w:p>
        </w:tc>
        <w:tc>
          <w:tcPr/>
          <w:p>
            <w:pPr>
              <w:pStyle w:val="Compact"/>
              <w:jc w:val="left"/>
            </w:pPr>
            <w:r>
              <w:rPr>
                <w:rFonts w:hint="eastAsia"/>
              </w:rPr>
              <w:t xml:space="preserve">960万ドル</w:t>
            </w:r>
          </w:p>
        </w:tc>
        <w:tc>
          <w:tcPr/>
          <w:p>
            <w:pPr>
              <w:pStyle w:val="Compact"/>
            </w:pPr>
            <w:r>
              <w:rPr>
                <w:rFonts w:hint="eastAsia"/>
              </w:rPr>
              <w:t xml:space="preserve">1,510万ドル—2,040万ド</w:t>
            </w:r>
          </w:p>
        </w:tc>
        <w:tc>
          <w:tcPr/>
          <w:p>
            <w:pPr>
              <w:pStyle w:val="Compact"/>
              <w:jc w:val="left"/>
            </w:pPr>
            <w:r>
              <w:t xml:space="preserve">ル </w:t>
            </w:r>
            <w:r>
              <w:rPr>
                <w:rFonts w:hint="eastAsia"/>
              </w:rPr>
              <w:t xml:space="preserve">対象人口・活動が限定的;助成期間と間接費率が異なる</w:t>
            </w:r>
          </w:p>
        </w:tc>
      </w:tr>
      <w:tr>
        <w:tc>
          <w:tcPr/>
          <w:p>
            <w:pPr>
              <w:pStyle w:val="Compact"/>
              <w:jc w:val="left"/>
            </w:pPr>
            <w:r>
              <w:rPr>
                <w:rFonts w:hint="eastAsia"/>
              </w:rPr>
              <w:t xml:space="preserve">州一般財源</w:t>
            </w:r>
            <w:r>
              <w:t xml:space="preserve"> 1,960</w:t>
            </w:r>
          </w:p>
        </w:tc>
        <w:tc>
          <w:tcPr/>
          <w:p>
            <w:pPr>
              <w:pStyle w:val="Compact"/>
              <w:jc w:val="left"/>
            </w:pPr>
            <w:r>
              <w:rPr>
                <w:rFonts w:hint="eastAsia"/>
              </w:rPr>
              <w:t xml:space="preserve">万ドル</w:t>
            </w:r>
            <w:r>
              <w:t xml:space="preserve"> 2</w:t>
            </w:r>
          </w:p>
        </w:tc>
        <w:tc>
          <w:tcPr/>
          <w:p>
            <w:pPr>
              <w:pStyle w:val="Compact"/>
            </w:pPr>
            <w:r>
              <w:rPr>
                <w:rFonts w:hint="eastAsia"/>
              </w:rPr>
              <w:t xml:space="preserve">,100万ドル—3,000万ドル</w:t>
            </w:r>
          </w:p>
        </w:tc>
        <w:tc>
          <w:tcPr/>
          <w:p>
            <w:pPr>
              <w:pStyle w:val="Compact"/>
              <w:jc w:val="left"/>
            </w:pPr>
            <w:r>
              <w:rPr>
                <w:rFonts w:hint="eastAsia"/>
              </w:rPr>
              <w:t xml:space="preserve">年次歳出予算;競合する予算優先事項</w:t>
            </w:r>
          </w:p>
        </w:tc>
      </w:tr>
      <w:tr>
        <w:tc>
          <w:tcPr/>
          <w:p>
            <w:pPr>
              <w:pStyle w:val="Compact"/>
              <w:jc w:val="left"/>
            </w:pPr>
            <w:r>
              <w:rPr>
                <w:rFonts w:hint="eastAsia"/>
              </w:rPr>
              <w:t xml:space="preserve">オピオイド和解金配分</w:t>
            </w:r>
            <w:r>
              <w:t xml:space="preserve"> </w:t>
            </w:r>
            <w:r>
              <w:rPr>
                <w:rFonts w:hint="eastAsia"/>
              </w:rPr>
              <w:t xml:space="preserve">1,450万ド</w:t>
            </w:r>
          </w:p>
        </w:tc>
        <w:tc>
          <w:tcPr/>
          <w:p>
            <w:pPr>
              <w:pStyle w:val="Compact"/>
              <w:jc w:val="left"/>
            </w:pPr>
            <w:r>
              <w:t xml:space="preserve">ル 1,100</w:t>
            </w:r>
          </w:p>
        </w:tc>
        <w:tc>
          <w:tcPr/>
          <w:p>
            <w:pPr>
              <w:pStyle w:val="Compact"/>
            </w:pPr>
            <w:r>
              <w:rPr>
                <w:rFonts w:hint="eastAsia"/>
              </w:rPr>
              <w:t xml:space="preserve">万ドル—1,600万ドル</w:t>
            </w:r>
          </w:p>
        </w:tc>
        <w:tc>
          <w:tcPr/>
          <w:p>
            <w:pPr>
              <w:pStyle w:val="Compact"/>
              <w:jc w:val="left"/>
            </w:pPr>
            <w:r>
              <w:rPr>
                <w:rFonts w:hint="eastAsia"/>
              </w:rPr>
              <w:t xml:space="preserve">オピオイド被害是正として適格である必要;公的・法的監視</w:t>
            </w:r>
          </w:p>
        </w:tc>
      </w:tr>
      <w:tr>
        <w:tc>
          <w:tcPr/>
          <w:p>
            <w:pPr>
              <w:pStyle w:val="Compact"/>
              <w:jc w:val="left"/>
            </w:pPr>
            <w:r>
              <w:rPr>
                <w:rFonts w:hint="eastAsia"/>
              </w:rPr>
              <w:t xml:space="preserve">メディケイドおよびサービス収入</w:t>
            </w:r>
          </w:p>
        </w:tc>
        <w:tc>
          <w:tcPr/>
          <w:p>
            <w:pPr>
              <w:pStyle w:val="Compact"/>
              <w:jc w:val="left"/>
            </w:pPr>
            <w:r>
              <w:rPr>
                <w:rFonts w:hint="eastAsia"/>
              </w:rPr>
              <w:t xml:space="preserve">1,310万ド</w:t>
            </w:r>
          </w:p>
        </w:tc>
        <w:tc>
          <w:tcPr/>
          <w:p>
            <w:pPr>
              <w:pStyle w:val="Compact"/>
            </w:pPr>
            <w:r>
              <w:t xml:space="preserve">ル </w:t>
            </w:r>
            <w:r>
              <w:rPr>
                <w:rFonts w:hint="eastAsia"/>
              </w:rPr>
              <w:t xml:space="preserve">1,380万ドル—1,65</w:t>
            </w:r>
          </w:p>
        </w:tc>
        <w:tc>
          <w:tcPr/>
          <w:p>
            <w:pPr>
              <w:pStyle w:val="Compact"/>
              <w:jc w:val="left"/>
            </w:pPr>
            <w:r>
              <w:rPr>
                <w:rFonts w:hint="eastAsia"/>
              </w:rPr>
              <w:t xml:space="preserve">0万ドル</w:t>
            </w:r>
            <w:r>
              <w:t xml:space="preserve"> </w:t>
            </w:r>
            <w:r>
              <w:rPr>
                <w:rFonts w:hint="eastAsia"/>
              </w:rPr>
              <w:t xml:space="preserve">請求可能な受診、加入、料率、提供者キャパシティに依存</w:t>
            </w:r>
          </w:p>
        </w:tc>
      </w:tr>
      <w:tr>
        <w:tc>
          <w:tcPr/>
          <w:p>
            <w:pPr>
              <w:pStyle w:val="Compact"/>
              <w:jc w:val="left"/>
            </w:pPr>
            <w:r>
              <w:rPr>
                <w:rFonts w:hint="eastAsia"/>
              </w:rPr>
              <w:t xml:space="preserve">財団および地元寄付者</w:t>
            </w:r>
            <w:r>
              <w:t xml:space="preserve"> </w:t>
            </w:r>
            <w:r>
              <w:rPr>
                <w:rFonts w:hint="eastAsia"/>
              </w:rPr>
              <w:t xml:space="preserve">460万ドル</w:t>
            </w:r>
          </w:p>
        </w:tc>
        <w:tc>
          <w:tcPr/>
          <w:p>
            <w:pPr>
              <w:pStyle w:val="Compact"/>
              <w:jc w:val="left"/>
            </w:pPr>
            <w:r>
              <w:rPr>
                <w:rFonts w:hint="eastAsia"/>
              </w:rPr>
              <w:t xml:space="preserve">300万ド</w:t>
            </w:r>
          </w:p>
        </w:tc>
        <w:tc>
          <w:tcPr/>
          <w:p>
            <w:pPr>
              <w:pStyle w:val="Compact"/>
            </w:pPr>
            <w:r>
              <w:rPr>
                <w:rFonts w:hint="eastAsia"/>
              </w:rPr>
              <w:t xml:space="preserve">ル—800万ドル</w:t>
            </w:r>
            <w:r>
              <w:t xml:space="preserve"> </w:t>
            </w:r>
            <w:r>
              <w:rPr>
                <w:rFonts w:hint="eastAsia"/>
              </w:rPr>
              <w:t xml:space="preserve">少</w:t>
            </w:r>
          </w:p>
        </w:tc>
        <w:tc>
          <w:tcPr/>
          <w:p>
            <w:pPr>
              <w:pStyle w:val="Compact"/>
              <w:jc w:val="left"/>
            </w:pPr>
            <w:r>
              <w:rPr>
                <w:rFonts w:hint="eastAsia"/>
              </w:rPr>
              <w:t xml:space="preserve">額助成;寄付者の意向;恒久的人件費への関心の乏しさ</w:t>
            </w:r>
          </w:p>
        </w:tc>
      </w:tr>
      <w:tr>
        <w:tc>
          <w:tcPr/>
          <w:p>
            <w:pPr>
              <w:pStyle w:val="Compact"/>
              <w:jc w:val="left"/>
            </w:pPr>
            <w:r>
              <w:rPr>
                <w:rFonts w:hint="eastAsia"/>
              </w:rPr>
              <w:t xml:space="preserve">その他</w:t>
            </w:r>
          </w:p>
        </w:tc>
        <w:tc>
          <w:tcPr/>
          <w:p>
            <w:pPr>
              <w:pStyle w:val="Compact"/>
              <w:jc w:val="left"/>
            </w:pPr>
            <w:r>
              <w:rPr>
                <w:rFonts w:hint="eastAsia"/>
              </w:rPr>
              <w:t xml:space="preserve">280万ドル</w:t>
            </w:r>
          </w:p>
        </w:tc>
        <w:tc>
          <w:tcPr/>
          <w:p>
            <w:pPr>
              <w:pStyle w:val="Compact"/>
            </w:pPr>
            <w:r>
              <w:rPr>
                <w:rFonts w:hint="eastAsia"/>
              </w:rPr>
              <w:t xml:space="preserve">250万ドル—300万ドル</w:t>
            </w:r>
          </w:p>
        </w:tc>
        <w:tc>
          <w:tcPr/>
          <w:p>
            <w:pPr>
              <w:pStyle w:val="Compact"/>
              <w:jc w:val="left"/>
            </w:pPr>
            <w:r>
              <w:rPr>
                <w:rFonts w:hint="eastAsia"/>
              </w:rPr>
              <w:t xml:space="preserve">手数料、研修、機関間協定</w:t>
            </w:r>
          </w:p>
        </w:tc>
      </w:tr>
      <w:tr>
        <w:tc>
          <w:tcPr/>
          <w:p>
            <w:pPr>
              <w:pStyle w:val="Compact"/>
              <w:jc w:val="left"/>
            </w:pPr>
            <w:r>
              <w:rPr>
                <w:rFonts w:hint="eastAsia"/>
              </w:rPr>
              <w:t xml:space="preserve">合計</w:t>
            </w:r>
            <w:r>
              <w:t xml:space="preserve"> 1</w:t>
            </w:r>
          </w:p>
        </w:tc>
        <w:tc>
          <w:tcPr/>
          <w:p>
            <w:pPr>
              <w:pStyle w:val="Compact"/>
              <w:jc w:val="left"/>
            </w:pPr>
            <w:r>
              <w:rPr>
                <w:rFonts w:hint="eastAsia"/>
              </w:rPr>
              <w:t xml:space="preserve">億1,800万ド</w:t>
            </w:r>
          </w:p>
        </w:tc>
        <w:tc>
          <w:tcPr/>
          <w:p>
            <w:pPr>
              <w:pStyle w:val="Compact"/>
            </w:pPr>
            <w:r>
              <w:t xml:space="preserve">ル </w:t>
            </w:r>
            <w:r>
              <w:rPr>
                <w:rFonts w:hint="eastAsia"/>
              </w:rPr>
              <w:t xml:space="preserve">9,740万ドル—1億3,3</w:t>
            </w:r>
          </w:p>
        </w:tc>
        <w:tc>
          <w:tcPr/>
          <w:p>
            <w:pPr>
              <w:pStyle w:val="Compact"/>
              <w:jc w:val="left"/>
            </w:pPr>
            <w:r>
              <w:rPr>
                <w:rFonts w:hint="eastAsia"/>
              </w:rPr>
              <w:t xml:space="preserve">10万ドル</w:t>
            </w:r>
            <w:r>
              <w:t xml:space="preserve"> </w:t>
            </w:r>
            <w:r>
              <w:rPr>
                <w:rFonts w:hint="eastAsia"/>
              </w:rPr>
              <w:t xml:space="preserve">幅が広い;総額と同じくらいタイミングと制限が重要</w:t>
            </w:r>
          </w:p>
        </w:tc>
      </w:tr>
    </w:tbl>
    <w:p>
      <w:pPr>
        <w:pStyle w:val="BodyText"/>
      </w:pPr>
      <w:r>
        <w:rPr>
          <w:rFonts w:hint="eastAsia"/>
        </w:rPr>
        <w:t xml:space="preserve">GAO(米国会計検査院)は最近、連邦のオピオイド対応資金受給者が、変化する報告要件、資金供給の遅延、州の調達プロセス、短縮された実施期間による負担に直面していると報告した。オピオイド対応資金の「最終受益者」に関する情報を求める新たな法定要件も設けられた。RDRSの助成金担当ディレクターの試算では、コンプライアンスとサブ受給者監視に、フルタイム換算で29名分のポジションに相当する労力が費やされており――これは寄付者がめったに資金供与を望まない類の業務であった。</w:t>
      </w:r>
    </w:p>
    <w:bookmarkEnd w:id="12"/>
    <w:bookmarkStart w:id="13" w:name="誰にサービスを提供すべきか"/>
    <w:p>
      <w:pPr>
        <w:pStyle w:val="Heading1"/>
      </w:pPr>
      <w:r>
        <w:rPr>
          <w:rFonts w:hint="eastAsia"/>
        </w:rPr>
        <w:t xml:space="preserve">誰にサービスを提供すべきか?</w:t>
      </w:r>
    </w:p>
    <w:p>
      <w:pPr>
        <w:pStyle w:val="FirstParagraph"/>
      </w:pPr>
      <w:r>
        <w:rPr>
          <w:rFonts w:hint="eastAsia"/>
        </w:rPr>
        <w:t xml:space="preserve">資金の問題は、配分の問題と切り離すことができなかった。RDRSはすべての集団に対して同一のアクセスを約束することはできなかった。追加のコミットメントの一つ一つが、それを開始した助成金の期間を超えて存続するスタッフ側の義務を生み出した。</w:t>
      </w:r>
    </w:p>
    <w:p>
      <w:pPr>
        <w:pStyle w:val="BodyText"/>
      </w:pPr>
      <w:r>
        <w:rPr>
          <w:rFonts w:hint="eastAsia"/>
        </w:rPr>
        <w:t xml:space="preserve">郡の保健部局は、ナロキソンは普遍的かつ無料であり続けるべきだと主張した。彼らは図書館、学校、シェルター、交通機関の駅、矯正施設、治療センター、そして薬物使用者本人やその家族の手にキットが行き渡ることを望んでいた。ナロキソンは、時宜を得て投与されればオピオイドのオーバードーズを逆転させることができ、CDCはコミュニティ団体を通じた配布を重視していた。しかし普遍的な入手可能性の実現には、単に薬剤を購入するだけでなく、調達、倉庫管理、有効期限管理、研修、データシステム、地域への技術支援が必要だった。</w:t>
      </w:r>
    </w:p>
    <w:p>
      <w:pPr>
        <w:pStyle w:val="BodyText"/>
      </w:pPr>
      <w:r>
        <w:rPr>
          <w:rFonts w:hint="eastAsia"/>
        </w:rPr>
        <w:t xml:space="preserve">治療部門のリーダーたちは、疾病有病率とエビデンスに基づくケアとの間のギャップを強調した。彼らはモバイルMOUDチーム、当日予約、送迎、遠隔医療、そして救急外来や刑務所からのより良い移行支援を求めていた。リカバリー団体は、住居、身分証明書、就労、保育、持続的なピアサポートを伴わない治療は、あまりにも多くの人々を再び危機へと引き戻すと主張した。農村部の郡は、一人当たりコストが高くても巡回チームを求めていた。郊外選挙区選出の議員たちは、若年層予防と依存症の影響を受けた家族への支援を求めていた。</w:t>
      </w:r>
    </w:p>
    <w:p>
      <w:pPr>
        <w:pStyle w:val="BodyText"/>
      </w:pPr>
      <w:r>
        <w:rPr>
          <w:rFonts w:hint="eastAsia"/>
        </w:rPr>
        <w:t xml:space="preserve">図表3.</w:t>
      </w:r>
      <w:r>
        <w:t xml:space="preserve"> </w:t>
      </w:r>
      <w:r>
        <w:rPr>
          <w:rFonts w:hint="eastAsia"/>
        </w:rPr>
        <w:t xml:space="preserve">サービス拡大提案の例</w:t>
      </w:r>
    </w:p>
    <w:tbl>
      <w:tblPr>
        <w:tblStyle w:val="Table"/>
        <w:tblW w:type="pct" w:w="4945"/>
        <w:tblLayout w:type="fixed"/>
        <w:tblLook w:firstRow="1" w:lastRow="0" w:firstColumn="0" w:lastColumn="0" w:noHBand="0" w:noVBand="0" w:val="0020"/>
      </w:tblPr>
      <w:tblGrid>
        <w:gridCol w:w="1881"/>
        <w:gridCol w:w="612"/>
        <w:gridCol w:w="743"/>
        <w:gridCol w:w="1575"/>
        <w:gridCol w:w="3019"/>
      </w:tblGrid>
      <w:tr>
        <w:trPr>
          <w:tblHeader w:val="on"/>
        </w:trPr>
        <w:tc>
          <w:tcPr/>
          <w:p>
            <w:pPr>
              <w:pStyle w:val="Compact"/>
            </w:pPr>
            <w:r>
              <w:rPr>
                <w:rFonts w:hint="eastAsia"/>
              </w:rPr>
              <w:t xml:space="preserve">提案</w:t>
            </w:r>
            <w:r>
              <w:t xml:space="preserve"> </w:t>
            </w:r>
            <w:r>
              <w:rPr>
                <w:rFonts w:hint="eastAsia"/>
              </w:rPr>
              <w:t xml:space="preserve">年間</w:t>
            </w:r>
          </w:p>
        </w:tc>
        <w:tc>
          <w:tcPr/>
          <w:p>
            <w:pPr>
              <w:pStyle w:val="Compact"/>
            </w:pPr>
            <w:r>
              <w:t xml:space="preserve">コスト </w:t>
            </w:r>
            <w:r>
              <w:rPr>
                <w:rFonts w:hint="eastAsia"/>
              </w:rPr>
              <w:t xml:space="preserve">必要ス</w:t>
            </w:r>
          </w:p>
        </w:tc>
        <w:tc>
          <w:tcPr/>
          <w:p>
            <w:pPr>
              <w:pStyle w:val="Compact"/>
            </w:pPr>
            <w:r>
              <w:rPr>
                <w:rFonts w:hint="eastAsia"/>
              </w:rPr>
              <w:t xml:space="preserve">タッフ数</w:t>
            </w:r>
            <w:r>
              <w:t xml:space="preserve"> </w:t>
            </w:r>
            <w:r>
              <w:rPr>
                <w:rFonts w:hint="eastAsia"/>
              </w:rPr>
              <w:t xml:space="preserve">推定年</w:t>
            </w:r>
          </w:p>
        </w:tc>
        <w:tc>
          <w:tcPr/>
          <w:p>
            <w:pPr>
              <w:pStyle w:val="Compact"/>
              <w:jc w:val="left"/>
            </w:pPr>
            <w:r>
              <w:rPr>
                <w:rFonts w:hint="eastAsia"/>
              </w:rPr>
              <w:t xml:space="preserve">間対象数</w:t>
            </w:r>
            <w:r>
              <w:t xml:space="preserve"> </w:t>
            </w:r>
            <w:r>
              <w:rPr>
                <w:rFonts w:hint="eastAsia"/>
              </w:rPr>
              <w:t xml:space="preserve">資金適合性</w:t>
            </w:r>
          </w:p>
        </w:tc>
        <w:tc>
          <w:tcPr/>
          <w:p>
            <w:pPr>
              <w:pStyle w:val="Compact"/>
            </w:pPr>
          </w:p>
        </w:tc>
      </w:tr>
      <w:tr>
        <w:tc>
          <w:tcPr/>
          <w:p>
            <w:pPr>
              <w:pStyle w:val="Compact"/>
            </w:pPr>
            <w:r>
              <w:rPr>
                <w:rFonts w:hint="eastAsia"/>
              </w:rPr>
              <w:t xml:space="preserve">普遍的なナロキソン入手可能性の維持</w:t>
            </w:r>
            <w:r>
              <w:t xml:space="preserve"> </w:t>
            </w:r>
            <w:r>
              <w:rPr>
                <w:rFonts w:hint="eastAsia"/>
              </w:rPr>
              <w:t xml:space="preserve">720万ド</w:t>
            </w:r>
          </w:p>
        </w:tc>
        <w:tc>
          <w:tcPr/>
          <w:p>
            <w:pPr>
              <w:pStyle w:val="Compact"/>
            </w:pPr>
            <w:r>
              <w:t xml:space="preserve">ル 31</w:t>
            </w:r>
          </w:p>
        </w:tc>
        <w:tc>
          <w:tcPr/>
          <w:p>
            <w:pPr>
              <w:pStyle w:val="Compact"/>
            </w:pPr>
            <w:r>
              <w:rPr>
                <w:rFonts w:hint="eastAsia"/>
              </w:rPr>
              <w:t xml:space="preserve">追加</w:t>
            </w:r>
          </w:p>
        </w:tc>
        <w:tc>
          <w:tcPr/>
          <w:p>
            <w:pPr>
              <w:pStyle w:val="Compact"/>
              <w:jc w:val="left"/>
            </w:pPr>
            <w:r>
              <w:rPr>
                <w:rFonts w:hint="eastAsia"/>
              </w:rPr>
              <w:t xml:space="preserve">16万個のキット</w:t>
            </w:r>
            <w:r>
              <w:t xml:space="preserve"> </w:t>
            </w:r>
            <w:r>
              <w:rPr>
                <w:rFonts w:hint="eastAsia"/>
              </w:rPr>
              <w:t xml:space="preserve">SOR/和解金</w:t>
            </w:r>
          </w:p>
        </w:tc>
        <w:tc>
          <w:tcPr/>
          <w:p>
            <w:pPr>
              <w:pStyle w:val="Compact"/>
            </w:pPr>
            <w:r>
              <w:rPr>
                <w:rFonts w:hint="eastAsia"/>
              </w:rPr>
              <w:t xml:space="preserve">との適合性は高い;メディケイドとの適合性は低い</w:t>
            </w:r>
          </w:p>
        </w:tc>
      </w:tr>
      <w:tr>
        <w:tc>
          <w:tcPr/>
          <w:p>
            <w:pPr>
              <w:pStyle w:val="Compact"/>
            </w:pPr>
            <w:r>
              <w:rPr>
                <w:rFonts w:hint="eastAsia"/>
              </w:rPr>
              <w:t xml:space="preserve">当日MOUDアクセスの拡大</w:t>
            </w:r>
            <w:r>
              <w:t xml:space="preserve"> 1,080</w:t>
            </w:r>
          </w:p>
        </w:tc>
        <w:tc>
          <w:tcPr/>
          <w:p>
            <w:pPr>
              <w:pStyle w:val="Compact"/>
            </w:pPr>
            <w:r>
              <w:rPr>
                <w:rFonts w:hint="eastAsia"/>
              </w:rPr>
              <w:t xml:space="preserve">万ドル</w:t>
            </w:r>
            <w:r>
              <w:t xml:space="preserve"> 4</w:t>
            </w:r>
          </w:p>
        </w:tc>
        <w:tc>
          <w:tcPr/>
          <w:p>
            <w:pPr>
              <w:pStyle w:val="Compact"/>
            </w:pPr>
            <w:r>
              <w:t xml:space="preserve">9 </w:t>
            </w:r>
            <w:r>
              <w:rPr>
                <w:rFonts w:hint="eastAsia"/>
              </w:rPr>
              <w:t xml:space="preserve">治</w:t>
            </w:r>
          </w:p>
        </w:tc>
        <w:tc>
          <w:tcPr/>
          <w:p>
            <w:pPr>
              <w:pStyle w:val="Compact"/>
              <w:jc w:val="left"/>
            </w:pPr>
            <w:r>
              <w:rPr>
                <w:rFonts w:hint="eastAsia"/>
              </w:rPr>
              <w:t xml:space="preserve">療開始件数を3,200件追加</w:t>
            </w:r>
            <w:r>
              <w:t xml:space="preserve"> SORとメディ</w:t>
            </w:r>
          </w:p>
        </w:tc>
        <w:tc>
          <w:tcPr/>
          <w:p>
            <w:pPr>
              <w:pStyle w:val="Compact"/>
            </w:pPr>
            <w:r>
              <w:rPr>
                <w:rFonts w:hint="eastAsia"/>
              </w:rPr>
              <w:t xml:space="preserve">ケイド;臨床請求リスク</w:t>
            </w:r>
          </w:p>
        </w:tc>
      </w:tr>
      <w:tr>
        <w:tc>
          <w:tcPr/>
          <w:p>
            <w:pPr>
              <w:pStyle w:val="Compact"/>
            </w:pPr>
            <w:r>
              <w:rPr>
                <w:rFonts w:hint="eastAsia"/>
              </w:rPr>
              <w:t xml:space="preserve">農村部モバイル・リカバリーチーム</w:t>
            </w:r>
          </w:p>
        </w:tc>
        <w:tc>
          <w:tcPr/>
          <w:p>
            <w:pPr>
              <w:pStyle w:val="Compact"/>
            </w:pPr>
            <w:r>
              <w:rPr>
                <w:rFonts w:hint="eastAsia"/>
              </w:rPr>
              <w:t xml:space="preserve">860万ドル</w:t>
            </w:r>
          </w:p>
        </w:tc>
        <w:tc>
          <w:tcPr/>
          <w:p>
            <w:pPr>
              <w:pStyle w:val="Compact"/>
            </w:pPr>
            <w:r>
              <w:t xml:space="preserve">42</w:t>
            </w:r>
          </w:p>
        </w:tc>
        <w:tc>
          <w:tcPr/>
          <w:p>
            <w:pPr>
              <w:pStyle w:val="Compact"/>
              <w:jc w:val="left"/>
            </w:pPr>
            <w:r>
              <w:rPr>
                <w:rFonts w:hint="eastAsia"/>
              </w:rPr>
              <w:t xml:space="preserve">19郡にわたるクライアント2,100人</w:t>
            </w:r>
          </w:p>
        </w:tc>
        <w:tc>
          <w:tcPr/>
          <w:p>
            <w:pPr>
              <w:pStyle w:val="Compact"/>
            </w:pPr>
            <w:r>
              <w:rPr>
                <w:rFonts w:hint="eastAsia"/>
              </w:rPr>
              <w:t xml:space="preserve">連邦・州の支援の可能性;単位コストが高い</w:t>
            </w:r>
          </w:p>
        </w:tc>
      </w:tr>
      <w:tr>
        <w:tc>
          <w:tcPr/>
          <w:p>
            <w:pPr>
              <w:pStyle w:val="Compact"/>
            </w:pPr>
            <w:r>
              <w:rPr>
                <w:rFonts w:hint="eastAsia"/>
              </w:rPr>
              <w:t xml:space="preserve">住居および就労安定化支援</w:t>
            </w:r>
            <w:r>
              <w:t xml:space="preserve"> </w:t>
            </w:r>
            <w:r>
              <w:rPr>
                <w:rFonts w:hint="eastAsia"/>
              </w:rPr>
              <w:t xml:space="preserve">940万ドル</w:t>
            </w:r>
          </w:p>
        </w:tc>
        <w:tc>
          <w:tcPr/>
          <w:p>
            <w:pPr>
              <w:pStyle w:val="Compact"/>
            </w:pPr>
            <w:r>
              <w:t xml:space="preserve">37</w:t>
            </w:r>
          </w:p>
        </w:tc>
        <w:tc>
          <w:tcPr/>
          <w:p>
            <w:pPr>
              <w:pStyle w:val="Compact"/>
            </w:pPr>
            <w:r>
              <w:t xml:space="preserve">クライアン</w:t>
            </w:r>
          </w:p>
        </w:tc>
        <w:tc>
          <w:tcPr/>
          <w:p>
            <w:pPr>
              <w:pStyle w:val="Compact"/>
              <w:jc w:val="left"/>
            </w:pPr>
            <w:r>
              <w:rPr>
                <w:rFonts w:hint="eastAsia"/>
              </w:rPr>
              <w:t xml:space="preserve">ト1,850人</w:t>
            </w:r>
            <w:r>
              <w:t xml:space="preserve"> リカ</w:t>
            </w:r>
          </w:p>
        </w:tc>
        <w:tc>
          <w:tcPr/>
          <w:p>
            <w:pPr>
              <w:pStyle w:val="Compact"/>
            </w:pPr>
            <w:r>
              <w:rPr>
                <w:rFonts w:hint="eastAsia"/>
              </w:rPr>
              <w:t xml:space="preserve">バリー助成金/寄付者;適格性と成果帰属の問題</w:t>
            </w:r>
          </w:p>
        </w:tc>
      </w:tr>
      <w:tr>
        <w:tc>
          <w:tcPr/>
          <w:p>
            <w:pPr>
              <w:pStyle w:val="Compact"/>
            </w:pPr>
            <w:r>
              <w:rPr>
                <w:rFonts w:hint="eastAsia"/>
              </w:rPr>
              <w:t xml:space="preserve">司法から治療への移行</w:t>
            </w:r>
            <w:r>
              <w:t xml:space="preserve"> </w:t>
            </w:r>
            <w:r>
              <w:rPr>
                <w:rFonts w:hint="eastAsia"/>
              </w:rPr>
              <w:t xml:space="preserve">610万ドル</w:t>
            </w:r>
          </w:p>
        </w:tc>
        <w:tc>
          <w:tcPr/>
          <w:p>
            <w:pPr>
              <w:pStyle w:val="Compact"/>
            </w:pPr>
            <w:r>
              <w:t xml:space="preserve">28</w:t>
            </w:r>
          </w:p>
        </w:tc>
        <w:tc>
          <w:tcPr/>
          <w:p>
            <w:pPr>
              <w:pStyle w:val="Compact"/>
            </w:pPr>
            <w:r>
              <w:rPr>
                <w:rFonts w:hint="eastAsia"/>
              </w:rPr>
              <w:t xml:space="preserve">刑務所釈</w:t>
            </w:r>
          </w:p>
        </w:tc>
        <w:tc>
          <w:tcPr/>
          <w:p>
            <w:pPr>
              <w:pStyle w:val="Compact"/>
              <w:jc w:val="left"/>
            </w:pPr>
            <w:r>
              <w:rPr>
                <w:rFonts w:hint="eastAsia"/>
              </w:rPr>
              <w:t xml:space="preserve">放者2,600人</w:t>
            </w:r>
            <w:r>
              <w:t xml:space="preserve"> </w:t>
            </w:r>
            <w:r>
              <w:rPr>
                <w:rFonts w:hint="eastAsia"/>
              </w:rPr>
              <w:t xml:space="preserve">対</w:t>
            </w:r>
          </w:p>
        </w:tc>
        <w:tc>
          <w:tcPr/>
          <w:p>
            <w:pPr>
              <w:pStyle w:val="Compact"/>
            </w:pPr>
            <w:r>
              <w:rPr>
                <w:rFonts w:hint="eastAsia"/>
              </w:rPr>
              <w:t xml:space="preserve">象を絞った助成金;機関間の相互依存</w:t>
            </w:r>
          </w:p>
        </w:tc>
      </w:tr>
      <w:tr>
        <w:tc>
          <w:tcPr/>
          <w:p>
            <w:pPr>
              <w:pStyle w:val="Compact"/>
            </w:pPr>
            <w:r>
              <w:rPr>
                <w:rFonts w:hint="eastAsia"/>
              </w:rPr>
              <w:t xml:space="preserve">若年層・家族向け予防イニシアチブ</w:t>
            </w:r>
            <w:r>
              <w:t xml:space="preserve"> </w:t>
            </w:r>
            <w:r>
              <w:rPr>
                <w:rFonts w:hint="eastAsia"/>
              </w:rPr>
              <w:t xml:space="preserve">530万ド</w:t>
            </w:r>
          </w:p>
        </w:tc>
        <w:tc>
          <w:tcPr/>
          <w:p>
            <w:pPr>
              <w:pStyle w:val="Compact"/>
            </w:pPr>
            <w:r>
              <w:t xml:space="preserve">ル 24</w:t>
            </w:r>
          </w:p>
        </w:tc>
        <w:tc>
          <w:tcPr/>
          <w:p>
            <w:pPr>
              <w:pStyle w:val="Compact"/>
            </w:pPr>
            <w:r>
              <w:rPr>
                <w:rFonts w:hint="eastAsia"/>
              </w:rPr>
              <w:t xml:space="preserve">学生・</w:t>
            </w:r>
          </w:p>
        </w:tc>
        <w:tc>
          <w:tcPr/>
          <w:p>
            <w:pPr>
              <w:pStyle w:val="Compact"/>
              <w:jc w:val="left"/>
            </w:pPr>
            <w:r>
              <w:rPr>
                <w:rFonts w:hint="eastAsia"/>
              </w:rPr>
              <w:t xml:space="preserve">家族35,000人</w:t>
            </w:r>
            <w:r>
              <w:t xml:space="preserve"> </w:t>
            </w:r>
            <w:r>
              <w:rPr>
                <w:rFonts w:hint="eastAsia"/>
              </w:rPr>
              <w:t xml:space="preserve">予防助成金と寄付者</w:t>
            </w:r>
          </w:p>
        </w:tc>
        <w:tc>
          <w:tcPr/>
          <w:p>
            <w:pPr>
              <w:pStyle w:val="Compact"/>
            </w:pPr>
            <w:r>
              <w:rPr>
                <w:rFonts w:hint="eastAsia"/>
              </w:rPr>
              <w:t xml:space="preserve">;便益の発現は緩やか</w:t>
            </w:r>
          </w:p>
        </w:tc>
      </w:tr>
    </w:tbl>
    <w:p>
      <w:pPr>
        <w:pStyle w:val="BodyText"/>
      </w:pPr>
      <w:r>
        <w:rPr>
          <w:rFonts w:hint="eastAsia"/>
        </w:rPr>
        <w:t xml:space="preserve">これらの提案は相互排他的ではなかったが、中心シナリオの下では同局はそのすべてに人員を配置することはできなかった。さらに、資金を一つのプログラムから別のプログラムへ常に移し替えられるわけではなかった。制限付き助成金は未使用のまま残る一方で、同局は同時に、必要ではあるが対象外の業務を行うスタッフを解雇せざるを得なくなる可能性があった。</w:t>
      </w:r>
    </w:p>
    <w:bookmarkEnd w:id="13"/>
    <w:bookmarkStart w:id="14" w:name="資金の針の穴"/>
    <w:p>
      <w:pPr>
        <w:pStyle w:val="Heading1"/>
      </w:pPr>
      <w:r>
        <w:rPr>
          <w:rFonts w:hint="eastAsia"/>
        </w:rPr>
        <w:t xml:space="preserve">資金の針の穴</w:t>
      </w:r>
    </w:p>
    <w:p>
      <w:pPr>
        <w:pStyle w:val="FirstParagraph"/>
      </w:pPr>
      <w:r>
        <w:rPr>
          <w:rFonts w:hint="eastAsia"/>
        </w:rPr>
        <w:t xml:space="preserve">マルケスはチームに選択肢の策定を求めた。いずれも単なる資金調達キャンペーンではなかった。</w:t>
      </w:r>
    </w:p>
    <w:p>
      <w:pPr>
        <w:pStyle w:val="BodyText"/>
      </w:pPr>
      <w:r>
        <w:rPr>
          <w:b/>
          <w:bCs/>
        </w:rPr>
        <w:t xml:space="preserve">1. </w:t>
      </w:r>
      <w:r>
        <w:rPr>
          <w:rFonts w:hint="eastAsia"/>
          <w:b/>
          <w:bCs/>
        </w:rPr>
        <w:t xml:space="preserve">中核労働力を守る。</w:t>
      </w:r>
      <w:r>
        <w:t xml:space="preserve"> </w:t>
      </w:r>
      <w:r>
        <w:rPr>
          <w:rFonts w:hint="eastAsia"/>
        </w:rPr>
        <w:t xml:space="preserve">州一般財源と和解金を、まず恒久的なスタッフのために充て、連邦資金と慈善資金を変動的なプログラム経費に割り当てる。これにより継続性は改善しうるが、目に見えるサービスではなく管理業務のために柔軟な資金を使っているとの批判を招く可能性がある。</w:t>
      </w:r>
    </w:p>
    <w:p>
      <w:pPr>
        <w:pStyle w:val="BodyText"/>
      </w:pPr>
      <w:r>
        <w:rPr>
          <w:b/>
          <w:bCs/>
        </w:rPr>
        <w:t xml:space="preserve">2. </w:t>
      </w:r>
      <w:r>
        <w:rPr>
          <w:rFonts w:hint="eastAsia"/>
          <w:b/>
          <w:bCs/>
        </w:rPr>
        <w:t xml:space="preserve">助成金主導のイニシアチブを中心に組織を再編する。</w:t>
      </w:r>
      <w:r>
        <w:t xml:space="preserve"> </w:t>
      </w:r>
      <w:r>
        <w:rPr>
          <w:rFonts w:hint="eastAsia"/>
        </w:rPr>
        <w:t xml:space="preserve">ポジションと活動が連邦の助成公募通知に直接対応するようチームを再構築する。これにより助成申請の競争力は最大化されうるが、ケアの連続体が分断され、連邦の文言が変わるたびに優先順位が変化する恐れがある。</w:t>
      </w:r>
    </w:p>
    <w:p>
      <w:pPr>
        <w:pStyle w:val="BodyText"/>
      </w:pPr>
      <w:r>
        <w:rPr>
          <w:b/>
          <w:bCs/>
        </w:rPr>
        <w:t xml:space="preserve">3. </w:t>
      </w:r>
      <w:r>
        <w:rPr>
          <w:rFonts w:hint="eastAsia"/>
          <w:b/>
          <w:bCs/>
        </w:rPr>
        <w:t xml:space="preserve">財源を編み合わせる(braided</w:t>
      </w:r>
      <w:r>
        <w:rPr>
          <w:b/>
          <w:bCs/>
        </w:rPr>
        <w:t xml:space="preserve"> </w:t>
      </w:r>
      <w:r>
        <w:rPr>
          <w:rFonts w:hint="eastAsia"/>
          <w:b/>
          <w:bCs/>
        </w:rPr>
        <w:t xml:space="preserve">funding)モデルを構築する。</w:t>
      </w:r>
      <w:r>
        <w:t xml:space="preserve"> </w:t>
      </w:r>
      <w:r>
        <w:rPr>
          <w:rFonts w:hint="eastAsia"/>
        </w:rPr>
        <w:t xml:space="preserve">各サービスに複数の資金源を組み合わせて充てる――例えば、アウトリーチには連邦資金、臨床上の受診にはメディケイド、ナビゲーションには和解金、緊急支援には寄付者を充てる。財源の編み合わせはサービスを維持できるが、高度な時間配分、コスト会計、適格性審査、監査統制が必要になる。</w:t>
      </w:r>
    </w:p>
    <w:p>
      <w:pPr>
        <w:pStyle w:val="BodyText"/>
      </w:pPr>
      <w:r>
        <w:rPr>
          <w:b/>
          <w:bCs/>
        </w:rPr>
        <w:t xml:space="preserve">4. </w:t>
      </w:r>
      <w:r>
        <w:rPr>
          <w:rFonts w:hint="eastAsia"/>
          <w:b/>
          <w:bCs/>
        </w:rPr>
        <w:t xml:space="preserve">より多くの提供業務を地域パートナーに移す。</w:t>
      </w:r>
      <w:r>
        <w:t xml:space="preserve"> </w:t>
      </w:r>
      <w:r>
        <w:rPr>
          <w:rFonts w:hint="eastAsia"/>
        </w:rPr>
        <w:t xml:space="preserve">中央の労働力を縮小し、資金を郡、病院、非営利団体、リカバリー団体へ分配する。地域団体はクライアントにより近い存在かもしれないが、RDRSは運営上の管理を失いつつ、監視責任は依然として保持することになる。小規模な組織は、償還や連邦コンプライアンスを管理するためのキャッシュフローや行政能力を持たないかもしれない。</w:t>
      </w:r>
    </w:p>
    <w:p>
      <w:pPr>
        <w:pStyle w:val="BodyText"/>
      </w:pPr>
      <w:r>
        <w:rPr>
          <w:b/>
          <w:bCs/>
        </w:rPr>
        <w:t xml:space="preserve">5. </w:t>
      </w:r>
      <w:r>
        <w:rPr>
          <w:rFonts w:hint="eastAsia"/>
          <w:b/>
          <w:bCs/>
        </w:rPr>
        <w:t xml:space="preserve">州全体のリカバリー基金を創設する。</w:t>
      </w:r>
      <w:r>
        <w:t xml:space="preserve"> </w:t>
      </w:r>
      <w:r>
        <w:rPr>
          <w:rFonts w:hint="eastAsia"/>
        </w:rPr>
        <w:t xml:space="preserve">医療システム、雇用主、保険会社、財団、個人寄付者から複数年のコミットメントを求める。プール型の基金は、政府助成金の対象外となるギャップを埋める資金となりうるが、民間参加者はガバナンス上の権利、地理的な優先配分、迅速な成果の証拠を求めるかもしれない。</w:t>
      </w:r>
    </w:p>
    <w:p>
      <w:pPr>
        <w:pStyle w:val="BodyText"/>
      </w:pPr>
      <w:r>
        <w:rPr>
          <w:b/>
          <w:bCs/>
        </w:rPr>
        <w:t xml:space="preserve">6. </w:t>
      </w:r>
      <w:r>
        <w:rPr>
          <w:rFonts w:hint="eastAsia"/>
          <w:b/>
          <w:bCs/>
        </w:rPr>
        <w:t xml:space="preserve">使命を絞り込む。</w:t>
      </w:r>
      <w:r>
        <w:t xml:space="preserve"> </w:t>
      </w:r>
      <w:r>
        <w:rPr>
          <w:rFonts w:hint="eastAsia"/>
        </w:rPr>
        <w:t xml:space="preserve">ナロキソン、治療アクセス、助成金管理に集中し、住居、就労、長期的リカバリー機能を縮小する。同局は急性期の段階でより多くの人々に対応できるようになるかもしれないが、繰り返される危機を防ぐために意図された支援は弱まる可能性がある。</w:t>
      </w:r>
    </w:p>
    <w:bookmarkEnd w:id="14"/>
    <w:bookmarkStart w:id="15" w:name="測定の問題"/>
    <w:p>
      <w:pPr>
        <w:pStyle w:val="Heading1"/>
      </w:pPr>
      <w:r>
        <w:rPr>
          <w:rFonts w:hint="eastAsia"/>
        </w:rPr>
        <w:t xml:space="preserve">測定の問題</w:t>
      </w:r>
    </w:p>
    <w:p>
      <w:pPr>
        <w:pStyle w:val="FirstParagraph"/>
      </w:pPr>
      <w:r>
        <w:rPr>
          <w:rFonts w:hint="eastAsia"/>
        </w:rPr>
        <w:t xml:space="preserve">同局の成果は帰属を特定するのが難しかった。配布されたナロキソンキットは数えやすかったが、防がれた死亡はそうではなかった。治療開始は測定可能だったが、その定着は提供者、送迎、住居、保険、薬物供給に左右された。就労の成果は助成金の期間終了から数か月後に生じるかもしれなかった。死亡数の減少は、その一部がプログラムのキャパシティによるものであったとしても、政治的な緊急性を低下させる可能性があった。</w:t>
      </w:r>
    </w:p>
    <w:p>
      <w:pPr>
        <w:pStyle w:val="BodyText"/>
      </w:pPr>
      <w:r>
        <w:rPr>
          <w:rFonts w:hint="eastAsia"/>
        </w:rPr>
        <w:t xml:space="preserve">寄付者は物語と短期的な指標を求めた。連邦機関は標準化された成果指標とサブ受給者データを要求した。州の予算担当官は人口レベルの成果と、プログラムが重複していないことの証拠を求めた。マルケスのスタッフは、クライアントが必要とするものではなく、資金供与を受けやすく数えやすいものを最適化してしまうことを懸念していた。</w:t>
      </w:r>
    </w:p>
    <w:p>
      <w:pPr>
        <w:pStyle w:val="BodyText"/>
      </w:pPr>
      <w:r>
        <w:rPr>
          <w:rFonts w:hint="eastAsia"/>
        </w:rPr>
        <w:t xml:space="preserve">図表4.</w:t>
      </w:r>
      <w:r>
        <w:t xml:space="preserve"> </w:t>
      </w:r>
      <w:r>
        <w:rPr>
          <w:rFonts w:hint="eastAsia"/>
        </w:rPr>
        <w:t xml:space="preserve">FY2027の提案された意思決定基準</w:t>
      </w:r>
    </w:p>
    <w:tbl>
      <w:tblPr>
        <w:tblStyle w:val="Table"/>
        <w:tblW w:type="pct" w:w="4935"/>
        <w:tblLayout w:type="fixed"/>
        <w:tblLook w:firstRow="1" w:lastRow="0" w:firstColumn="0" w:lastColumn="0" w:noHBand="0" w:noVBand="0" w:val="0020"/>
      </w:tblPr>
      <w:tblGrid>
        <w:gridCol w:w="1182"/>
        <w:gridCol w:w="3445"/>
        <w:gridCol w:w="3188"/>
      </w:tblGrid>
      <w:tr>
        <w:trPr>
          <w:tblHeader w:val="on"/>
        </w:trPr>
        <w:tc>
          <w:tcPr/>
          <w:p>
            <w:pPr>
              <w:pStyle w:val="Compact"/>
            </w:pPr>
            <w:r>
              <w:rPr>
                <w:rFonts w:hint="eastAsia"/>
              </w:rPr>
              <w:t xml:space="preserve">基準</w:t>
            </w:r>
            <w:r>
              <w:t xml:space="preserve"> </w:t>
            </w:r>
            <w:r>
              <w:rPr>
                <w:rFonts w:hint="eastAsia"/>
              </w:rPr>
              <w:t xml:space="preserve">例示的</w:t>
            </w:r>
          </w:p>
        </w:tc>
        <w:tc>
          <w:tcPr/>
          <w:p>
            <w:pPr>
              <w:pStyle w:val="Compact"/>
              <w:jc w:val="left"/>
            </w:pPr>
            <w:r>
              <w:rPr>
                <w:rFonts w:hint="eastAsia"/>
              </w:rPr>
              <w:t xml:space="preserve">な指標</w:t>
            </w:r>
            <w:r>
              <w:t xml:space="preserve"> </w:t>
            </w:r>
            <w:r>
              <w:rPr>
                <w:rFonts w:hint="eastAsia"/>
              </w:rPr>
              <w:t xml:space="preserve">未解決の問い</w:t>
            </w:r>
          </w:p>
        </w:tc>
        <w:tc>
          <w:tcPr/>
          <w:p>
            <w:pPr>
              <w:pStyle w:val="Compact"/>
            </w:pPr>
          </w:p>
        </w:tc>
      </w:tr>
      <w:tr>
        <w:tc>
          <w:tcPr/>
          <w:p>
            <w:pPr>
              <w:pStyle w:val="Compact"/>
            </w:pPr>
            <w:r>
              <w:rPr>
                <w:rFonts w:hint="eastAsia"/>
              </w:rPr>
              <w:t xml:space="preserve">生命と健康</w:t>
            </w:r>
            <w:r>
              <w:t xml:space="preserve"> オーバ</w:t>
            </w:r>
          </w:p>
        </w:tc>
        <w:tc>
          <w:tcPr/>
          <w:p>
            <w:pPr>
              <w:pStyle w:val="Compact"/>
              <w:jc w:val="left"/>
            </w:pPr>
            <w:r>
              <w:rPr>
                <w:rFonts w:hint="eastAsia"/>
              </w:rPr>
              <w:t xml:space="preserve">ードーズ死亡、非致死性オーバードーズ、治療定着率</w:t>
            </w:r>
            <w:r>
              <w:t xml:space="preserve"> どれだけ</w:t>
            </w:r>
          </w:p>
        </w:tc>
        <w:tc>
          <w:tcPr/>
          <w:p>
            <w:pPr>
              <w:pStyle w:val="Compact"/>
            </w:pPr>
            <w:r>
              <w:rPr>
                <w:rFonts w:hint="eastAsia"/>
              </w:rPr>
              <w:t xml:space="preserve">の変化がRDRSに帰属できるのか?</w:t>
            </w:r>
          </w:p>
        </w:tc>
      </w:tr>
      <w:tr>
        <w:tc>
          <w:tcPr/>
          <w:p>
            <w:pPr>
              <w:pStyle w:val="Compact"/>
            </w:pPr>
            <w:r>
              <w:rPr>
                <w:rFonts w:hint="eastAsia"/>
              </w:rPr>
              <w:t xml:space="preserve">アクセスと公平性</w:t>
            </w:r>
            <w:r>
              <w:t xml:space="preserve"> </w:t>
            </w:r>
            <w:r>
              <w:rPr>
                <w:rFonts w:hint="eastAsia"/>
              </w:rPr>
              <w:t xml:space="preserve">移</w:t>
            </w:r>
          </w:p>
        </w:tc>
        <w:tc>
          <w:tcPr/>
          <w:p>
            <w:pPr>
              <w:pStyle w:val="Compact"/>
              <w:jc w:val="left"/>
            </w:pPr>
            <w:r>
              <w:rPr>
                <w:rFonts w:hint="eastAsia"/>
              </w:rPr>
              <w:t xml:space="preserve">動時間、待ち時間、地域・集団別のサービス提供率</w:t>
            </w:r>
            <w:r>
              <w:t xml:space="preserve"> </w:t>
            </w:r>
            <w:r>
              <w:rPr>
                <w:rFonts w:hint="eastAsia"/>
              </w:rPr>
              <w:t xml:space="preserve">高コストの農</w:t>
            </w:r>
          </w:p>
        </w:tc>
        <w:tc>
          <w:tcPr/>
          <w:p>
            <w:pPr>
              <w:pStyle w:val="Compact"/>
            </w:pPr>
            <w:r>
              <w:rPr>
                <w:rFonts w:hint="eastAsia"/>
              </w:rPr>
              <w:t xml:space="preserve">村部への到達を、総量よりも重視すべきか?</w:t>
            </w:r>
          </w:p>
        </w:tc>
      </w:tr>
      <w:tr>
        <w:tc>
          <w:tcPr/>
          <w:p>
            <w:pPr>
              <w:pStyle w:val="Compact"/>
            </w:pPr>
            <w:r>
              <w:rPr>
                <w:rFonts w:hint="eastAsia"/>
              </w:rPr>
              <w:t xml:space="preserve">リカバリーの安定性</w:t>
            </w:r>
          </w:p>
        </w:tc>
        <w:tc>
          <w:tcPr/>
          <w:p>
            <w:pPr>
              <w:pStyle w:val="Compact"/>
              <w:jc w:val="left"/>
            </w:pPr>
            <w:r>
              <w:rPr>
                <w:rFonts w:hint="eastAsia"/>
              </w:rPr>
              <w:t xml:space="preserve">住居、就労、司法関与、ケアへの再接続</w:t>
            </w:r>
            <w:r>
              <w:t xml:space="preserve"> </w:t>
            </w:r>
            <w:r>
              <w:rPr>
                <w:rFonts w:hint="eastAsia"/>
              </w:rPr>
              <w:t xml:space="preserve">これらの成果のうち、保健機関</w:t>
            </w:r>
          </w:p>
        </w:tc>
        <w:tc>
          <w:tcPr/>
          <w:p>
            <w:pPr>
              <w:pStyle w:val="Compact"/>
            </w:pPr>
            <w:r>
              <w:rPr>
                <w:rFonts w:hint="eastAsia"/>
              </w:rPr>
              <w:t xml:space="preserve">の使命に属するのはどれか?</w:t>
            </w:r>
          </w:p>
        </w:tc>
      </w:tr>
      <w:tr>
        <w:tc>
          <w:tcPr/>
          <w:p>
            <w:pPr>
              <w:pStyle w:val="Compact"/>
            </w:pPr>
            <w:r>
              <w:rPr>
                <w:rFonts w:hint="eastAsia"/>
              </w:rPr>
              <w:t xml:space="preserve">財政的レジリエンス</w:t>
            </w:r>
            <w:r>
              <w:t xml:space="preserve"> </w:t>
            </w:r>
            <w:r>
              <w:rPr>
                <w:rFonts w:hint="eastAsia"/>
              </w:rPr>
              <w:t xml:space="preserve">人</w:t>
            </w:r>
          </w:p>
        </w:tc>
        <w:tc>
          <w:tcPr/>
          <w:p>
            <w:pPr>
              <w:pStyle w:val="Compact"/>
              <w:jc w:val="left"/>
            </w:pPr>
            <w:r>
              <w:rPr>
                <w:rFonts w:hint="eastAsia"/>
              </w:rPr>
              <w:t xml:space="preserve">件費の無制限適用可能月数;資金提供者の集中度</w:t>
            </w:r>
            <w:r>
              <w:t xml:space="preserve"> どれだけの</w:t>
            </w:r>
          </w:p>
        </w:tc>
        <w:tc>
          <w:tcPr/>
          <w:p>
            <w:pPr>
              <w:pStyle w:val="Compact"/>
            </w:pPr>
            <w:r>
              <w:rPr>
                <w:rFonts w:hint="eastAsia"/>
              </w:rPr>
              <w:t xml:space="preserve">サービスを犠牲にして準備金を積み立てるべきか?</w:t>
            </w:r>
          </w:p>
        </w:tc>
      </w:tr>
      <w:tr>
        <w:tc>
          <w:tcPr/>
          <w:p>
            <w:pPr>
              <w:pStyle w:val="Compact"/>
            </w:pPr>
            <w:r>
              <w:rPr>
                <w:rFonts w:hint="eastAsia"/>
              </w:rPr>
              <w:t xml:space="preserve">労働力の継続性</w:t>
            </w:r>
            <w:r>
              <w:t xml:space="preserve"> </w:t>
            </w:r>
            <w:r>
              <w:rPr>
                <w:rFonts w:hint="eastAsia"/>
              </w:rPr>
              <w:t xml:space="preserve">欠員</w:t>
            </w:r>
          </w:p>
        </w:tc>
        <w:tc>
          <w:tcPr/>
          <w:p>
            <w:pPr>
              <w:pStyle w:val="Compact"/>
              <w:jc w:val="left"/>
            </w:pPr>
            <w:r>
              <w:rPr>
                <w:rFonts w:hint="eastAsia"/>
              </w:rPr>
              <w:t xml:space="preserve">、離職、リスクにさらされる助成金依存ポジション</w:t>
            </w:r>
            <w:r>
              <w:t xml:space="preserve"> </w:t>
            </w:r>
            <w:r>
              <w:rPr>
                <w:rFonts w:hint="eastAsia"/>
              </w:rPr>
              <w:t xml:space="preserve">恒久的</w:t>
            </w:r>
          </w:p>
        </w:tc>
        <w:tc>
          <w:tcPr/>
          <w:p>
            <w:pPr>
              <w:pStyle w:val="Compact"/>
            </w:pPr>
            <w:r>
              <w:rPr>
                <w:rFonts w:hint="eastAsia"/>
              </w:rPr>
              <w:t xml:space="preserve">なポジションを一時的な資金で支えるべきか?</w:t>
            </w:r>
          </w:p>
        </w:tc>
      </w:tr>
      <w:tr>
        <w:tc>
          <w:tcPr/>
          <w:p>
            <w:pPr>
              <w:pStyle w:val="Compact"/>
            </w:pPr>
            <w:r>
              <w:t xml:space="preserve">コンプライアンス</w:t>
            </w:r>
          </w:p>
        </w:tc>
        <w:tc>
          <w:tcPr/>
          <w:p>
            <w:pPr>
              <w:pStyle w:val="Compact"/>
              <w:jc w:val="left"/>
            </w:pPr>
            <w:r>
              <w:rPr>
                <w:rFonts w:hint="eastAsia"/>
              </w:rPr>
              <w:t xml:space="preserve">期限内の報告、監査所見、許容費用の例外</w:t>
            </w:r>
            <w:r>
              <w:t xml:space="preserve"> どれだ</w:t>
            </w:r>
          </w:p>
        </w:tc>
        <w:tc>
          <w:tcPr/>
          <w:p>
            <w:pPr>
              <w:pStyle w:val="Compact"/>
            </w:pPr>
            <w:r>
              <w:rPr>
                <w:rFonts w:hint="eastAsia"/>
              </w:rPr>
              <w:t xml:space="preserve">けの行政能力があれば十分か?</w:t>
            </w:r>
          </w:p>
        </w:tc>
      </w:tr>
    </w:tbl>
    <w:bookmarkEnd w:id="15"/>
    <w:bookmarkStart w:id="16" w:name="リトリート"/>
    <w:p>
      <w:pPr>
        <w:pStyle w:val="Heading1"/>
      </w:pPr>
      <w:r>
        <w:t xml:space="preserve">リトリート</w:t>
      </w:r>
    </w:p>
    <w:p>
      <w:pPr>
        <w:pStyle w:val="FirstParagraph"/>
      </w:pPr>
      <w:r>
        <w:rPr>
          <w:rFonts w:hint="eastAsia"/>
        </w:rPr>
        <w:t xml:space="preserve">リトリートの場で、最高医療責任者は治療とナロキソン業務の維持を支持した。「死亡数の減少は、われわれが望んでいた結果です」と彼女は述べた。「それはインフラがもはや不要であるという証拠ではありません。」最高財務責任者はこれに反論し、同局はすべての継続助成を恒久的な歳入として扱うことはできないと述べた。彼は人件費3か月分に相当する準備金と、持続的な資金源のない新規恒久雇用を禁じる方針を望んでいた。</w:t>
      </w:r>
    </w:p>
    <w:p>
      <w:pPr>
        <w:pStyle w:val="BodyText"/>
      </w:pPr>
      <w:r>
        <w:rPr>
          <w:rFonts w:hint="eastAsia"/>
        </w:rPr>
        <w:t xml:space="preserve">リカバリー担当ディレクターは、提案された準備金は、現在危機にある人々へのサービスを差し控えることによって積み立てられることになると主張した。助成金担当ディレクターは、いくつかの連邦申請は、RDRSが公募通知に明記されたイニシアチブへのコミットメントを示さない限り、低い評価を受けることになると警告した。ある郡議会議員は、州は州都からプログラムを設計するのをやめ、郡に柔軟な配分を与えるべきだと述べた。ある財団の代表者は寄付者を招集することを申し出たが、慈善事業は規模の面で政府に代わることはできないと注意を促した。</w:t>
      </w:r>
    </w:p>
    <w:p>
      <w:pPr>
        <w:pStyle w:val="BodyText"/>
      </w:pPr>
      <w:r>
        <w:rPr>
          <w:rFonts w:hint="eastAsia"/>
        </w:rPr>
        <w:t xml:space="preserve">マルケスはボードに4つの問いを書いた。</w:t>
      </w:r>
    </w:p>
    <w:p>
      <w:pPr>
        <w:pStyle w:val="BlockText"/>
      </w:pPr>
      <w:r>
        <w:t xml:space="preserve">• </w:t>
      </w:r>
      <w:r>
        <w:rPr>
          <w:rFonts w:hint="eastAsia"/>
        </w:rPr>
        <w:t xml:space="preserve">どのサービスが、譲れない州全体のプラットフォームを構成するのか?</w:t>
      </w:r>
    </w:p>
    <w:p>
      <w:pPr>
        <w:pStyle w:val="BlockText"/>
      </w:pPr>
      <w:r>
        <w:t xml:space="preserve">• </w:t>
      </w:r>
      <w:r>
        <w:rPr>
          <w:rFonts w:hint="eastAsia"/>
        </w:rPr>
        <w:t xml:space="preserve">制限付き資金が転用できない場合、どの集団を優先すべきか?</w:t>
      </w:r>
    </w:p>
    <w:p>
      <w:pPr>
        <w:pStyle w:val="BlockText"/>
      </w:pPr>
      <w:r>
        <w:t xml:space="preserve">• </w:t>
      </w:r>
      <w:r>
        <w:rPr>
          <w:rFonts w:hint="eastAsia"/>
        </w:rPr>
        <w:t xml:space="preserve">助成金の獲得とコンプライアンスの追求に、どれだけの組織的キャパシティを割くべきか?</w:t>
      </w:r>
    </w:p>
    <w:p>
      <w:pPr>
        <w:pStyle w:val="BlockText"/>
      </w:pPr>
      <w:r>
        <w:t xml:space="preserve">• </w:t>
      </w:r>
      <w:r>
        <w:rPr>
          <w:rFonts w:hint="eastAsia"/>
        </w:rPr>
        <w:t xml:space="preserve">政治的優先事項やプログラム要件の変化を通じて、RDRSがスタッフを維持できるような資金構造とはどのようなものか?</w:t>
      </w:r>
    </w:p>
    <w:p>
      <w:pPr>
        <w:pStyle w:val="FirstParagraph"/>
      </w:pPr>
      <w:r>
        <w:rPr>
          <w:rFonts w:hint="eastAsia"/>
        </w:rPr>
        <w:t xml:space="preserve">知事の予算室は、3週間以内にRDRSの提言を期待していた。連邦の継続通知はそれより前に届くかもしれないし、あるいは数か月後になるかもしれない。労働協約では、特定の解雇について90日前の通知が義務付けられていた。ナロキソンの発注は、有利な価格を確保するために6か月前に行う必要があった。2件の大型財団向け提案は11月が期限だったが、いずれもRDRSが狭く定義されたイニシアチブと測定可能な3年間の成果を</w:t>
      </w:r>
      <w:r>
        <w:t xml:space="preserve"> specify </w:t>
      </w:r>
      <w:r>
        <w:rPr>
          <w:rFonts w:hint="eastAsia"/>
        </w:rPr>
        <w:t xml:space="preserve">するよう求めていた。</w:t>
      </w:r>
    </w:p>
    <w:p>
      <w:pPr>
        <w:pStyle w:val="BodyText"/>
      </w:pPr>
      <w:r>
        <w:rPr>
          <w:rFonts w:hint="eastAsia"/>
        </w:rPr>
        <w:t xml:space="preserve">マルケスは、単一の戦略、資金の結果に連動した条件付き計画、あるいはサービスと財源の選択肢からなるポートフォリオを提示することができた。何を提案するにせよ、それはより大きな問いに対する暗黙の答えを明らかにすることになるだろう。RDRSとは、緊急対応組織なのか、治療機関なのか、長期的なリカバリー機関なのか、それともこれら三者すべてのための資金調達・調整プラットフォームなのか。</w:t>
      </w:r>
    </w:p>
    <w:bookmarkEnd w:id="16"/>
    <w:bookmarkStart w:id="17" w:name="討議設問"/>
    <w:p>
      <w:pPr>
        <w:pStyle w:val="Heading1"/>
      </w:pPr>
      <w:r>
        <w:rPr>
          <w:rFonts w:hint="eastAsia"/>
        </w:rPr>
        <w:t xml:space="preserve">討議設問</w:t>
      </w:r>
    </w:p>
    <w:p>
      <w:pPr>
        <w:numPr>
          <w:ilvl w:val="0"/>
          <w:numId w:val="1001"/>
        </w:numPr>
      </w:pPr>
      <w:r>
        <w:rPr>
          <w:rFonts w:hint="eastAsia"/>
        </w:rPr>
        <w:t xml:space="preserve">マルケス長官が直面している決定とは何か。どの決定が戦略的なもので、どれが業務的なものか。</w:t>
      </w:r>
    </w:p>
    <w:p>
      <w:pPr>
        <w:numPr>
          <w:ilvl w:val="0"/>
          <w:numId w:val="1001"/>
        </w:numPr>
      </w:pPr>
      <w:r>
        <w:rPr>
          <w:rFonts w:hint="eastAsia"/>
        </w:rPr>
        <w:t xml:space="preserve">RDRSは、中核となる運営プラットフォームと助成金主導のイニシアチブをどのように区別すべきか。</w:t>
      </w:r>
    </w:p>
    <w:p>
      <w:pPr>
        <w:numPr>
          <w:ilvl w:val="0"/>
          <w:numId w:val="1001"/>
        </w:numPr>
      </w:pPr>
      <w:r>
        <w:rPr>
          <w:rFonts w:hint="eastAsia"/>
        </w:rPr>
        <w:t xml:space="preserve">中心的なFY2027資金シナリオが実現した場合、どの集団あるいはサービスが優先されるべきか。</w:t>
      </w:r>
    </w:p>
    <w:p>
      <w:pPr>
        <w:numPr>
          <w:ilvl w:val="0"/>
          <w:numId w:val="1001"/>
        </w:numPr>
      </w:pPr>
      <w:r>
        <w:rPr>
          <w:rFonts w:hint="eastAsia"/>
        </w:rPr>
        <w:t xml:space="preserve">普遍的なナロキソン配布を、治療および長期的リカバリー支援と比較して、どのように評価すべきか。</w:t>
      </w:r>
    </w:p>
    <w:p>
      <w:pPr>
        <w:numPr>
          <w:ilvl w:val="0"/>
          <w:numId w:val="1001"/>
        </w:numPr>
      </w:pPr>
      <w:r>
        <w:rPr>
          <w:rFonts w:hint="eastAsia"/>
        </w:rPr>
        <w:t xml:space="preserve">財源を編み合わせる(braided</w:t>
      </w:r>
      <w:r>
        <w:t xml:space="preserve"> </w:t>
      </w:r>
      <w:r>
        <w:rPr>
          <w:rFonts w:hint="eastAsia"/>
        </w:rPr>
        <w:t xml:space="preserve">funding)ことの利点とリスクは何か。それにはどのような行政能力が必要か。</w:t>
      </w:r>
    </w:p>
    <w:p>
      <w:pPr>
        <w:numPr>
          <w:ilvl w:val="0"/>
          <w:numId w:val="1001"/>
        </w:numPr>
      </w:pPr>
      <w:r>
        <w:rPr>
          <w:rFonts w:hint="eastAsia"/>
        </w:rPr>
        <w:t xml:space="preserve">減少しているオーバードーズ死亡数は、資金継続の根拠を強めるべきか、それとも弱めるべきか。</w:t>
      </w:r>
    </w:p>
    <w:p>
      <w:pPr>
        <w:numPr>
          <w:ilvl w:val="0"/>
          <w:numId w:val="1001"/>
        </w:numPr>
      </w:pPr>
      <w:r>
        <w:rPr>
          <w:rFonts w:hint="eastAsia"/>
        </w:rPr>
        <w:t xml:space="preserve">成果が遅れて現れ、帰属を特定するのが難しく、あるいは完全には観測できない場合、RDRSはどの指標を用いるべきか。</w:t>
      </w:r>
    </w:p>
    <w:p>
      <w:pPr>
        <w:numPr>
          <w:ilvl w:val="0"/>
          <w:numId w:val="1001"/>
        </w:numPr>
      </w:pPr>
      <w:r>
        <w:rPr>
          <w:rFonts w:hint="eastAsia"/>
        </w:rPr>
        <w:t xml:space="preserve">公的機関は、現在のサービスを削減してでも、どれだけの財政的準備金を保有すべきか。</w:t>
      </w:r>
    </w:p>
    <w:p>
      <w:pPr>
        <w:numPr>
          <w:ilvl w:val="0"/>
          <w:numId w:val="1001"/>
        </w:numPr>
      </w:pPr>
      <w:r>
        <w:rPr>
          <w:rFonts w:hint="eastAsia"/>
        </w:rPr>
        <w:t xml:space="preserve">郡、医療システム、雇用主、保険会社、民間寄付者はそれぞれどのような役割を果たすべきか。</w:t>
      </w:r>
    </w:p>
    <w:p>
      <w:pPr>
        <w:numPr>
          <w:ilvl w:val="0"/>
          <w:numId w:val="1001"/>
        </w:numPr>
      </w:pPr>
      <w:r>
        <w:rPr>
          <w:rFonts w:hint="eastAsia"/>
        </w:rPr>
        <w:t xml:space="preserve">知事の3週間の期限までに代替案を検討するプロセスを設計せよ。最も価値の高い情報は何か。</w:t>
      </w:r>
    </w:p>
    <w:bookmarkEnd w:id="17"/>
    <w:bookmarkStart w:id="23" w:name="決定フレーミング設問"/>
    <w:p>
      <w:pPr>
        <w:pStyle w:val="Heading1"/>
      </w:pPr>
      <w:r>
        <w:rPr>
          <w:rFonts w:hint="eastAsia"/>
        </w:rPr>
        <w:t xml:space="preserve">決定フレーミング設問</w:t>
      </w:r>
    </w:p>
    <w:p>
      <w:pPr>
        <w:numPr>
          <w:ilvl w:val="0"/>
          <w:numId w:val="1002"/>
        </w:numPr>
      </w:pPr>
      <w:r>
        <w:rPr>
          <w:rFonts w:hint="eastAsia"/>
        </w:rPr>
        <w:t xml:space="preserve">意思決定者の責任を特定し、記述せよ。これにより問題の範囲が定まるはずである。</w:t>
      </w:r>
    </w:p>
    <w:p>
      <w:pPr>
        <w:numPr>
          <w:ilvl w:val="0"/>
          <w:numId w:val="1002"/>
        </w:numPr>
      </w:pPr>
      <w:hyperlink r:id="rId18">
        <w:r>
          <w:rPr>
            <w:rStyle w:val="Hyperlink"/>
          </w:rPr>
          <w:t xml:space="preserve">メトリクス・ピラミッド・ツール</w:t>
        </w:r>
      </w:hyperlink>
      <w:r>
        <w:rPr>
          <w:rFonts w:hint="eastAsia"/>
        </w:rPr>
        <w:t xml:space="preserve">を用いて、さまざまな成果指標を特定し、優先順位を付けよ。指標を保持する楕円をクリックして、それが最大化すべき指標(緑)、最小化すべき指標(赤)、下限としての目標(薄緑)、上限としての目標(薄赤)、あるいは目標値(紫)のいずれであるかを識別せよ。</w:t>
      </w:r>
    </w:p>
    <w:p>
      <w:pPr>
        <w:numPr>
          <w:ilvl w:val="0"/>
          <w:numId w:val="1002"/>
        </w:numPr>
      </w:pPr>
      <w:hyperlink r:id="rId19">
        <w:r>
          <w:rPr>
            <w:rStyle w:val="Hyperlink"/>
            <w:rFonts w:hint="eastAsia"/>
          </w:rPr>
          <w:t xml:space="preserve">決定優先順位付けツール</w:t>
        </w:r>
      </w:hyperlink>
      <w:r>
        <w:rPr>
          <w:rFonts w:hint="eastAsia"/>
        </w:rPr>
        <w:t xml:space="preserve">を用いて、まずさまざまな種類の決定を列挙せよ(</w:t>
      </w:r>
      <w:hyperlink r:id="rId20">
        <w:r>
          <w:rPr>
            <w:rStyle w:val="Hyperlink"/>
            <w:rFonts w:hint="eastAsia"/>
          </w:rPr>
          <w:t xml:space="preserve">決定の種類</w:t>
        </w:r>
      </w:hyperlink>
      <w:r>
        <w:rPr>
          <w:rFonts w:hint="eastAsia"/>
        </w:rPr>
        <w:t xml:space="preserve">を手引きとして用いること)。これらは、右側の行列の行を構成し、その列は上記のピラミッドにおける優先順位に従って左から右へ並べられた成果指標となる。各セルをクリックして、その決定が各指標に与える影響が高い(赤)、中程度(オレンジ)、低い(黄)、なし(白)のいずれであるかを示せ。</w:t>
      </w:r>
    </w:p>
    <w:p>
      <w:pPr>
        <w:numPr>
          <w:ilvl w:val="0"/>
          <w:numId w:val="1002"/>
        </w:numPr>
      </w:pPr>
      <w:r>
        <w:rPr>
          <w:rFonts w:hint="eastAsia"/>
        </w:rPr>
        <w:t xml:space="preserve">各行の左端にあるハンドル(3本の横棒)をつかんで、上下に移動させることができる。最も重要な指標に最も大きな影響を与える決定が上位に来るように行を並べ替えよ。左上隅のセルには、赤とオレンジのセルが最も密集しているべきである。この時点で、あなたの検討において最も注意を払うべき決定を特定せよ。最も重要な指標に対して中程度または高い影響を持つ決定が一つもない場合は、決定の一覧を見直せ。</w:t>
      </w:r>
    </w:p>
    <w:p>
      <w:pPr>
        <w:numPr>
          <w:ilvl w:val="0"/>
          <w:numId w:val="1002"/>
        </w:numPr>
      </w:pPr>
      <w:hyperlink r:id="rId21">
        <w:r>
          <w:rPr>
            <w:rStyle w:val="Hyperlink"/>
            <w:rFonts w:hint="eastAsia"/>
          </w:rPr>
          <w:t xml:space="preserve">不確実性優先順位付けツール</w:t>
        </w:r>
      </w:hyperlink>
      <w:r>
        <w:rPr>
          <w:rFonts w:hint="eastAsia"/>
        </w:rPr>
        <w:t xml:space="preserve">を用いて、不確実性についても同様のプロセスを繰り返し、列挙と優先順位付けを行え。これらを特定する際には、</w:t>
      </w:r>
      <w:hyperlink r:id="rId22">
        <w:r>
          <w:rPr>
            <w:rStyle w:val="Hyperlink"/>
            <w:rFonts w:hint="eastAsia"/>
          </w:rPr>
          <w:t xml:space="preserve">不確実性のカテゴリー</w:t>
        </w:r>
      </w:hyperlink>
      <w:r>
        <w:rPr>
          <w:rFonts w:hint="eastAsia"/>
        </w:rPr>
        <w:t xml:space="preserve">を活用せよ。</w:t>
      </w:r>
    </w:p>
    <w:p>
      <w:pPr>
        <w:numPr>
          <w:ilvl w:val="0"/>
          <w:numId w:val="1002"/>
        </w:numPr>
      </w:pPr>
      <w:r>
        <w:rPr>
          <w:rFonts w:hint="eastAsia"/>
        </w:rPr>
        <w:t xml:space="preserve">平均として評価できる不確実性と、リスクイベントとして評価すべき不確実性を区別することが重要である。</w:t>
      </w:r>
    </w:p>
    <w:p>
      <w:pPr>
        <w:numPr>
          <w:ilvl w:val="1"/>
          <w:numId w:val="1003"/>
        </w:numPr>
      </w:pPr>
      <w:r>
        <w:rPr>
          <w:rFonts w:hint="eastAsia"/>
        </w:rPr>
        <w:t xml:space="preserve">どの不確実性の源が、時間経過に伴う平均的なパフォーマンスを用いて捉えられるか。</w:t>
      </w:r>
    </w:p>
    <w:p>
      <w:pPr>
        <w:numPr>
          <w:ilvl w:val="1"/>
          <w:numId w:val="1003"/>
        </w:numPr>
      </w:pPr>
      <w:r>
        <w:rPr>
          <w:rFonts w:hint="eastAsia"/>
        </w:rPr>
        <w:t xml:space="preserve">どの不確実性の源が、平均では適切に捉えられないリスクの形態を表しているか。</w:t>
      </w:r>
    </w:p>
    <w:p>
      <w:pPr>
        <w:numPr>
          <w:ilvl w:val="0"/>
          <w:numId w:val="1002"/>
        </w:numPr>
      </w:pPr>
      <w:r>
        <w:rPr>
          <w:rFonts w:hint="eastAsia"/>
        </w:rPr>
        <w:t xml:space="preserve">最も重要な指標に対して最も高い影響を持つと思われる単一の決定を選べ。</w:t>
      </w:r>
    </w:p>
    <w:p>
      <w:pPr>
        <w:numPr>
          <w:ilvl w:val="1"/>
          <w:numId w:val="1004"/>
        </w:numPr>
      </w:pPr>
      <w:r>
        <w:rPr>
          <w:rFonts w:hint="eastAsia"/>
        </w:rPr>
        <w:t xml:space="preserve">この決定を行うために、どのようなアプローチを用いると考えられるか。</w:t>
      </w:r>
    </w:p>
    <w:p>
      <w:pPr>
        <w:numPr>
          <w:ilvl w:val="1"/>
          <w:numId w:val="1004"/>
        </w:numPr>
      </w:pPr>
      <w:r>
        <w:rPr>
          <w:rFonts w:hint="eastAsia"/>
        </w:rPr>
        <w:t xml:space="preserve">この決定を行うために必要と思われるデータは何か。当該決定が高い、あるいは中程度の影響を持つ成果指標の算出に必要なデータも含めること。</w:t>
      </w:r>
    </w:p>
    <w:p>
      <w:pPr>
        <w:numPr>
          <w:ilvl w:val="0"/>
          <w:numId w:val="1002"/>
        </w:numPr>
      </w:pPr>
      <w:r>
        <w:rPr>
          <w:rFonts w:hint="eastAsia"/>
        </w:rPr>
        <w:t xml:space="preserve">(7)で特定したのと同じ決定について、その実行のために協働する必要がある人々、部署、集団、あるいは組織を特定せよ。</w:t>
      </w:r>
    </w:p>
    <w:bookmarkEnd w:id="23"/>
    <w:bookmarkStart w:id="24" w:name="公的データおよび資金に関する注記"/>
    <w:p>
      <w:pPr>
        <w:pStyle w:val="Heading1"/>
      </w:pPr>
      <w:r>
        <w:rPr>
          <w:rFonts w:hint="eastAsia"/>
        </w:rPr>
        <w:t xml:space="preserve">公的データおよび資金に関する注記</w:t>
      </w:r>
    </w:p>
    <w:p>
      <w:pPr>
        <w:pStyle w:val="FirstParagraph"/>
      </w:pPr>
      <w:r>
        <w:t xml:space="preserve">• CDC,</w:t>
      </w:r>
      <w:r>
        <w:t xml:space="preserve"> </w:t>
      </w:r>
      <w:r>
        <w:t xml:space="preserve">“Data Resources | Overdose Prevention”</w:t>
      </w:r>
      <w:r>
        <w:t xml:space="preserve"> </w:t>
      </w:r>
      <w:r>
        <w:t xml:space="preserve">― </w:t>
      </w:r>
      <w:r>
        <w:rPr>
          <w:rFonts w:hint="eastAsia"/>
        </w:rPr>
        <w:t xml:space="preserve">2025年12月までの12か月間における米国の薬物オーバードーズ死亡の暫定推計69,973人、前年比13.9%減(2026年5月発表)。</w:t>
      </w:r>
    </w:p>
    <w:p>
      <w:pPr>
        <w:pStyle w:val="BodyText"/>
      </w:pPr>
      <w:r>
        <w:t xml:space="preserve">• CDC/NCHS,</w:t>
      </w:r>
      <w:r>
        <w:t xml:space="preserve"> </w:t>
      </w:r>
      <w:r>
        <w:t xml:space="preserve">“Drug Overdose Deaths in the United States, 2023–2024”</w:t>
      </w:r>
      <w:r>
        <w:t xml:space="preserve"> </w:t>
      </w:r>
      <w:r>
        <w:t xml:space="preserve">― </w:t>
      </w:r>
      <w:r>
        <w:rPr>
          <w:rFonts w:hint="eastAsia"/>
        </w:rPr>
        <w:t xml:space="preserve">2024年のオピオイド関連死亡54,045人、うちメタドン以外の合成オピオイドが関与した死亡47,735人を報告。</w:t>
      </w:r>
    </w:p>
    <w:p>
      <w:pPr>
        <w:pStyle w:val="BodyText"/>
      </w:pPr>
      <w:r>
        <w:t xml:space="preserve">• SAMHSA, 2024 National Survey on Drug Use and Health ― </w:t>
      </w:r>
      <w:r>
        <w:rPr>
          <w:rFonts w:hint="eastAsia"/>
        </w:rPr>
        <w:t xml:space="preserve">12歳以上で過去1年間にオピオイド使用障害を有していた人が480万人、そのうちオピオイド使用障害治療薬を受けていたのは818,000人(17.0%)であったと報告。</w:t>
      </w:r>
    </w:p>
    <w:p>
      <w:pPr>
        <w:pStyle w:val="BodyText"/>
      </w:pPr>
      <w:r>
        <w:t xml:space="preserve">• SAMHSA, FY2024 State Opioid Response Grants </w:t>
      </w:r>
      <w:r>
        <w:rPr>
          <w:rFonts w:hint="eastAsia"/>
        </w:rPr>
        <w:t xml:space="preserve">(TI-24-008):全国で最大59件の助成に対し、利用可能な資金総額を14億8,050万ドルと見込み、継続は資金の利用可能性、成果、報告、コンプライアンスに依存するとした。</w:t>
      </w:r>
    </w:p>
    <w:p>
      <w:pPr>
        <w:pStyle w:val="BodyText"/>
      </w:pPr>
      <w:r>
        <w:t xml:space="preserve">• HHS, </w:t>
      </w:r>
      <w:r>
        <w:rPr>
          <w:rFonts w:hint="eastAsia"/>
        </w:rPr>
        <w:t xml:space="preserve">2025年9月22日発表、FY2025州・部族オピオイド対応継続助成として15億ドル超を発表。</w:t>
      </w:r>
    </w:p>
    <w:p>
      <w:pPr>
        <w:pStyle w:val="BodyText"/>
      </w:pPr>
      <w:r>
        <w:t xml:space="preserve">• U.S. GAO, GAO-25-106944,</w:t>
      </w:r>
      <w:r>
        <w:t xml:space="preserve"> </w:t>
      </w:r>
      <w:r>
        <w:t xml:space="preserve">“Opioid Use Disorder Grants”</w:t>
      </w:r>
      <w:r>
        <w:t xml:space="preserve"> </w:t>
      </w:r>
      <w:r>
        <w:t xml:space="preserve">― </w:t>
      </w:r>
      <w:r>
        <w:rPr>
          <w:rFonts w:hint="eastAsia"/>
        </w:rPr>
        <w:t xml:space="preserve">報告負担、資金供与および調達の遅延、短縮された実施期間、最終受益者に関する要件について記述。</w:t>
      </w:r>
    </w:p>
    <w:p>
      <w:pPr>
        <w:pStyle w:val="BodyText"/>
      </w:pPr>
      <w:r>
        <w:t xml:space="preserve">• CDC,</w:t>
      </w:r>
      <w:r>
        <w:t xml:space="preserve"> </w:t>
      </w:r>
      <w:r>
        <w:t xml:space="preserve">“Reverse Opioid Overdose to Prevent Death”</w:t>
      </w:r>
      <w:r>
        <w:t xml:space="preserve"> </w:t>
      </w:r>
      <w:r>
        <w:t xml:space="preserve">― </w:t>
      </w:r>
      <w:r>
        <w:rPr>
          <w:rFonts w:hint="eastAsia"/>
        </w:rPr>
        <w:t xml:space="preserve">ナロキソンは、時宜を得て投与されればオピオイドのオーバードーズを逆転させることができる医薬品であると記述。</w:t>
      </w:r>
    </w:p>
    <w:bookmarkEnd w:id="24"/>
    <w:bookmarkStart w:id="27" w:name="chatgptのコメント"/>
    <w:p>
      <w:pPr>
        <w:pStyle w:val="Heading1"/>
      </w:pPr>
      <w:r>
        <w:t xml:space="preserve">ChatGPTのコメント</w:t>
      </w:r>
    </w:p>
    <w:bookmarkStart w:id="25" w:name="プロンプト"/>
    <w:p>
      <w:pPr>
        <w:pStyle w:val="Heading2"/>
      </w:pPr>
      <w:r>
        <w:t xml:space="preserve">プロンプト</w:t>
      </w:r>
    </w:p>
    <w:p>
      <w:pPr>
        <w:pStyle w:val="FirstParagraph"/>
      </w:pPr>
      <w:r>
        <w:rPr>
          <w:rFonts w:hint="eastAsia"/>
        </w:rPr>
        <w:t xml:space="preserve">依存症問題に対応する州保健機関が直面する課題を描く、4~6ページのケーススタディを作成せよ。同機関はその運営を支えるための資金調達を必要としている。主なコストはスタッフであり、ナロキソンキットの配布、依存症の治療、そして人々の自立支援を担っている。同機関は、連邦・州機関や地元寄付者という資金の針の穴を通すという課題とともに、どの集団にサービスを提供できるかのバランスを取る必要がある。政府資金は不確実であり、特定のイニシアチブの実施を求める要件を伴う。要約には依存症に関する統計と政府資金の変化についての統計的裏付けを添えること。</w:t>
      </w:r>
    </w:p>
    <w:bookmarkEnd w:id="25"/>
    <w:bookmarkStart w:id="26" w:name="要約"/>
    <w:p>
      <w:pPr>
        <w:pStyle w:val="Heading2"/>
      </w:pPr>
      <w:r>
        <w:rPr>
          <w:rFonts w:hint="eastAsia"/>
        </w:rPr>
        <w:t xml:space="preserve">要約</w:t>
      </w:r>
    </w:p>
    <w:p>
      <w:pPr>
        <w:pStyle w:val="FirstParagraph"/>
      </w:pPr>
      <w:r>
        <w:rPr>
          <w:rFonts w:hint="eastAsia"/>
        </w:rPr>
        <w:t xml:space="preserve">このケースは、州職員を維持しつつ、ナロキソン配布、依存症治療、長期的リカバリー支援のバランスを取りながら、制限付きの連邦助成金、州の歳出予算、オピオイド和解金、メディケイド収入、民間寄付を組み合わせようとする、架空の州依存症対策機関を描いている。</w:t>
      </w:r>
    </w:p>
    <w:p>
      <w:pPr>
        <w:pStyle w:val="BodyText"/>
      </w:pPr>
      <w:r>
        <w:rPr>
          <w:rFonts w:hint="eastAsia"/>
        </w:rPr>
        <w:t xml:space="preserve">本ケースには以下が含まれる:</w:t>
      </w:r>
    </w:p>
    <w:p>
      <w:pPr>
        <w:numPr>
          <w:ilvl w:val="0"/>
          <w:numId w:val="1005"/>
        </w:numPr>
      </w:pPr>
      <w:r>
        <w:rPr>
          <w:rFonts w:hint="eastAsia"/>
        </w:rPr>
        <w:t xml:space="preserve">1億1,800万ドルの運営予算と506名の労働力</w:t>
      </w:r>
    </w:p>
    <w:p>
      <w:pPr>
        <w:numPr>
          <w:ilvl w:val="0"/>
          <w:numId w:val="1005"/>
        </w:numPr>
      </w:pPr>
      <w:r>
        <w:rPr>
          <w:rFonts w:hint="eastAsia"/>
        </w:rPr>
        <w:t xml:space="preserve">複数の資金シナリオと、1,860万ドルと見込まれる資金不足</w:t>
      </w:r>
    </w:p>
    <w:p>
      <w:pPr>
        <w:numPr>
          <w:ilvl w:val="0"/>
          <w:numId w:val="1005"/>
        </w:numPr>
      </w:pPr>
      <w:r>
        <w:rPr>
          <w:rFonts w:hint="eastAsia"/>
        </w:rPr>
        <w:t xml:space="preserve">農村コミュニティ、司法関与者、家族、住居あるいは就労支援を必要とする人々へのサービス提供をめぐる競合する提案</w:t>
      </w:r>
    </w:p>
    <w:p>
      <w:pPr>
        <w:numPr>
          <w:ilvl w:val="0"/>
          <w:numId w:val="1005"/>
        </w:numPr>
      </w:pPr>
      <w:r>
        <w:rPr>
          <w:rFonts w:hint="eastAsia"/>
        </w:rPr>
        <w:t xml:space="preserve">連邦助成金の制限、報告負担、資金供与タイミングの不確実性</w:t>
      </w:r>
    </w:p>
    <w:p>
      <w:pPr>
        <w:numPr>
          <w:ilvl w:val="0"/>
          <w:numId w:val="1005"/>
        </w:numPr>
      </w:pPr>
      <w:r>
        <w:rPr>
          <w:rFonts w:hint="eastAsia"/>
        </w:rPr>
        <w:t xml:space="preserve">定量的な図表と10の討議設問</w:t>
      </w:r>
    </w:p>
    <w:p>
      <w:pPr>
        <w:numPr>
          <w:ilvl w:val="0"/>
          <w:numId w:val="1005"/>
        </w:numPr>
      </w:pPr>
      <w:r>
        <w:rPr>
          <w:rFonts w:hint="eastAsia"/>
        </w:rPr>
        <w:t xml:space="preserve">明確に望ましいとされる単一の解決策の不在</w:t>
      </w:r>
    </w:p>
    <w:p>
      <w:pPr>
        <w:pStyle w:val="FirstParagraph"/>
      </w:pPr>
      <w:r>
        <w:rPr>
          <w:rFonts w:hint="eastAsia"/>
        </w:rPr>
        <w:t xml:space="preserve">公衆衛生に関する文脈は、現行のCDCおよびSAMHSAの統計を用いており、2025年における米国のオーバードーズ死亡数のおよそ69,973人という暫定推計や、オピオイド使用障害を有すると推定される480万人のうち、2024年に薬物治療を受けていたのはわずか17%であったという知見を含んでいる。連邦資金に関する情報は、14億8,050万ドル規模のFY2024州オピオイド対応助成金の発表、15億ドル超のFY2025継続助成、そしてGAOによる助成金の遅延と報告負担に関する知見を基にしている。</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warrenpowell.org/decision-framing-tool/#decision-prioritization-tool" TargetMode="External" /><Relationship Type="http://schemas.openxmlformats.org/officeDocument/2006/relationships/hyperlink" Id="rId18" Target="https://warrenpowell.org/decision-framing-tool/#metrics-pyramid-tool" TargetMode="External" /><Relationship Type="http://schemas.openxmlformats.org/officeDocument/2006/relationships/hyperlink" Id="rId21" Target="https://warrenpowell.org/decision-framing-tool/#uncertainty-prioritization-tool" TargetMode="External" /><Relationship Type="http://schemas.openxmlformats.org/officeDocument/2006/relationships/hyperlink" Id="rId20" Target="https://warrenpowell.org/decisionsdecisions/#types-of-decision-settings" TargetMode="External" /><Relationship Type="http://schemas.openxmlformats.org/officeDocument/2006/relationships/hyperlink" Id="rId22"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9" Target="https://warrenpowell.org/decision-framing-tool/#decision-prioritization-tool" TargetMode="External" /><Relationship Type="http://schemas.openxmlformats.org/officeDocument/2006/relationships/hyperlink" Id="rId18" Target="https://warrenpowell.org/decision-framing-tool/#metrics-pyramid-tool" TargetMode="External" /><Relationship Type="http://schemas.openxmlformats.org/officeDocument/2006/relationships/hyperlink" Id="rId21" Target="https://warrenpowell.org/decision-framing-tool/#uncertainty-prioritization-tool" TargetMode="External" /><Relationship Type="http://schemas.openxmlformats.org/officeDocument/2006/relationships/hyperlink" Id="rId20" Target="https://warrenpowell.org/decisionsdecisions/#types-of-decision-settings" TargetMode="External" /><Relationship Type="http://schemas.openxmlformats.org/officeDocument/2006/relationships/hyperlink" Id="rId22"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2026-09-11T17:57:01Z</dcterms:created>
  <dcterms:modified xsi:type="dcterms:W3CDTF">2026-09-11T17:57:01Z</dcterms:modified>
</cp:coreProperties>
</file>

<file path=docProps/custom.xml><?xml version="1.0" encoding="utf-8"?>
<Properties xmlns="http://schemas.openxmlformats.org/officeDocument/2006/custom-properties" xmlns:vt="http://schemas.openxmlformats.org/officeDocument/2006/docPropsVTypes"/>
</file>