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リッジウェイ・インダストリアル・システムズ</w:t>
      </w:r>
    </w:p>
    <w:p>
      <w:pPr>
        <w:pStyle w:val="BodyText"/>
      </w:pPr>
      <w:r>
        <w:rPr>
          <w:rFonts w:hint="eastAsia"/>
        </w:rPr>
        <w:t xml:space="preserve">エネルギーの岐路</w:t>
      </w:r>
    </w:p>
    <w:p>
      <w:pPr>
        <w:pStyle w:val="BodyText"/>
      </w:pPr>
      <w:r>
        <w:rPr>
          <w:rFonts w:hint="eastAsia"/>
        </w:rPr>
        <w:t xml:space="preserve">電気料金上昇下における製造ネットワークの決定</w:t>
      </w:r>
    </w:p>
    <w:p>
      <w:pPr>
        <w:pStyle w:val="BodyText"/>
      </w:pPr>
      <w:r>
        <w:rPr>
          <w:rFonts w:hint="eastAsia"/>
        </w:rPr>
        <w:t xml:space="preserve">2月の寒い月曜日の朝6時20分、リッジウェイ・インダストリアル・システムズの最高執行責任者(COO)であるエレナ・マルケスは、同社の電力会社からのメールを開いた。電力会社は、リッジウェイの給電接続に関する技術調査の実施許可を求めていた。同地域はいくつかの大規模データセンターの申請を受けており、電力会社は変電所、送電設備、発電容量への大規模な新規投資を見込んでいた。書簡には、これらのコストの一部が最終的に産業用料金に反映される可能性があると警告されていた。</w:t>
      </w:r>
    </w:p>
    <w:p>
      <w:pPr>
        <w:pStyle w:val="BodyText"/>
      </w:pPr>
      <w:r>
        <w:rPr>
          <w:rFonts w:hint="eastAsia"/>
        </w:rPr>
        <w:t xml:space="preserve">このメッセージはリッジウェイの取締役会戦略会議の3日前に届いた。ハミルトン郡にある同社の主力工場では、4年間で年間電気料金が860万ドルから1,390万ドルに上昇していた。財務チームの試算では、電力会社の予備的な料金設定が承認されれば、2030年までに料金が1,900万ドルを超える可能性があった。かつて電力は製造コストの3%未満を占めるに過ぎなかったが、現在は6%に迫りつつあり、最大のリスクはエネルギー集約型の2つの製品ラインに集中していた。</w:t>
      </w:r>
    </w:p>
    <w:p>
      <w:pPr>
        <w:pStyle w:val="BodyText"/>
      </w:pPr>
      <w:r>
        <w:rPr>
          <w:rFonts w:hint="eastAsia"/>
        </w:rPr>
        <w:t xml:space="preserve">リッジウェイは、化学・食品加工・水処理の顧客向けに、精密ポンプ、産業用熱交換器、耐腐食性アセンブリを製造していた。ハミルトン工場は1,180人を雇用し、会社収益の約58%を供給しており、専門的な機械加工、溶接、熱処理、コーティング、試験の各工程を有していた。一部の設備は移設可能であったが、他のシステムは建屋に組み込まれ、基礎、環境許認可、顧客認定と結びついていた。</w:t>
      </w:r>
    </w:p>
    <w:p>
      <w:pPr>
        <w:pStyle w:val="BodyText"/>
      </w:pPr>
      <w:r>
        <w:rPr>
          <w:rFonts w:hint="eastAsia"/>
        </w:rPr>
        <w:t xml:space="preserve">マルケスは調査計画と初期の戦略的方向性を提案するよう求められていた。表面的な選択肢は明確だった。すなわち、現状にとどまり料金上昇を吸収または管理する、太陽光パネルと蓄電池を設置する、選択したプロセスを電気から天然ガスへ転換する、あるいは事業の大部分を別の地域へ移転する、というものだった。しかし、いずれの選択肢も不確実な予測、困難な工学的前提、そして電力会社、規制当局、顧客、従業員による決定に左右されるものであった。</w:t>
      </w:r>
    </w:p>
    <w:bookmarkStart w:id="9" w:name="取締役会が直面する決定"/>
    <w:p>
      <w:pPr>
        <w:pStyle w:val="Heading2"/>
      </w:pPr>
      <w:r>
        <w:rPr>
          <w:rFonts w:hint="eastAsia"/>
        </w:rPr>
        <w:t xml:space="preserve">取締役会が直面する決定</w:t>
      </w:r>
    </w:p>
    <w:p>
      <w:pPr>
        <w:pStyle w:val="FirstParagraph"/>
      </w:pPr>
      <w:r>
        <w:rPr>
          <w:rFonts w:hint="eastAsia"/>
        </w:rPr>
        <w:t xml:space="preserve">取締役会は新工場を直ちに承認するよう求められているわけではなかった。求められていたのは、リッジウェイがどの程度積極的に各選択肢を調査すべきか、どのプロジェクトをパイロットや詳細エンジニアリングへ進めるべきか、そして競合他社に先んじて他地域での用地や電力会社の容量を確保し始めるべきかどうかを決定することだった。この区別は重要であった。慎重な調査は資金を温存できる一方で、魅力的な用地、系統連系上の地位、あるいは優遇措置を失う恐れがあった。積極的なプログラムは、現在の料金上昇が一時的なものか、構造的なものか、あるいは一部自社に起因するものかを経営陣が理解する前に、数百万ドルを消費しかねなかった。</w:t>
      </w:r>
    </w:p>
    <w:bookmarkEnd w:id="9"/>
    <w:bookmarkStart w:id="12" w:name="逼迫する地域電力市場"/>
    <w:p>
      <w:pPr>
        <w:pStyle w:val="Heading1"/>
      </w:pPr>
      <w:r>
        <w:rPr>
          <w:rFonts w:hint="eastAsia"/>
        </w:rPr>
        <w:t xml:space="preserve">逼迫する地域電力市場</w:t>
      </w:r>
    </w:p>
    <w:p>
      <w:pPr>
        <w:pStyle w:val="FirstParagraph"/>
      </w:pPr>
      <w:r>
        <w:rPr>
          <w:rFonts w:hint="eastAsia"/>
        </w:rPr>
        <w:t xml:space="preserve">ハミルトン郡は20年にわたり先進製造業の誘致に努めてきた。より近年では、安価な土地、光ファイバー接続、高速道路へのアクセス、利用可能な送電回廊という同じ組み合わせが、データセンター開発業者を惹きつけていた。3つのプロジェクトが建設中であり、さらに5つのプロジェクトが電力会社にサービスを申請していた。地元当局は税収基盤を歓迎したが、産業用顧客は系統拡張コストがどのように配分されるのかを問うていた。</w:t>
      </w:r>
    </w:p>
    <w:p>
      <w:pPr>
        <w:pStyle w:val="BodyText"/>
      </w:pPr>
      <w:r>
        <w:rPr>
          <w:rFonts w:hint="eastAsia"/>
        </w:rPr>
        <w:t xml:space="preserve">全国的な傾向は顕著であった。バークレー国立研究所の推計によれば、米国のデータセンターは2023年に約176テラワット時の電力を使用し、これは米国全体の電力消費量の約4.4%に相当し、2014年の58テラワット時から増加していた。2024年の報告書では、データセンターが2028年までに米国電力の6.7%から12%を消費する可能性があると推計された。その後の更新版では、2030年までの中心推計値を11.8%とし、9.5%から15.3%の範囲を示していた。¹</w:t>
      </w:r>
      <w:r>
        <w:t xml:space="preserve"> </w:t>
      </w:r>
      <w:r>
        <w:rPr>
          <w:rFonts w:hint="eastAsia"/>
        </w:rPr>
        <w:t xml:space="preserve">これらの予測は、すべての製造業者が同じコスト上昇に直面することを意味するものではなかったが、電力需要が異なる成長局面に入りつつあるというリッジウェイの懸念を裏付けるものだった。</w:t>
      </w:r>
    </w:p>
    <w:p>
      <w:pPr>
        <w:pStyle w:val="BodyText"/>
      </w:pPr>
      <w:r>
        <w:rPr>
          <w:rFonts w:hint="eastAsia"/>
        </w:rPr>
        <w:t xml:space="preserve">リッジウェイの電気料金請求書は、取締役会で議論される平均的なセント/キロワット時の数字よりも複雑であった。工場は消費エネルギー、月次のピーク需要、送電サービス、容量、力率ペナルティ、そしていくつかの付加料金(ライダー)に対して支払いを行っていた。新たな地域容量料金が急激に上昇していた。また、工場ではメンテナンス停止後に大型オーブン、コンプレッサー、試験台を同時に起動させたことで、異例に高いピーク需要を3回記録していた。</w:t>
      </w:r>
    </w:p>
    <w:bookmarkStart w:id="10" w:name="図-1.-ハミルトン工場の電力使用量とコスト"/>
    <w:p>
      <w:pPr>
        <w:pStyle w:val="Heading2"/>
      </w:pPr>
      <w:r>
        <w:rPr>
          <w:rFonts w:hint="eastAsia"/>
        </w:rPr>
        <w:t xml:space="preserve">図</w:t>
      </w:r>
      <w:r>
        <w:t xml:space="preserve"> 1. </w:t>
      </w:r>
      <w:r>
        <w:rPr>
          <w:rFonts w:hint="eastAsia"/>
        </w:rPr>
        <w:t xml:space="preserve">ハミルトン工場の電力使用量とコスト</w:t>
      </w:r>
    </w:p>
    <w:tbl>
      <w:tblPr>
        <w:tblStyle w:val="Table"/>
        <w:tblW w:type="pct" w:w="4924"/>
        <w:tblLayout w:type="fixed"/>
        <w:tblLook w:firstRow="1" w:lastRow="0" w:firstColumn="0" w:lastColumn="0" w:noHBand="0" w:noVBand="0" w:val="0020"/>
      </w:tblPr>
      <w:tblGrid>
        <w:gridCol w:w="967"/>
        <w:gridCol w:w="1148"/>
        <w:gridCol w:w="1450"/>
        <w:gridCol w:w="1148"/>
        <w:gridCol w:w="1874"/>
        <w:gridCol w:w="1209"/>
      </w:tblGrid>
      <w:tr>
        <w:trPr>
          <w:tblHeader w:val="on"/>
        </w:trPr>
        <w:tc>
          <w:tcPr/>
          <w:p>
            <w:pPr>
              <w:pStyle w:val="Compact"/>
            </w:pPr>
            <w:r>
              <w:rPr>
                <w:rFonts w:hint="eastAsia"/>
              </w:rPr>
              <w:t xml:space="preserve">会計年度</w:t>
            </w:r>
            <w:r>
              <w:t xml:space="preserve"> </w:t>
            </w:r>
            <w:r>
              <w:rPr>
                <w:rFonts w:hint="eastAsia"/>
              </w:rPr>
              <w:t xml:space="preserve">生産</w:t>
            </w:r>
          </w:p>
        </w:tc>
        <w:tc>
          <w:tcPr/>
          <w:p>
            <w:pPr>
              <w:pStyle w:val="Compact"/>
            </w:pPr>
            <w:r>
              <w:rPr>
                <w:rFonts w:hint="eastAsia"/>
              </w:rPr>
              <w:t xml:space="preserve">指数</w:t>
            </w:r>
            <w:r>
              <w:t xml:space="preserve"> </w:t>
            </w:r>
            <w:r>
              <w:rPr>
                <w:rFonts w:hint="eastAsia"/>
              </w:rPr>
              <w:t xml:space="preserve">電力使用量(G</w:t>
            </w:r>
          </w:p>
        </w:tc>
        <w:tc>
          <w:tcPr/>
          <w:p>
            <w:pPr>
              <w:pStyle w:val="Compact"/>
            </w:pPr>
            <w:r>
              <w:t xml:space="preserve">Wh) </w:t>
            </w:r>
            <w:r>
              <w:rPr>
                <w:rFonts w:hint="eastAsia"/>
              </w:rPr>
              <w:t xml:space="preserve">ピーク需要(MW)</w:t>
            </w:r>
            <w:r>
              <w:t xml:space="preserve"> </w:t>
            </w:r>
            <w:r>
              <w:rPr>
                <w:rFonts w:hint="eastAsia"/>
              </w:rPr>
              <w:t xml:space="preserve">全</w:t>
            </w:r>
          </w:p>
        </w:tc>
        <w:tc>
          <w:tcPr/>
          <w:p>
            <w:pPr>
              <w:pStyle w:val="Compact"/>
            </w:pPr>
            <w:r>
              <w:rPr>
                <w:rFonts w:hint="eastAsia"/>
              </w:rPr>
              <w:t xml:space="preserve">込み平均コスト($/M</w:t>
            </w:r>
          </w:p>
        </w:tc>
        <w:tc>
          <w:tcPr/>
          <w:p>
            <w:pPr>
              <w:pStyle w:val="Compact"/>
              <w:jc w:val="left"/>
            </w:pPr>
            <w:r>
              <w:t xml:space="preserve">Wh) </w:t>
            </w:r>
            <w:r>
              <w:rPr>
                <w:rFonts w:hint="eastAsia"/>
              </w:rPr>
              <w:t xml:space="preserve">年間請求額($M)</w:t>
            </w:r>
          </w:p>
        </w:tc>
        <w:tc>
          <w:tcPr/>
          <w:p>
            <w:pPr>
              <w:pStyle w:val="Compact"/>
            </w:pPr>
          </w:p>
        </w:tc>
      </w:tr>
      <w:tr>
        <w:tc>
          <w:tcPr/>
          <w:p>
            <w:pPr>
              <w:pStyle w:val="Compact"/>
            </w:pPr>
            <w:r>
              <w:t xml:space="preserve">2022</w:t>
            </w:r>
          </w:p>
        </w:tc>
        <w:tc>
          <w:tcPr/>
          <w:p>
            <w:pPr>
              <w:pStyle w:val="Compact"/>
            </w:pPr>
            <w:r>
              <w:t xml:space="preserve">100</w:t>
            </w:r>
          </w:p>
        </w:tc>
        <w:tc>
          <w:tcPr/>
          <w:p>
            <w:pPr>
              <w:pStyle w:val="Compact"/>
            </w:pPr>
            <w:r>
              <w:t xml:space="preserve">112</w:t>
            </w:r>
          </w:p>
        </w:tc>
        <w:tc>
          <w:tcPr/>
          <w:p>
            <w:pPr>
              <w:pStyle w:val="Compact"/>
            </w:pPr>
            <w:r>
              <w:t xml:space="preserve">19.8</w:t>
            </w:r>
          </w:p>
        </w:tc>
        <w:tc>
          <w:tcPr/>
          <w:p>
            <w:pPr>
              <w:pStyle w:val="Compact"/>
              <w:jc w:val="left"/>
            </w:pPr>
            <w:r>
              <w:t xml:space="preserve">$77</w:t>
            </w:r>
          </w:p>
        </w:tc>
        <w:tc>
          <w:tcPr/>
          <w:p>
            <w:pPr>
              <w:pStyle w:val="Compact"/>
            </w:pPr>
            <w:r>
              <w:t xml:space="preserve">$8.6</w:t>
            </w:r>
          </w:p>
        </w:tc>
      </w:tr>
      <w:tr>
        <w:tc>
          <w:tcPr/>
          <w:p>
            <w:pPr>
              <w:pStyle w:val="Compact"/>
            </w:pPr>
            <w:r>
              <w:t xml:space="preserve">2023</w:t>
            </w:r>
          </w:p>
        </w:tc>
        <w:tc>
          <w:tcPr/>
          <w:p>
            <w:pPr>
              <w:pStyle w:val="Compact"/>
            </w:pPr>
            <w:r>
              <w:t xml:space="preserve">104</w:t>
            </w:r>
          </w:p>
        </w:tc>
        <w:tc>
          <w:tcPr/>
          <w:p>
            <w:pPr>
              <w:pStyle w:val="Compact"/>
            </w:pPr>
            <w:r>
              <w:t xml:space="preserve">116</w:t>
            </w:r>
          </w:p>
        </w:tc>
        <w:tc>
          <w:tcPr/>
          <w:p>
            <w:pPr>
              <w:pStyle w:val="Compact"/>
            </w:pPr>
            <w:r>
              <w:t xml:space="preserve">20.5</w:t>
            </w:r>
          </w:p>
        </w:tc>
        <w:tc>
          <w:tcPr/>
          <w:p>
            <w:pPr>
              <w:pStyle w:val="Compact"/>
              <w:jc w:val="left"/>
            </w:pPr>
            <w:r>
              <w:t xml:space="preserve">$83</w:t>
            </w:r>
          </w:p>
        </w:tc>
        <w:tc>
          <w:tcPr/>
          <w:p>
            <w:pPr>
              <w:pStyle w:val="Compact"/>
            </w:pPr>
            <w:r>
              <w:t xml:space="preserve">$9.6</w:t>
            </w:r>
          </w:p>
        </w:tc>
      </w:tr>
      <w:tr>
        <w:tc>
          <w:tcPr/>
          <w:p>
            <w:pPr>
              <w:pStyle w:val="Compact"/>
            </w:pPr>
            <w:r>
              <w:t xml:space="preserve">2024</w:t>
            </w:r>
          </w:p>
        </w:tc>
        <w:tc>
          <w:tcPr/>
          <w:p>
            <w:pPr>
              <w:pStyle w:val="Compact"/>
            </w:pPr>
            <w:r>
              <w:t xml:space="preserve">107</w:t>
            </w:r>
          </w:p>
        </w:tc>
        <w:tc>
          <w:tcPr/>
          <w:p>
            <w:pPr>
              <w:pStyle w:val="Compact"/>
            </w:pPr>
            <w:r>
              <w:t xml:space="preserve">119</w:t>
            </w:r>
          </w:p>
        </w:tc>
        <w:tc>
          <w:tcPr/>
          <w:p>
            <w:pPr>
              <w:pStyle w:val="Compact"/>
            </w:pPr>
            <w:r>
              <w:t xml:space="preserve">21.4</w:t>
            </w:r>
          </w:p>
        </w:tc>
        <w:tc>
          <w:tcPr/>
          <w:p>
            <w:pPr>
              <w:pStyle w:val="Compact"/>
              <w:jc w:val="left"/>
            </w:pPr>
            <w:r>
              <w:t xml:space="preserve">$92</w:t>
            </w:r>
          </w:p>
        </w:tc>
        <w:tc>
          <w:tcPr/>
          <w:p>
            <w:pPr>
              <w:pStyle w:val="Compact"/>
            </w:pPr>
            <w:r>
              <w:t xml:space="preserve">$10.9</w:t>
            </w:r>
          </w:p>
        </w:tc>
      </w:tr>
      <w:tr>
        <w:tc>
          <w:tcPr/>
          <w:p>
            <w:pPr>
              <w:pStyle w:val="Compact"/>
            </w:pPr>
            <w:r>
              <w:t xml:space="preserve">2025</w:t>
            </w:r>
          </w:p>
        </w:tc>
        <w:tc>
          <w:tcPr/>
          <w:p>
            <w:pPr>
              <w:pStyle w:val="Compact"/>
            </w:pPr>
            <w:r>
              <w:t xml:space="preserve">105</w:t>
            </w:r>
          </w:p>
        </w:tc>
        <w:tc>
          <w:tcPr/>
          <w:p>
            <w:pPr>
              <w:pStyle w:val="Compact"/>
            </w:pPr>
            <w:r>
              <w:t xml:space="preserve">117</w:t>
            </w:r>
          </w:p>
        </w:tc>
        <w:tc>
          <w:tcPr/>
          <w:p>
            <w:pPr>
              <w:pStyle w:val="Compact"/>
            </w:pPr>
            <w:r>
              <w:t xml:space="preserve">22.8</w:t>
            </w:r>
          </w:p>
        </w:tc>
        <w:tc>
          <w:tcPr/>
          <w:p>
            <w:pPr>
              <w:pStyle w:val="Compact"/>
              <w:jc w:val="left"/>
            </w:pPr>
            <w:r>
              <w:t xml:space="preserve">$104</w:t>
            </w:r>
          </w:p>
        </w:tc>
        <w:tc>
          <w:tcPr/>
          <w:p>
            <w:pPr>
              <w:pStyle w:val="Compact"/>
            </w:pPr>
            <w:r>
              <w:t xml:space="preserve">$12.2</w:t>
            </w:r>
          </w:p>
        </w:tc>
      </w:tr>
      <w:tr>
        <w:tc>
          <w:tcPr/>
          <w:p>
            <w:pPr>
              <w:pStyle w:val="Compact"/>
            </w:pPr>
            <w:r>
              <w:rPr>
                <w:rFonts w:hint="eastAsia"/>
              </w:rPr>
              <w:t xml:space="preserve">2026年予測</w:t>
            </w:r>
            <w:r>
              <w:t xml:space="preserve"> 109</w:t>
            </w:r>
          </w:p>
        </w:tc>
        <w:tc>
          <w:tcPr/>
          <w:p>
            <w:pPr>
              <w:pStyle w:val="Compact"/>
            </w:pPr>
            <w:r>
              <w:t xml:space="preserve">120</w:t>
            </w:r>
          </w:p>
        </w:tc>
        <w:tc>
          <w:tcPr/>
          <w:p>
            <w:pPr>
              <w:pStyle w:val="Compact"/>
            </w:pPr>
            <w:r>
              <w:t xml:space="preserve">23.</w:t>
            </w:r>
          </w:p>
        </w:tc>
        <w:tc>
          <w:tcPr/>
          <w:p>
            <w:pPr>
              <w:pStyle w:val="Compact"/>
            </w:pPr>
            <w:r>
              <w:t xml:space="preserve">2 $1</w:t>
            </w:r>
          </w:p>
        </w:tc>
        <w:tc>
          <w:tcPr/>
          <w:p>
            <w:pPr>
              <w:pStyle w:val="Compact"/>
              <w:jc w:val="left"/>
            </w:pPr>
            <w:r>
              <w:t xml:space="preserve">16 $1</w:t>
            </w:r>
          </w:p>
        </w:tc>
        <w:tc>
          <w:tcPr/>
          <w:p>
            <w:pPr>
              <w:pStyle w:val="Compact"/>
            </w:pPr>
            <w:r>
              <w:t xml:space="preserve">3.9</w:t>
            </w:r>
          </w:p>
        </w:tc>
      </w:tr>
    </w:tbl>
    <w:p>
      <w:pPr>
        <w:pStyle w:val="BodyText"/>
      </w:pPr>
      <w:r>
        <w:rPr>
          <w:rFonts w:hint="eastAsia"/>
        </w:rPr>
        <w:t xml:space="preserve">工場のエネルギーマネージャーであるプリヤ・シャーは、同社が外部の料金問題と自社の負荷管理問題をまだ切り分けていないと主張した。彼女の試算では、起動シーケンスの改善、圧縮空気漏れの修理、オーブンスケジュールの見直し、遊休設備の自動停止により、年間電気料金を140万ドルから210万ドル削減できる可能性があった。運用管理者たちは懐疑的だった。彼らは、積極的なピーク管理が仕掛品在庫、残業、あるいは納期遅延を増加させることを懸念していた。</w:t>
      </w:r>
    </w:p>
    <w:bookmarkEnd w:id="10"/>
    <w:bookmarkStart w:id="11" w:name="製造プロセス"/>
    <w:p>
      <w:pPr>
        <w:pStyle w:val="Heading2"/>
      </w:pPr>
      <w:r>
        <w:rPr>
          <w:rFonts w:hint="eastAsia"/>
        </w:rPr>
        <w:t xml:space="preserve">製造プロセス</w:t>
      </w:r>
    </w:p>
    <w:p>
      <w:pPr>
        <w:pStyle w:val="FirstParagraph"/>
      </w:pPr>
      <w:r>
        <w:rPr>
          <w:rFonts w:hint="eastAsia"/>
        </w:rPr>
        <w:t xml:space="preserve">ハミルトン工場の操業は単一の連続プロセスではなかった。機械加工とポンプ加工は電力集約的だが比較的柔軟性があった。熱処理と硬化には制御された温度プロファイルが必要だった。コーティングラインには厳格な換気要件があった。油圧試験センターは大きいが断続的な負荷を生じさせていた。生産計画担当者は、電力価格ではなく、顧客の納期、機械の稼働可能性、労働者の技能、品質保留に基づいてスケジュールを組んでいた。</w:t>
      </w:r>
    </w:p>
    <w:p>
      <w:pPr>
        <w:pStyle w:val="BodyText"/>
      </w:pPr>
      <w:r>
        <w:rPr>
          <w:rFonts w:hint="eastAsia"/>
        </w:rPr>
        <w:t xml:space="preserve">そのため、経営陣はシステム全体の問題に直面していた。電気料金の削減は、他の場所でコストを生み出す可能性があった。リードタイムの延長、追加の段取り替え、より大きなバッチサイズ、より多くの在庫、対応力の低下、設備稼働率の低下などである。逆に、エネルギー上の理由で行われた変更が、保守規律や生産計画の改善にもつながる可能性もあった。</w:t>
      </w:r>
    </w:p>
    <w:bookmarkEnd w:id="11"/>
    <w:bookmarkEnd w:id="12"/>
    <w:bookmarkStart w:id="17" w:name="つの戦略的な道筋"/>
    <w:p>
      <w:pPr>
        <w:pStyle w:val="Heading1"/>
      </w:pPr>
      <w:r>
        <w:rPr>
          <w:rFonts w:hint="eastAsia"/>
        </w:rPr>
        <w:t xml:space="preserve">4つの戦略的な道筋</w:t>
      </w:r>
    </w:p>
    <w:bookmarkStart w:id="13" w:name="改善して残留する"/>
    <w:p>
      <w:pPr>
        <w:pStyle w:val="Heading2"/>
      </w:pPr>
      <w:r>
        <w:t xml:space="preserve">1. </w:t>
      </w:r>
      <w:r>
        <w:rPr>
          <w:rFonts w:hint="eastAsia"/>
        </w:rPr>
        <w:t xml:space="preserve">改善して残留する</w:t>
      </w:r>
    </w:p>
    <w:p>
      <w:pPr>
        <w:pStyle w:val="FirstParagraph"/>
      </w:pPr>
      <w:r>
        <w:rPr>
          <w:rFonts w:hint="eastAsia"/>
        </w:rPr>
        <w:t xml:space="preserve">最も混乱の少ない道筋は、ハミルトン工場を維持し、まず効率化、スケジューリング、料金体系の再設計、エネルギー調達に焦点を当てることだった。電力会社は、年間費用を推定90万ドル削減できる可能性のある中断可能サービス料金体系を評価することを申し出ていたが、リッジウェイは限られた回数の系統緊急事態の際に短い通知で負荷を抑制しなければならなかった。ある電力マーケターは、同社の使用量の一部について10年間の固定価格契約を提案した。その固定価格は現在のフォワードカーブより高いものの、電力会社の高料金シナリオを下回るものだった。</w:t>
      </w:r>
    </w:p>
    <w:p>
      <w:pPr>
        <w:pStyle w:val="BodyText"/>
      </w:pPr>
      <w:r>
        <w:rPr>
          <w:rFonts w:hint="eastAsia"/>
        </w:rPr>
        <w:t xml:space="preserve">この道筋は近い将来における資本コミットメントが最も小さく、柔軟性を維持できた。一方で、リッジウェイは逼迫した地域系統への露出を維持することになり、また電力会社が新規インフラコストのかなりの部分を既存の産業用顧客に配分する可能性にもさらされ続けることになった。</w:t>
      </w:r>
    </w:p>
    <w:bookmarkEnd w:id="13"/>
    <w:bookmarkStart w:id="14" w:name="太陽光発電と蓄電池"/>
    <w:p>
      <w:pPr>
        <w:pStyle w:val="Heading2"/>
      </w:pPr>
      <w:r>
        <w:t xml:space="preserve">2. </w:t>
      </w:r>
      <w:r>
        <w:rPr>
          <w:rFonts w:hint="eastAsia"/>
        </w:rPr>
        <w:t xml:space="preserve">太陽光発電と蓄電池</w:t>
      </w:r>
    </w:p>
    <w:p>
      <w:pPr>
        <w:pStyle w:val="FirstParagraph"/>
      </w:pPr>
      <w:r>
        <w:rPr>
          <w:rFonts w:hint="eastAsia"/>
        </w:rPr>
        <w:t xml:space="preserve">ある開発業者は、工場の屋根、駐車場のキャノピー、隣接区画を利用した14メガワットの太陽光発電設備を提案した。初年度の予想発電量は19.5ギガワット時で、工場の年間消費量の約16%に相当した。生産のほとんどが平日に行われるため、開発業者は現地消費の水準が高くなると見込んでいた。このプロジェクトは工場の系統接続や夜間購入の大部分を排除するものではなかった。</w:t>
      </w:r>
    </w:p>
    <w:p>
      <w:pPr>
        <w:pStyle w:val="BodyText"/>
      </w:pPr>
      <w:r>
        <w:rPr>
          <w:rFonts w:hint="eastAsia"/>
        </w:rPr>
        <w:t xml:space="preserve">別の提案では、太陽光と10メガワット・40メガワット時の蓄電池を組み合わせていた。蓄電池は需要ピークを削減し、太陽光発電を夕方の操業へシフトさせ、短時間の停電時に選択された重要負荷を支援できる可能性があった。長時間の停電時に工場全体を稼働させることはできなかった。この経済性は、需要料金規則、電池劣化、ディスパッチ品質、税務処理、系統連系コスト、信頼性に割り当てられる価値に大きく左右された。</w:t>
      </w:r>
    </w:p>
    <w:bookmarkEnd w:id="14"/>
    <w:bookmarkStart w:id="15" w:name="図-2.-予備的な自家発電提案"/>
    <w:p>
      <w:pPr>
        <w:pStyle w:val="Heading2"/>
      </w:pPr>
      <w:r>
        <w:rPr>
          <w:rFonts w:hint="eastAsia"/>
        </w:rPr>
        <w:t xml:space="preserve">図</w:t>
      </w:r>
      <w:r>
        <w:t xml:space="preserve"> 2. </w:t>
      </w:r>
      <w:r>
        <w:rPr>
          <w:rFonts w:hint="eastAsia"/>
        </w:rPr>
        <w:t xml:space="preserve">予備的な自家発電提案</w:t>
      </w:r>
    </w:p>
    <w:tbl>
      <w:tblPr>
        <w:tblStyle w:val="Table"/>
        <w:tblW w:type="pct" w:w="4926"/>
        <w:tblLayout w:type="fixed"/>
        <w:tblLook w:firstRow="1" w:lastRow="0" w:firstColumn="0" w:lastColumn="0" w:noHBand="0" w:noVBand="0" w:val="0020"/>
      </w:tblPr>
      <w:tblGrid>
        <w:gridCol w:w="1514"/>
        <w:gridCol w:w="1048"/>
        <w:gridCol w:w="1572"/>
        <w:gridCol w:w="990"/>
        <w:gridCol w:w="2678"/>
      </w:tblGrid>
      <w:tr>
        <w:trPr>
          <w:tblHeader w:val="on"/>
        </w:trPr>
        <w:tc>
          <w:tcPr/>
          <w:p>
            <w:pPr>
              <w:pStyle w:val="Compact"/>
            </w:pPr>
            <w:r>
              <w:rPr>
                <w:rFonts w:hint="eastAsia"/>
              </w:rPr>
              <w:t xml:space="preserve">代替案</w:t>
            </w:r>
            <w:r>
              <w:t xml:space="preserve"> </w:t>
            </w:r>
            <w:r>
              <w:rPr>
                <w:rFonts w:hint="eastAsia"/>
              </w:rPr>
              <w:t xml:space="preserve">初期資</w:t>
            </w:r>
          </w:p>
        </w:tc>
        <w:tc>
          <w:tcPr/>
          <w:p>
            <w:pPr>
              <w:pStyle w:val="Compact"/>
            </w:pPr>
            <w:r>
              <w:rPr>
                <w:rFonts w:hint="eastAsia"/>
              </w:rPr>
              <w:t xml:space="preserve">本</w:t>
            </w:r>
            <w:r>
              <w:t xml:space="preserve"> </w:t>
            </w:r>
            <w:r>
              <w:rPr>
                <w:rFonts w:hint="eastAsia"/>
              </w:rPr>
              <w:t xml:space="preserve">推定年間削減額</w:t>
            </w:r>
          </w:p>
        </w:tc>
        <w:tc>
          <w:tcPr/>
          <w:p>
            <w:pPr>
              <w:pStyle w:val="Compact"/>
              <w:jc w:val="right"/>
            </w:pPr>
            <w:r>
              <w:rPr>
                <w:rFonts w:hint="eastAsia"/>
              </w:rPr>
              <w:t xml:space="preserve">単純回収</w:t>
            </w:r>
          </w:p>
        </w:tc>
        <w:tc>
          <w:tcPr/>
          <w:p>
            <w:pPr>
              <w:pStyle w:val="Compact"/>
            </w:pPr>
            <w:r>
              <w:rPr>
                <w:rFonts w:hint="eastAsia"/>
              </w:rPr>
              <w:t xml:space="preserve">期間</w:t>
            </w:r>
            <w:r>
              <w:t xml:space="preserve"> </w:t>
            </w:r>
            <w:r>
              <w:rPr>
                <w:rFonts w:hint="eastAsia"/>
              </w:rPr>
              <w:t xml:space="preserve">主な不確実</w:t>
            </w:r>
          </w:p>
        </w:tc>
        <w:tc>
          <w:tcPr/>
          <w:p>
            <w:pPr>
              <w:pStyle w:val="Compact"/>
              <w:jc w:val="left"/>
            </w:pPr>
            <w:r>
              <w:rPr>
                <w:rFonts w:hint="eastAsia"/>
              </w:rPr>
              <w:t xml:space="preserve">性</w:t>
            </w:r>
          </w:p>
        </w:tc>
      </w:tr>
      <w:tr>
        <w:tc>
          <w:tcPr/>
          <w:p>
            <w:pPr>
              <w:pStyle w:val="Compact"/>
            </w:pPr>
            <w:r>
              <w:rPr>
                <w:rFonts w:hint="eastAsia"/>
              </w:rPr>
              <w:t xml:space="preserve">効率化と制御</w:t>
            </w:r>
            <w:r>
              <w:t xml:space="preserve"> $6.5M</w:t>
            </w:r>
          </w:p>
        </w:tc>
        <w:tc>
          <w:tcPr/>
          <w:p>
            <w:pPr>
              <w:pStyle w:val="Compact"/>
            </w:pPr>
            <w:r>
              <w:t xml:space="preserve">$1.4M-$2.</w:t>
            </w:r>
          </w:p>
        </w:tc>
        <w:tc>
          <w:tcPr/>
          <w:p>
            <w:pPr>
              <w:pStyle w:val="Compact"/>
              <w:jc w:val="right"/>
            </w:pPr>
            <w:r>
              <w:t xml:space="preserve">1M </w:t>
            </w:r>
            <w:r>
              <w:rPr>
                <w:rFonts w:hint="eastAsia"/>
              </w:rPr>
              <w:t xml:space="preserve">3-5年</w:t>
            </w:r>
          </w:p>
        </w:tc>
        <w:tc>
          <w:tcPr/>
          <w:p>
            <w:pPr>
              <w:pStyle w:val="Compact"/>
            </w:pPr>
            <w:r>
              <w:rPr>
                <w:rFonts w:hint="eastAsia"/>
              </w:rPr>
              <w:t xml:space="preserve">操業上のコンプラ</w:t>
            </w:r>
          </w:p>
        </w:tc>
        <w:tc>
          <w:tcPr/>
          <w:p>
            <w:pPr>
              <w:pStyle w:val="Compact"/>
              <w:jc w:val="left"/>
            </w:pPr>
            <w:r>
              <w:rPr>
                <w:rFonts w:hint="eastAsia"/>
              </w:rPr>
              <w:t xml:space="preserve">イアンス、生産への影響</w:t>
            </w:r>
          </w:p>
        </w:tc>
      </w:tr>
      <w:tr>
        <w:tc>
          <w:tcPr/>
          <w:p>
            <w:pPr>
              <w:pStyle w:val="Compact"/>
            </w:pPr>
            <w:r>
              <w:rPr>
                <w:rFonts w:hint="eastAsia"/>
              </w:rPr>
              <w:t xml:space="preserve">太陽光のみ</w:t>
            </w:r>
          </w:p>
        </w:tc>
        <w:tc>
          <w:tcPr/>
          <w:p>
            <w:pPr>
              <w:pStyle w:val="Compact"/>
            </w:pPr>
            <w:r>
              <w:t xml:space="preserve">$31M</w:t>
            </w:r>
          </w:p>
        </w:tc>
        <w:tc>
          <w:tcPr/>
          <w:p>
            <w:pPr>
              <w:pStyle w:val="Compact"/>
              <w:jc w:val="right"/>
            </w:pPr>
            <w:r>
              <w:t xml:space="preserve">$3.0M-$4.4M</w:t>
            </w:r>
          </w:p>
        </w:tc>
        <w:tc>
          <w:tcPr/>
          <w:p>
            <w:pPr>
              <w:pStyle w:val="Compact"/>
            </w:pPr>
            <w:r>
              <w:rPr>
                <w:rFonts w:hint="eastAsia"/>
              </w:rPr>
              <w:t xml:space="preserve">7-10年</w:t>
            </w:r>
            <w:r>
              <w:t xml:space="preserve"> </w:t>
            </w:r>
            <w:r>
              <w:rPr>
                <w:rFonts w:hint="eastAsia"/>
              </w:rPr>
              <w:t xml:space="preserve">系統</w:t>
            </w:r>
          </w:p>
        </w:tc>
        <w:tc>
          <w:tcPr/>
          <w:p>
            <w:pPr>
              <w:pStyle w:val="Compact"/>
              <w:jc w:val="left"/>
            </w:pPr>
            <w:r>
              <w:rPr>
                <w:rFonts w:hint="eastAsia"/>
              </w:rPr>
              <w:t xml:space="preserve">連系、優遇措置、売電価値</w:t>
            </w:r>
          </w:p>
        </w:tc>
      </w:tr>
      <w:tr>
        <w:tc>
          <w:tcPr/>
          <w:p>
            <w:pPr>
              <w:pStyle w:val="Compact"/>
            </w:pPr>
            <w:r>
              <w:rPr>
                <w:rFonts w:hint="eastAsia"/>
              </w:rPr>
              <w:t xml:space="preserve">太陽光＋蓄電池</w:t>
            </w:r>
            <w:r>
              <w:t xml:space="preserve"> $48</w:t>
            </w:r>
          </w:p>
        </w:tc>
        <w:tc>
          <w:tcPr/>
          <w:p>
            <w:pPr>
              <w:pStyle w:val="Compact"/>
            </w:pPr>
            <w:r>
              <w:t xml:space="preserve">M $4.</w:t>
            </w:r>
          </w:p>
        </w:tc>
        <w:tc>
          <w:tcPr/>
          <w:p>
            <w:pPr>
              <w:pStyle w:val="Compact"/>
              <w:jc w:val="right"/>
            </w:pPr>
            <w:r>
              <w:t xml:space="preserve">6M-$7.0M 7-11</w:t>
            </w:r>
          </w:p>
        </w:tc>
        <w:tc>
          <w:tcPr/>
          <w:p>
            <w:pPr>
              <w:pStyle w:val="Compact"/>
            </w:pPr>
            <w:r>
              <w:rPr>
                <w:rFonts w:hint="eastAsia"/>
              </w:rPr>
              <w:t xml:space="preserve">年</w:t>
            </w:r>
            <w:r>
              <w:t xml:space="preserve"> </w:t>
            </w:r>
            <w:r>
              <w:rPr>
                <w:rFonts w:hint="eastAsia"/>
              </w:rPr>
              <w:t xml:space="preserve">需要料金</w:t>
            </w:r>
          </w:p>
        </w:tc>
        <w:tc>
          <w:tcPr/>
          <w:p>
            <w:pPr>
              <w:pStyle w:val="Compact"/>
              <w:jc w:val="left"/>
            </w:pPr>
            <w:r>
              <w:rPr>
                <w:rFonts w:hint="eastAsia"/>
              </w:rPr>
              <w:t xml:space="preserve">、劣化、ディスパッチ価値</w:t>
            </w:r>
          </w:p>
        </w:tc>
      </w:tr>
      <w:tr>
        <w:tc>
          <w:tcPr/>
          <w:p>
            <w:pPr>
              <w:pStyle w:val="Compact"/>
            </w:pPr>
            <w:r>
              <w:rPr>
                <w:rFonts w:hint="eastAsia"/>
              </w:rPr>
              <w:t xml:space="preserve">蓄電池のみ</w:t>
            </w:r>
          </w:p>
        </w:tc>
        <w:tc>
          <w:tcPr/>
          <w:p>
            <w:pPr>
              <w:pStyle w:val="Compact"/>
            </w:pPr>
            <w:r>
              <w:t xml:space="preserve">$18M</w:t>
            </w:r>
          </w:p>
        </w:tc>
        <w:tc>
          <w:tcPr/>
          <w:p>
            <w:pPr>
              <w:pStyle w:val="Compact"/>
              <w:jc w:val="right"/>
            </w:pPr>
            <w:r>
              <w:t xml:space="preserve">$1.8M-$3.6M</w:t>
            </w:r>
          </w:p>
        </w:tc>
        <w:tc>
          <w:tcPr/>
          <w:p>
            <w:pPr>
              <w:pStyle w:val="Compact"/>
            </w:pPr>
            <w:r>
              <w:rPr>
                <w:rFonts w:hint="eastAsia"/>
              </w:rPr>
              <w:t xml:space="preserve">5-10年</w:t>
            </w:r>
            <w:r>
              <w:t xml:space="preserve"> ピー</w:t>
            </w:r>
          </w:p>
        </w:tc>
        <w:tc>
          <w:tcPr/>
          <w:p>
            <w:pPr>
              <w:pStyle w:val="Compact"/>
              <w:jc w:val="left"/>
            </w:pPr>
            <w:r>
              <w:rPr>
                <w:rFonts w:hint="eastAsia"/>
              </w:rPr>
              <w:t xml:space="preserve">クの予測可能性、市場規則</w:t>
            </w:r>
          </w:p>
        </w:tc>
      </w:tr>
    </w:tbl>
    <w:p>
      <w:pPr>
        <w:pStyle w:val="BodyText"/>
      </w:pPr>
      <w:r>
        <w:rPr>
          <w:rFonts w:hint="eastAsia"/>
        </w:rPr>
        <w:t xml:space="preserve">最高財務責任者(CFO)のダニエル・ブルックスはこの比較に疑問を呈した。これらの削減額の推定値は、異なるベンダーが異なる電力予測、資金調達の前提、劣化率、回避コストの定義を用いて算出したものであった。一部のモデルでは、同じ蓄えられたエネルギーが常に両方の目的に同時に役立つわけではないにもかかわらず、蓄電池にピーク需要削減と緊急バックアップの両方の価値を計上していた。</w:t>
      </w:r>
    </w:p>
    <w:bookmarkEnd w:id="15"/>
    <w:bookmarkStart w:id="16" w:name="プロセス熱を天然ガスへ転換する"/>
    <w:p>
      <w:pPr>
        <w:pStyle w:val="Heading2"/>
      </w:pPr>
      <w:r>
        <w:t xml:space="preserve">3. </w:t>
      </w:r>
      <w:r>
        <w:rPr>
          <w:rFonts w:hint="eastAsia"/>
        </w:rPr>
        <w:t xml:space="preserve">プロセス熱を天然ガスへ転換する</w:t>
      </w:r>
    </w:p>
    <w:p>
      <w:pPr>
        <w:pStyle w:val="FirstParagraph"/>
      </w:pPr>
      <w:r>
        <w:rPr>
          <w:rFonts w:hint="eastAsia"/>
        </w:rPr>
        <w:t xml:space="preserve">リッジウェイのエンジニアリンググループは、7基の電気オーブン、2基の硬化システム、1基の洗浄水加熱システムを、天然ガスへの転換候補として特定した。これらを合計すると、約26ギガワット時の年間電力使用量と5.8メガワットの同時ピーク需要に相当した。転換は電力への依存を減らせる可能性があったが、直接的な燃料使用と排出量は増加することになる。</w:t>
      </w:r>
    </w:p>
    <w:p>
      <w:pPr>
        <w:pStyle w:val="BodyText"/>
      </w:pPr>
      <w:r>
        <w:rPr>
          <w:rFonts w:hint="eastAsia"/>
        </w:rPr>
        <w:t xml:space="preserve">天然ガス価格は歴史的にボラティリティが高く、ガス火力発電機が卸電力価格に影響を与えることが多いため、電力とガスの価格は独立ではなかった。地元のガス事業者はまた、リッジウェイがパイプライン増強費用の一部を負担する必要があるかもしれないと警告した。環境許認可には12か月から24か月を要する可能性があった。複数の顧客が製品レベルの排出情報を求め始めており、ガス転換が将来の調達要件と矛盾する可能性への懸念が高まっていた。</w:t>
      </w:r>
    </w:p>
    <w:bookmarkEnd w:id="16"/>
    <w:bookmarkEnd w:id="17"/>
    <w:bookmarkStart w:id="19" w:name="移転という選択肢"/>
    <w:p>
      <w:pPr>
        <w:pStyle w:val="Heading1"/>
      </w:pPr>
      <w:r>
        <w:rPr>
          <w:rFonts w:hint="eastAsia"/>
        </w:rPr>
        <w:t xml:space="preserve">移転という選択肢</w:t>
      </w:r>
    </w:p>
    <w:p>
      <w:pPr>
        <w:pStyle w:val="FirstParagraph"/>
      </w:pPr>
      <w:r>
        <w:rPr>
          <w:rFonts w:hint="eastAsia"/>
        </w:rPr>
        <w:t xml:space="preserve">最も重大な影響を伴う選択肢は、別の地域に工場を新設または取得することだった。リッジウェイの不動産アドバイザーは3つの予備的な候補地を特定した。いずれもハミルトン郡より現在の産業用電気料金が低く、利用可能な産業用地があり、州の経済開発優遇措置もあった。しかし、ハミルトンの熟練労働力、サプライヤーネットワーク、顧客との近接性を再現できる場所はなかった。</w:t>
      </w:r>
    </w:p>
    <w:bookmarkStart w:id="18" w:name="図-3.-予備的な立地比較"/>
    <w:p>
      <w:pPr>
        <w:pStyle w:val="Heading2"/>
      </w:pPr>
      <w:r>
        <w:rPr>
          <w:rFonts w:hint="eastAsia"/>
        </w:rPr>
        <w:t xml:space="preserve">図</w:t>
      </w:r>
      <w:r>
        <w:t xml:space="preserve"> 3. </w:t>
      </w:r>
      <w:r>
        <w:rPr>
          <w:rFonts w:hint="eastAsia"/>
        </w:rPr>
        <w:t xml:space="preserve">予備的な立地比較</w:t>
      </w:r>
    </w:p>
    <w:tbl>
      <w:tblPr>
        <w:tblStyle w:val="Table"/>
        <w:tblW w:type="pct" w:w="4905"/>
        <w:tblLayout w:type="fixed"/>
        <w:tblLook w:firstRow="1" w:lastRow="0" w:firstColumn="0" w:lastColumn="0" w:noHBand="0" w:noVBand="0" w:val="0020"/>
      </w:tblPr>
      <w:tblGrid>
        <w:gridCol w:w="2640"/>
        <w:gridCol w:w="1357"/>
        <w:gridCol w:w="1357"/>
        <w:gridCol w:w="1206"/>
        <w:gridCol w:w="1206"/>
      </w:tblGrid>
      <w:tr>
        <w:trPr>
          <w:tblHeader w:val="on"/>
        </w:trPr>
        <w:tc>
          <w:tcPr/>
          <w:p>
            <w:pPr>
              <w:pStyle w:val="Compact"/>
            </w:pPr>
            <w:r>
              <w:rPr>
                <w:rFonts w:hint="eastAsia"/>
              </w:rPr>
              <w:t xml:space="preserve">要因</w:t>
            </w:r>
            <w:r>
              <w:t xml:space="preserve"> ハ</w:t>
            </w:r>
          </w:p>
        </w:tc>
        <w:tc>
          <w:tcPr/>
          <w:p>
            <w:pPr>
              <w:pStyle w:val="Compact"/>
            </w:pPr>
            <w:r>
              <w:rPr>
                <w:rFonts w:hint="eastAsia"/>
              </w:rPr>
              <w:t xml:space="preserve">ミルトン郡</w:t>
            </w:r>
            <w:r>
              <w:t xml:space="preserve"> リバー</w:t>
            </w:r>
          </w:p>
        </w:tc>
        <w:tc>
          <w:tcPr/>
          <w:p>
            <w:pPr>
              <w:pStyle w:val="Compact"/>
            </w:pPr>
            <w:r>
              <w:rPr>
                <w:rFonts w:hint="eastAsia"/>
              </w:rPr>
              <w:t xml:space="preserve">ベンド州</w:t>
            </w:r>
            <w:r>
              <w:t xml:space="preserve"> プレーリ</w:t>
            </w:r>
          </w:p>
        </w:tc>
        <w:tc>
          <w:tcPr/>
          <w:p>
            <w:pPr>
              <w:pStyle w:val="Compact"/>
            </w:pPr>
            <w:r>
              <w:rPr>
                <w:rFonts w:hint="eastAsia"/>
              </w:rPr>
              <w:t xml:space="preserve">ー州</w:t>
            </w:r>
            <w:r>
              <w:t xml:space="preserve"> </w:t>
            </w:r>
            <w:r>
              <w:rPr>
                <w:rFonts w:hint="eastAsia"/>
              </w:rPr>
              <w:t xml:space="preserve">ガルフ州</w:t>
            </w:r>
          </w:p>
        </w:tc>
        <w:tc>
          <w:tcPr/>
          <w:p>
            <w:pPr>
              <w:pStyle w:val="Compact"/>
            </w:pPr>
          </w:p>
        </w:tc>
      </w:tr>
      <w:tr>
        <w:tc>
          <w:tcPr/>
          <w:p>
            <w:pPr>
              <w:pStyle w:val="Compact"/>
            </w:pPr>
            <w:r>
              <w:rPr>
                <w:rFonts w:hint="eastAsia"/>
              </w:rPr>
              <w:t xml:space="preserve">産業用電力:</w:t>
            </w:r>
            <w:r>
              <w:t xml:space="preserve"> </w:t>
            </w:r>
            <w:r>
              <w:rPr>
                <w:rFonts w:hint="eastAsia"/>
              </w:rPr>
              <w:t xml:space="preserve">現行の全込み価格</w:t>
            </w:r>
            <w:r>
              <w:t xml:space="preserve"> $11</w:t>
            </w:r>
          </w:p>
        </w:tc>
        <w:tc>
          <w:tcPr/>
          <w:p>
            <w:pPr>
              <w:pStyle w:val="Compact"/>
            </w:pPr>
            <w:r>
              <w:t xml:space="preserve">6/MWh $73</w:t>
            </w:r>
          </w:p>
        </w:tc>
        <w:tc>
          <w:tcPr/>
          <w:p>
            <w:pPr>
              <w:pStyle w:val="Compact"/>
            </w:pPr>
            <w:r>
              <w:t xml:space="preserve">/MWh $68</w:t>
            </w:r>
          </w:p>
        </w:tc>
        <w:tc>
          <w:tcPr/>
          <w:p>
            <w:pPr>
              <w:pStyle w:val="Compact"/>
            </w:pPr>
            <w:r>
              <w:t xml:space="preserve">/MWh $79</w:t>
            </w:r>
          </w:p>
        </w:tc>
        <w:tc>
          <w:tcPr/>
          <w:p>
            <w:pPr>
              <w:pStyle w:val="Compact"/>
            </w:pPr>
            <w:r>
              <w:t xml:space="preserve">/MWh</w:t>
            </w:r>
          </w:p>
        </w:tc>
      </w:tr>
      <w:tr>
        <w:tc>
          <w:tcPr/>
          <w:p>
            <w:pPr>
              <w:pStyle w:val="Compact"/>
            </w:pPr>
            <w:r>
              <w:rPr>
                <w:rFonts w:hint="eastAsia"/>
              </w:rPr>
              <w:t xml:space="preserve">10年間の料金不確実性</w:t>
            </w:r>
            <w:r>
              <w:t xml:space="preserve"> </w:t>
            </w:r>
            <w:r>
              <w:rPr>
                <w:rFonts w:hint="eastAsia"/>
              </w:rPr>
              <w:t xml:space="preserve">高い</w:t>
            </w:r>
          </w:p>
        </w:tc>
        <w:tc>
          <w:tcPr/>
          <w:p>
            <w:pPr>
              <w:pStyle w:val="Compact"/>
            </w:pPr>
            <w:r>
              <w:rPr>
                <w:rFonts w:hint="eastAsia"/>
              </w:rPr>
              <w:t xml:space="preserve">中程</w:t>
            </w:r>
          </w:p>
        </w:tc>
        <w:tc>
          <w:tcPr/>
          <w:p>
            <w:pPr>
              <w:pStyle w:val="Compact"/>
            </w:pPr>
            <w:r>
              <w:rPr>
                <w:rFonts w:hint="eastAsia"/>
              </w:rPr>
              <w:t xml:space="preserve">度</w:t>
            </w:r>
            <w:r>
              <w:t xml:space="preserve"> </w:t>
            </w:r>
            <w:r>
              <w:rPr>
                <w:rFonts w:hint="eastAsia"/>
              </w:rPr>
              <w:t xml:space="preserve">中</w:t>
            </w:r>
          </w:p>
        </w:tc>
        <w:tc>
          <w:tcPr/>
          <w:p>
            <w:pPr>
              <w:pStyle w:val="Compact"/>
            </w:pPr>
            <w:r>
              <w:rPr>
                <w:rFonts w:hint="eastAsia"/>
              </w:rPr>
              <w:t xml:space="preserve">程度</w:t>
            </w:r>
          </w:p>
        </w:tc>
        <w:tc>
          <w:tcPr/>
          <w:p>
            <w:pPr>
              <w:pStyle w:val="Compact"/>
            </w:pPr>
            <w:r>
              <w:rPr>
                <w:rFonts w:hint="eastAsia"/>
              </w:rPr>
              <w:t xml:space="preserve">高い</w:t>
            </w:r>
          </w:p>
        </w:tc>
      </w:tr>
      <w:tr>
        <w:tc>
          <w:tcPr/>
          <w:p>
            <w:pPr>
              <w:pStyle w:val="Compact"/>
            </w:pPr>
            <w:r>
              <w:rPr>
                <w:rFonts w:hint="eastAsia"/>
              </w:rPr>
              <w:t xml:space="preserve">天然ガスへのアクセス</w:t>
            </w:r>
          </w:p>
        </w:tc>
        <w:tc>
          <w:tcPr/>
          <w:p>
            <w:pPr>
              <w:pStyle w:val="Compact"/>
            </w:pPr>
            <w:r>
              <w:rPr>
                <w:rFonts w:hint="eastAsia"/>
              </w:rPr>
              <w:t xml:space="preserve">十分</w:t>
            </w:r>
          </w:p>
        </w:tc>
        <w:tc>
          <w:tcPr/>
          <w:p>
            <w:pPr>
              <w:pStyle w:val="Compact"/>
            </w:pPr>
            <w:r>
              <w:rPr>
                <w:rFonts w:hint="eastAsia"/>
              </w:rPr>
              <w:t xml:space="preserve">強い</w:t>
            </w:r>
          </w:p>
        </w:tc>
        <w:tc>
          <w:tcPr/>
          <w:p>
            <w:pPr>
              <w:pStyle w:val="Compact"/>
            </w:pPr>
            <w:r>
              <w:rPr>
                <w:rFonts w:hint="eastAsia"/>
              </w:rPr>
              <w:t xml:space="preserve">強い</w:t>
            </w:r>
            <w:r>
              <w:t xml:space="preserve"> </w:t>
            </w:r>
            <w:r>
              <w:rPr>
                <w:rFonts w:hint="eastAsia"/>
              </w:rPr>
              <w:t xml:space="preserve">強</w:t>
            </w:r>
          </w:p>
        </w:tc>
        <w:tc>
          <w:tcPr/>
          <w:p>
            <w:pPr>
              <w:pStyle w:val="Compact"/>
            </w:pPr>
            <w:r>
              <w:t xml:space="preserve">い</w:t>
            </w:r>
          </w:p>
        </w:tc>
      </w:tr>
      <w:tr>
        <w:tc>
          <w:tcPr/>
          <w:p>
            <w:pPr>
              <w:pStyle w:val="Compact"/>
            </w:pPr>
            <w:r>
              <w:rPr>
                <w:rFonts w:hint="eastAsia"/>
              </w:rPr>
              <w:t xml:space="preserve">推定新工場投資額</w:t>
            </w:r>
            <w:r>
              <w:t xml:space="preserve"> </w:t>
            </w:r>
            <w:r>
              <w:rPr>
                <w:rFonts w:hint="eastAsia"/>
              </w:rPr>
              <w:t xml:space="preserve">該当なし</w:t>
            </w:r>
          </w:p>
        </w:tc>
        <w:tc>
          <w:tcPr/>
          <w:p>
            <w:pPr>
              <w:pStyle w:val="Compact"/>
            </w:pPr>
            <w:r>
              <w:t xml:space="preserve">$410M</w:t>
            </w:r>
          </w:p>
        </w:tc>
        <w:tc>
          <w:tcPr/>
          <w:p>
            <w:pPr>
              <w:pStyle w:val="Compact"/>
            </w:pPr>
            <w:r>
              <w:t xml:space="preserve">$385M</w:t>
            </w:r>
          </w:p>
        </w:tc>
        <w:tc>
          <w:tcPr/>
          <w:p>
            <w:pPr>
              <w:pStyle w:val="Compact"/>
            </w:pPr>
            <w:r>
              <w:t xml:space="preserve">$430</w:t>
            </w:r>
          </w:p>
        </w:tc>
        <w:tc>
          <w:tcPr/>
          <w:p>
            <w:pPr>
              <w:pStyle w:val="Compact"/>
            </w:pPr>
            <w:r>
              <w:t xml:space="preserve">M</w:t>
            </w:r>
          </w:p>
        </w:tc>
      </w:tr>
      <w:tr>
        <w:tc>
          <w:tcPr/>
          <w:p>
            <w:pPr>
              <w:pStyle w:val="Compact"/>
            </w:pPr>
            <w:r>
              <w:rPr>
                <w:rFonts w:hint="eastAsia"/>
              </w:rPr>
              <w:t xml:space="preserve">移行期間</w:t>
            </w:r>
            <w:r>
              <w:t xml:space="preserve"> </w:t>
            </w:r>
            <w:r>
              <w:rPr>
                <w:rFonts w:hint="eastAsia"/>
              </w:rPr>
              <w:t xml:space="preserve">該当なし</w:t>
            </w:r>
          </w:p>
        </w:tc>
        <w:tc>
          <w:tcPr/>
          <w:p>
            <w:pPr>
              <w:pStyle w:val="Compact"/>
            </w:pPr>
            <w:r>
              <w:rPr>
                <w:rFonts w:hint="eastAsia"/>
              </w:rPr>
              <w:t xml:space="preserve">4-5年</w:t>
            </w:r>
          </w:p>
        </w:tc>
        <w:tc>
          <w:tcPr/>
          <w:p>
            <w:pPr>
              <w:pStyle w:val="Compact"/>
            </w:pPr>
            <w:r>
              <w:rPr>
                <w:rFonts w:hint="eastAsia"/>
              </w:rPr>
              <w:t xml:space="preserve">4-6年</w:t>
            </w:r>
          </w:p>
        </w:tc>
        <w:tc>
          <w:tcPr/>
          <w:p>
            <w:pPr>
              <w:pStyle w:val="Compact"/>
            </w:pPr>
            <w:r>
              <w:rPr>
                <w:rFonts w:hint="eastAsia"/>
              </w:rPr>
              <w:t xml:space="preserve">4-5年</w:t>
            </w:r>
          </w:p>
        </w:tc>
        <w:tc>
          <w:tcPr/>
          <w:p>
            <w:pPr>
              <w:pStyle w:val="Compact"/>
            </w:pPr>
          </w:p>
        </w:tc>
      </w:tr>
      <w:tr>
        <w:tc>
          <w:tcPr/>
          <w:p>
            <w:pPr>
              <w:pStyle w:val="Compact"/>
            </w:pPr>
            <w:r>
              <w:rPr>
                <w:rFonts w:hint="eastAsia"/>
              </w:rPr>
              <w:t xml:space="preserve">熟練労働力の可用性</w:t>
            </w:r>
            <w:r>
              <w:t xml:space="preserve"> </w:t>
            </w:r>
            <w:r>
              <w:rPr>
                <w:rFonts w:hint="eastAsia"/>
              </w:rPr>
              <w:t xml:space="preserve">強い</w:t>
            </w:r>
          </w:p>
        </w:tc>
        <w:tc>
          <w:tcPr/>
          <w:p>
            <w:pPr>
              <w:pStyle w:val="Compact"/>
            </w:pPr>
            <w:r>
              <w:rPr>
                <w:rFonts w:hint="eastAsia"/>
              </w:rPr>
              <w:t xml:space="preserve">中程度</w:t>
            </w:r>
          </w:p>
        </w:tc>
        <w:tc>
          <w:tcPr/>
          <w:p>
            <w:pPr>
              <w:pStyle w:val="Compact"/>
            </w:pPr>
            <w:r>
              <w:rPr>
                <w:rFonts w:hint="eastAsia"/>
              </w:rPr>
              <w:t xml:space="preserve">限定的</w:t>
            </w:r>
          </w:p>
        </w:tc>
        <w:tc>
          <w:tcPr/>
          <w:p>
            <w:pPr>
              <w:pStyle w:val="Compact"/>
            </w:pPr>
            <w:r>
              <w:rPr>
                <w:rFonts w:hint="eastAsia"/>
              </w:rPr>
              <w:t xml:space="preserve">中程度</w:t>
            </w:r>
          </w:p>
        </w:tc>
        <w:tc>
          <w:tcPr/>
          <w:p>
            <w:pPr>
              <w:pStyle w:val="Compact"/>
            </w:pPr>
          </w:p>
        </w:tc>
      </w:tr>
      <w:tr>
        <w:tc>
          <w:tcPr/>
          <w:p>
            <w:pPr>
              <w:pStyle w:val="Compact"/>
            </w:pPr>
            <w:r>
              <w:rPr>
                <w:rFonts w:hint="eastAsia"/>
              </w:rPr>
              <w:t xml:space="preserve">顧客への輸送費影響</w:t>
            </w:r>
            <w:r>
              <w:t xml:space="preserve"> </w:t>
            </w:r>
            <w:r>
              <w:rPr>
                <w:rFonts w:hint="eastAsia"/>
              </w:rPr>
              <w:t xml:space="preserve">基準値</w:t>
            </w:r>
          </w:p>
        </w:tc>
        <w:tc>
          <w:tcPr/>
          <w:p>
            <w:pPr>
              <w:pStyle w:val="Compact"/>
            </w:pPr>
            <w:r>
              <w:rPr>
                <w:rFonts w:hint="eastAsia"/>
              </w:rPr>
              <w:t xml:space="preserve">年間+$7</w:t>
            </w:r>
          </w:p>
        </w:tc>
        <w:tc>
          <w:tcPr/>
          <w:p>
            <w:pPr>
              <w:pStyle w:val="Compact"/>
            </w:pPr>
            <w:r>
              <w:t xml:space="preserve">M </w:t>
            </w:r>
            <w:r>
              <w:rPr>
                <w:rFonts w:hint="eastAsia"/>
              </w:rPr>
              <w:t xml:space="preserve">年間+$13M</w:t>
            </w:r>
          </w:p>
        </w:tc>
        <w:tc>
          <w:tcPr/>
          <w:p>
            <w:pPr>
              <w:pStyle w:val="Compact"/>
            </w:pPr>
            <w:r>
              <w:rPr>
                <w:rFonts w:hint="eastAsia"/>
              </w:rPr>
              <w:t xml:space="preserve">年間+$9M</w:t>
            </w:r>
          </w:p>
        </w:tc>
        <w:tc>
          <w:tcPr/>
          <w:p>
            <w:pPr>
              <w:pStyle w:val="Compact"/>
            </w:pPr>
          </w:p>
        </w:tc>
      </w:tr>
      <w:tr>
        <w:tc>
          <w:tcPr/>
          <w:p>
            <w:pPr>
              <w:pStyle w:val="Compact"/>
            </w:pPr>
            <w:r>
              <w:rPr>
                <w:rFonts w:hint="eastAsia"/>
              </w:rPr>
              <w:t xml:space="preserve">州・地方の優遇措置</w:t>
            </w:r>
            <w:r>
              <w:t xml:space="preserve"> </w:t>
            </w:r>
            <w:r>
              <w:rPr>
                <w:rFonts w:hint="eastAsia"/>
              </w:rPr>
              <w:t xml:space="preserve">限定</w:t>
            </w:r>
          </w:p>
        </w:tc>
        <w:tc>
          <w:tcPr/>
          <w:p>
            <w:pPr>
              <w:pStyle w:val="Compact"/>
            </w:pPr>
            <w:r>
              <w:rPr>
                <w:rFonts w:hint="eastAsia"/>
              </w:rPr>
              <w:t xml:space="preserve">的</w:t>
            </w:r>
            <w:r>
              <w:t xml:space="preserve"> $5</w:t>
            </w:r>
          </w:p>
        </w:tc>
        <w:tc>
          <w:tcPr/>
          <w:p>
            <w:pPr>
              <w:pStyle w:val="Compact"/>
            </w:pPr>
            <w:r>
              <w:t xml:space="preserve">4M $7</w:t>
            </w:r>
          </w:p>
        </w:tc>
        <w:tc>
          <w:tcPr/>
          <w:p>
            <w:pPr>
              <w:pStyle w:val="Compact"/>
            </w:pPr>
            <w:r>
              <w:t xml:space="preserve">2M</w:t>
            </w:r>
            <w:r>
              <w:br/>
            </w:r>
          </w:p>
        </w:tc>
        <w:tc>
          <w:tcPr/>
          <w:p>
            <w:pPr>
              <w:pStyle w:val="Compact"/>
            </w:pPr>
            <w:r>
              <w:t xml:space="preserve">$61M</w:t>
            </w:r>
          </w:p>
        </w:tc>
      </w:tr>
      <w:tr>
        <w:tc>
          <w:tcPr/>
          <w:p>
            <w:pPr>
              <w:pStyle w:val="Compact"/>
            </w:pPr>
            <w:r>
              <w:rPr>
                <w:rFonts w:hint="eastAsia"/>
              </w:rPr>
              <w:t xml:space="preserve">気象リスク</w:t>
            </w:r>
            <w:r>
              <w:t xml:space="preserve"> </w:t>
            </w:r>
            <w:r>
              <w:rPr>
                <w:rFonts w:hint="eastAsia"/>
              </w:rPr>
              <w:t xml:space="preserve">中程度</w:t>
            </w:r>
          </w:p>
        </w:tc>
        <w:tc>
          <w:tcPr/>
          <w:p>
            <w:pPr>
              <w:pStyle w:val="Compact"/>
            </w:pPr>
            <w:r>
              <w:rPr>
                <w:rFonts w:hint="eastAsia"/>
              </w:rPr>
              <w:t xml:space="preserve">洪水</w:t>
            </w:r>
          </w:p>
        </w:tc>
        <w:tc>
          <w:tcPr/>
          <w:p>
            <w:pPr>
              <w:pStyle w:val="Compact"/>
            </w:pPr>
            <w:r>
              <w:rPr>
                <w:rFonts w:hint="eastAsia"/>
              </w:rPr>
              <w:t xml:space="preserve">冬季暴</w:t>
            </w:r>
          </w:p>
        </w:tc>
        <w:tc>
          <w:tcPr/>
          <w:p>
            <w:pPr>
              <w:pStyle w:val="Compact"/>
            </w:pPr>
            <w:r>
              <w:rPr>
                <w:rFonts w:hint="eastAsia"/>
              </w:rPr>
              <w:t xml:space="preserve">風雪</w:t>
            </w:r>
            <w:r>
              <w:t xml:space="preserve"> ハリケーン</w:t>
            </w:r>
          </w:p>
        </w:tc>
        <w:tc>
          <w:tcPr/>
          <w:p>
            <w:pPr>
              <w:pStyle w:val="Compact"/>
            </w:pPr>
          </w:p>
        </w:tc>
      </w:tr>
    </w:tbl>
    <w:p>
      <w:pPr>
        <w:pStyle w:val="BodyText"/>
      </w:pPr>
      <w:r>
        <w:rPr>
          <w:rFonts w:hint="eastAsia"/>
        </w:rPr>
        <w:t xml:space="preserve">全面移転だけがネットワーク上の唯一の選択肢ではなかった。リッジウェイは、最もエネルギー集約的なプロセスのみを移転する、第2工場を追加する、熱処理を外注する、あるいはハミルトンの役割を徐々に縮小しながら他所に新規能力を構築する、といった方法も取り得た。それぞれのアプローチは、調整コスト、重複した在庫、品質管理上の課題を生み出した。規制産業の顧客は、新施設からの製品を受け入れる前に、数か月にわたる検証を求める可能性があった。</w:t>
      </w:r>
    </w:p>
    <w:p>
      <w:pPr>
        <w:pStyle w:val="BodyText"/>
      </w:pPr>
      <w:r>
        <w:rPr>
          <w:rFonts w:hint="eastAsia"/>
        </w:rPr>
        <w:t xml:space="preserve">人事部門の試算では、ハミルトンの従業員のうち移転に応じるのは20%未満と見込まれていた。経験豊富な溶接工、機械工、検査員、保守専門家、生産監督者の代わりを見つけることは、立ち上げ期間を延長させる可能性があった。ハミルトン地域社会は過去の景気後退期を通じてリッジウェイを支えてきており、地元当局は工場閉鎖がサプライヤー、学校、地方自治体の財政に影響を及ぼすと警告した。</w:t>
      </w:r>
    </w:p>
    <w:bookmarkEnd w:id="18"/>
    <w:bookmarkEnd w:id="19"/>
    <w:bookmarkStart w:id="21" w:name="リッジウェイが解決しようとしている問題は何か"/>
    <w:p>
      <w:pPr>
        <w:pStyle w:val="Heading1"/>
      </w:pPr>
      <w:r>
        <w:rPr>
          <w:rFonts w:hint="eastAsia"/>
        </w:rPr>
        <w:t xml:space="preserve">リッジウェイが解決しようとしている問題は何か</w:t>
      </w:r>
    </w:p>
    <w:p>
      <w:pPr>
        <w:pStyle w:val="FirstParagraph"/>
      </w:pPr>
      <w:r>
        <w:rPr>
          <w:rFonts w:hint="eastAsia"/>
        </w:rPr>
        <w:t xml:space="preserve">経営陣は目的について合意していなかった。ブルックスはこの問題を、エネルギーおよび移行コストの現在価値を最小化することとして捉えていた。シャーはピーク需要削減とレジリエンスを重視した。製造部門長はスループット、品質、顧客サービスの保護を望んでいた。サステナビリティ担当ディレクターは、資本に関する決定が想定される顧客の排出量要件と整合すべきだと主張した。戦略担当ディレクターは、電力問題を、ハミルトンがリッジウェイの次世代生産技術にとって適切な立地であり続けるかというより広範な問いの一要素として捉えていた。</w:t>
      </w:r>
    </w:p>
    <w:p>
      <w:pPr>
        <w:pStyle w:val="BodyText"/>
      </w:pPr>
      <w:r>
        <w:rPr>
          <w:rFonts w:hint="eastAsia"/>
        </w:rPr>
        <w:t xml:space="preserve">目的の選択は分析結果を変えた。太陽光と蓄電池のプロジェクトは、財務的リターンが効率化プロジェクトより低くても、停電に対するより高い保護を提供する可能性があった。天然ガス転換は短期的なコストを削減できる一方で、炭素規制への露出を高める可能性があった。移転はより低いエネルギー価格を提供し得る一方で、輸送費、労務費、実行上のコストの上昇を生む可能性があった。現行料金に基づく決定は、将来の状況に対応する柔軟性に基づく決定とは異なる様相を呈する可能性があった。</w:t>
      </w:r>
    </w:p>
    <w:bookmarkStart w:id="20" w:name="プロジェクトチームが提案した測定指標"/>
    <w:p>
      <w:pPr>
        <w:pStyle w:val="Heading2"/>
      </w:pPr>
      <w:r>
        <w:rPr>
          <w:rFonts w:hint="eastAsia"/>
        </w:rPr>
        <w:t xml:space="preserve">プロジェクトチームが提案した測定指標</w:t>
      </w:r>
    </w:p>
    <w:p>
      <w:pPr>
        <w:numPr>
          <w:ilvl w:val="0"/>
          <w:numId w:val="1001"/>
        </w:numPr>
      </w:pPr>
      <w:r>
        <w:rPr>
          <w:rFonts w:hint="eastAsia"/>
        </w:rPr>
        <w:t xml:space="preserve">5年、10年、15年、20年の期間にわたる正味現在価値および年間必要資金</w:t>
      </w:r>
    </w:p>
    <w:p>
      <w:pPr>
        <w:numPr>
          <w:ilvl w:val="0"/>
          <w:numId w:val="1001"/>
        </w:numPr>
      </w:pPr>
      <w:r>
        <w:rPr>
          <w:rFonts w:hint="eastAsia"/>
        </w:rPr>
        <w:t xml:space="preserve">エネルギー、労務費、輸送費、在庫、移行効果を含む単位当たり製造コスト</w:t>
      </w:r>
    </w:p>
    <w:p>
      <w:pPr>
        <w:numPr>
          <w:ilvl w:val="0"/>
          <w:numId w:val="1001"/>
        </w:numPr>
      </w:pPr>
      <w:r>
        <w:rPr>
          <w:rFonts w:hint="eastAsia"/>
        </w:rPr>
        <w:t xml:space="preserve">生産損失時間の予測値、およびレジリエンス向上の価値</w:t>
      </w:r>
    </w:p>
    <w:p>
      <w:pPr>
        <w:numPr>
          <w:ilvl w:val="0"/>
          <w:numId w:val="1001"/>
        </w:numPr>
      </w:pPr>
      <w:r>
        <w:rPr>
          <w:rFonts w:hint="eastAsia"/>
        </w:rPr>
        <w:t xml:space="preserve">温室効果ガス排出量、および将来の顧客・規制要件への露出</w:t>
      </w:r>
    </w:p>
    <w:p>
      <w:pPr>
        <w:numPr>
          <w:ilvl w:val="0"/>
          <w:numId w:val="1001"/>
        </w:numPr>
      </w:pPr>
      <w:r>
        <w:rPr>
          <w:rFonts w:hint="eastAsia"/>
        </w:rPr>
        <w:t xml:space="preserve">実施までの時間、遅延の確率、コスト超過の確率</w:t>
      </w:r>
    </w:p>
    <w:p>
      <w:pPr>
        <w:numPr>
          <w:ilvl w:val="0"/>
          <w:numId w:val="1001"/>
        </w:numPr>
      </w:pPr>
      <w:r>
        <w:rPr>
          <w:rFonts w:hint="eastAsia"/>
        </w:rPr>
        <w:t xml:space="preserve">可逆性:状況の変化に応じて投資を拡大、停止、または方向転換する能力</w:t>
      </w:r>
    </w:p>
    <w:p>
      <w:pPr>
        <w:numPr>
          <w:ilvl w:val="0"/>
          <w:numId w:val="1001"/>
        </w:numPr>
      </w:pPr>
      <w:r>
        <w:rPr>
          <w:rFonts w:hint="eastAsia"/>
        </w:rPr>
        <w:t xml:space="preserve">従業員、サプライヤー、顧客、ハミルトン地域社会への影響</w:t>
      </w:r>
    </w:p>
    <w:bookmarkEnd w:id="20"/>
    <w:bookmarkEnd w:id="21"/>
    <w:bookmarkStart w:id="24" w:name="あらゆる方向に及ぶ不確実性"/>
    <w:p>
      <w:pPr>
        <w:pStyle w:val="Heading1"/>
      </w:pPr>
      <w:r>
        <w:rPr>
          <w:rFonts w:hint="eastAsia"/>
        </w:rPr>
        <w:t xml:space="preserve">あらゆる方向に及ぶ不確実性</w:t>
      </w:r>
    </w:p>
    <w:p>
      <w:pPr>
        <w:pStyle w:val="FirstParagraph"/>
      </w:pPr>
      <w:r>
        <w:rPr>
          <w:rFonts w:hint="eastAsia"/>
        </w:rPr>
        <w:t xml:space="preserve">プロジェクトチームは3つの電力料金シナリオを策定したが、確率について合意することはできなかった。電力会社の高位ケースは、急速なデータセンター成長と大規模な送電投資を前提としていた。低位ケースは、大規模な新規需要家が必要インフラの費用をより多く負担し、提案された複数のプロジェクトが遅延または中止されることを前提としていた。リッジウェイのコンサルタントは第4の可能性を追加した。すなわち、地域の規制当局が非常に大規模な新規負荷向けの特別料金を導入し、既存顧客へのコスト圧力を軽減する可能性である。</w:t>
      </w:r>
    </w:p>
    <w:bookmarkStart w:id="22" w:name="図-4.-ハミルトンの電力料金シナリオ"/>
    <w:p>
      <w:pPr>
        <w:pStyle w:val="Heading2"/>
      </w:pPr>
      <w:r>
        <w:rPr>
          <w:rFonts w:hint="eastAsia"/>
        </w:rPr>
        <w:t xml:space="preserve">図</w:t>
      </w:r>
      <w:r>
        <w:t xml:space="preserve"> 4. </w:t>
      </w:r>
      <w:r>
        <w:rPr>
          <w:rFonts w:hint="eastAsia"/>
        </w:rPr>
        <w:t xml:space="preserve">ハミルトンの電力料金シナリオ</w:t>
      </w:r>
    </w:p>
    <w:tbl>
      <w:tblPr>
        <w:tblStyle w:val="Table"/>
        <w:tblW w:type="pct" w:w="4921"/>
        <w:tblLayout w:type="fixed"/>
        <w:tblLook w:firstRow="1" w:lastRow="0" w:firstColumn="0" w:lastColumn="0" w:noHBand="0" w:noVBand="0" w:val="0020"/>
      </w:tblPr>
      <w:tblGrid>
        <w:gridCol w:w="1194"/>
        <w:gridCol w:w="1194"/>
        <w:gridCol w:w="1194"/>
        <w:gridCol w:w="4211"/>
      </w:tblGrid>
      <w:tr>
        <w:trPr>
          <w:tblHeader w:val="on"/>
        </w:trPr>
        <w:tc>
          <w:tcPr/>
          <w:p>
            <w:pPr>
              <w:pStyle w:val="Compact"/>
              <w:jc w:val="left"/>
            </w:pPr>
            <w:r>
              <w:t xml:space="preserve">シナリオ</w:t>
            </w:r>
          </w:p>
        </w:tc>
        <w:tc>
          <w:tcPr/>
          <w:p>
            <w:pPr>
              <w:pStyle w:val="Compact"/>
              <w:jc w:val="left"/>
            </w:pPr>
            <w:r>
              <w:rPr>
                <w:rFonts w:hint="eastAsia"/>
              </w:rPr>
              <w:t xml:space="preserve">2030年全込み料金</w:t>
            </w:r>
          </w:p>
        </w:tc>
        <w:tc>
          <w:tcPr/>
          <w:p>
            <w:pPr>
              <w:pStyle w:val="Compact"/>
              <w:jc w:val="left"/>
            </w:pPr>
            <w:r>
              <w:rPr>
                <w:rFonts w:hint="eastAsia"/>
              </w:rPr>
              <w:t xml:space="preserve">2035年全込み料金</w:t>
            </w:r>
          </w:p>
        </w:tc>
        <w:tc>
          <w:tcPr/>
          <w:p>
            <w:pPr>
              <w:pStyle w:val="Compact"/>
              <w:jc w:val="left"/>
            </w:pPr>
            <w:r>
              <w:rPr>
                <w:rFonts w:hint="eastAsia"/>
              </w:rPr>
              <w:t xml:space="preserve">説明</w:t>
            </w:r>
          </w:p>
        </w:tc>
      </w:tr>
      <w:tr>
        <w:tc>
          <w:tcPr/>
          <w:p>
            <w:pPr>
              <w:pStyle w:val="Compact"/>
              <w:jc w:val="left"/>
            </w:pPr>
            <w:r>
              <w:rPr>
                <w:rFonts w:hint="eastAsia"/>
              </w:rPr>
              <w:t xml:space="preserve">緩和</w:t>
            </w:r>
            <w:r>
              <w:t xml:space="preserve"> $</w:t>
            </w:r>
          </w:p>
        </w:tc>
        <w:tc>
          <w:tcPr/>
          <w:p>
            <w:pPr>
              <w:pStyle w:val="Compact"/>
              <w:jc w:val="left"/>
            </w:pPr>
            <w:r>
              <w:t xml:space="preserve">124/MWh $</w:t>
            </w:r>
          </w:p>
        </w:tc>
        <w:tc>
          <w:tcPr/>
          <w:p>
            <w:pPr>
              <w:pStyle w:val="Compact"/>
              <w:jc w:val="left"/>
            </w:pPr>
            <w:r>
              <w:t xml:space="preserve">130/MWh </w:t>
            </w:r>
            <w:r>
              <w:rPr>
                <w:rFonts w:hint="eastAsia"/>
              </w:rPr>
              <w:t xml:space="preserve">新</w:t>
            </w:r>
          </w:p>
        </w:tc>
        <w:tc>
          <w:tcPr/>
          <w:p>
            <w:pPr>
              <w:pStyle w:val="Compact"/>
              <w:jc w:val="left"/>
            </w:pPr>
            <w:r>
              <w:rPr>
                <w:rFonts w:hint="eastAsia"/>
              </w:rPr>
              <w:t xml:space="preserve">規大規模負荷向け料金体系とデータセンター建設の減速</w:t>
            </w:r>
          </w:p>
        </w:tc>
      </w:tr>
      <w:tr>
        <w:tc>
          <w:tcPr/>
          <w:p>
            <w:pPr>
              <w:pStyle w:val="Compact"/>
              <w:jc w:val="left"/>
            </w:pPr>
            <w:r>
              <w:rPr>
                <w:rFonts w:hint="eastAsia"/>
              </w:rPr>
              <w:t xml:space="preserve">管理された成長</w:t>
            </w:r>
          </w:p>
        </w:tc>
        <w:tc>
          <w:tcPr/>
          <w:p>
            <w:pPr>
              <w:pStyle w:val="Compact"/>
              <w:jc w:val="left"/>
            </w:pPr>
            <w:r>
              <w:t xml:space="preserve">$145/MWh</w:t>
            </w:r>
          </w:p>
        </w:tc>
        <w:tc>
          <w:tcPr/>
          <w:p>
            <w:pPr>
              <w:pStyle w:val="Compact"/>
              <w:jc w:val="left"/>
            </w:pPr>
            <w:r>
              <w:t xml:space="preserve">$158/MWh</w:t>
            </w:r>
          </w:p>
        </w:tc>
        <w:tc>
          <w:tcPr/>
          <w:p>
            <w:pPr>
              <w:pStyle w:val="Compact"/>
              <w:jc w:val="left"/>
            </w:pPr>
            <w:r>
              <w:rPr>
                <w:rFonts w:hint="eastAsia"/>
              </w:rPr>
              <w:t xml:space="preserve">系統投資が顧客間に分散、中程度の需要成長</w:t>
            </w:r>
          </w:p>
        </w:tc>
      </w:tr>
      <w:tr>
        <w:tc>
          <w:tcPr/>
          <w:p>
            <w:pPr>
              <w:pStyle w:val="Compact"/>
              <w:jc w:val="left"/>
            </w:pPr>
            <w:r>
              <w:rPr>
                <w:rFonts w:hint="eastAsia"/>
              </w:rPr>
              <w:t xml:space="preserve">容量逼迫</w:t>
            </w:r>
            <w:r>
              <w:t xml:space="preserve"> $171/MW</w:t>
            </w:r>
          </w:p>
        </w:tc>
        <w:tc>
          <w:tcPr/>
          <w:p>
            <w:pPr>
              <w:pStyle w:val="Compact"/>
              <w:jc w:val="left"/>
            </w:pPr>
            <w:r>
              <w:t xml:space="preserve">h $198/MW</w:t>
            </w:r>
          </w:p>
        </w:tc>
        <w:tc>
          <w:tcPr/>
          <w:p>
            <w:pPr>
              <w:pStyle w:val="Compact"/>
              <w:jc w:val="left"/>
            </w:pPr>
            <w:r>
              <w:t xml:space="preserve">h </w:t>
            </w:r>
            <w:r>
              <w:rPr>
                <w:rFonts w:hint="eastAsia"/>
              </w:rPr>
              <w:t xml:space="preserve">急速な負</w:t>
            </w:r>
          </w:p>
        </w:tc>
        <w:tc>
          <w:tcPr/>
          <w:p>
            <w:pPr>
              <w:pStyle w:val="Compact"/>
              <w:jc w:val="left"/>
            </w:pPr>
            <w:r>
              <w:rPr>
                <w:rFonts w:hint="eastAsia"/>
              </w:rPr>
              <w:t xml:space="preserve">荷追加、送電の遅延、高い容量料金</w:t>
            </w:r>
          </w:p>
        </w:tc>
      </w:tr>
      <w:tr>
        <w:tc>
          <w:tcPr/>
          <w:p>
            <w:pPr>
              <w:pStyle w:val="Compact"/>
              <w:jc w:val="left"/>
            </w:pPr>
            <w:r>
              <w:rPr>
                <w:rFonts w:hint="eastAsia"/>
              </w:rPr>
              <w:t xml:space="preserve">不安定な系統</w:t>
            </w:r>
          </w:p>
        </w:tc>
        <w:tc>
          <w:tcPr/>
          <w:p>
            <w:pPr>
              <w:pStyle w:val="Compact"/>
              <w:jc w:val="left"/>
            </w:pPr>
            <w:r>
              <w:t xml:space="preserve">$135-$190/MWh</w:t>
            </w:r>
          </w:p>
        </w:tc>
        <w:tc>
          <w:tcPr/>
          <w:p>
            <w:pPr>
              <w:pStyle w:val="Compact"/>
              <w:jc w:val="left"/>
            </w:pPr>
            <w:r>
              <w:t xml:space="preserve">$140-$220/MWh</w:t>
            </w:r>
          </w:p>
        </w:tc>
        <w:tc>
          <w:tcPr/>
          <w:p>
            <w:pPr>
              <w:pStyle w:val="Compact"/>
              <w:jc w:val="left"/>
            </w:pPr>
            <w:r>
              <w:rPr>
                <w:rFonts w:hint="eastAsia"/>
              </w:rPr>
              <w:t xml:space="preserve">頻繁な価格急騰と変動する料金体系</w:t>
            </w:r>
          </w:p>
        </w:tc>
      </w:tr>
    </w:tbl>
    <w:p>
      <w:pPr>
        <w:pStyle w:val="BodyText"/>
      </w:pPr>
      <w:r>
        <w:rPr>
          <w:rFonts w:hint="eastAsia"/>
        </w:rPr>
        <w:t xml:space="preserve">天然ガスの予測も同様に不確実であった。エンジニアリングモデルは、年率2.5%で上昇する100万Btu当たり6.40ドルの受渡価格を用いていた。財務部門は4ドル、8ドル、12ドルでの感度分析を要請した。サステナビリティチームは炭素コストシナリオを求めた。運用部門は、厳冬期にガス供給が抑制される可能性があるかどうかを問うた。</w:t>
      </w:r>
    </w:p>
    <w:p>
      <w:pPr>
        <w:pStyle w:val="BodyText"/>
      </w:pPr>
      <w:r>
        <w:rPr>
          <w:rFonts w:hint="eastAsia"/>
        </w:rPr>
        <w:t xml:space="preserve">技術および政策上の前提も重要であった。太陽光と蓄電池の入札価格は系統連系承認前に変わる可能性があった。税制優遇措置は変更される可能性があった。蓄電池の性能はサイクルパターンと温度に左右されることになる。開発中の新しい製造プロセスはオーブン使用量を40%削減する可能性があった――あるいは顧客認定を得られない可能性もあった。リッジウェイの最大顧客は、ハミルトンの生産量を18%増加させ得る5年契約を交渉していたが、受注は確定していなかった。</w:t>
      </w:r>
    </w:p>
    <w:bookmarkEnd w:id="22"/>
    <w:bookmarkStart w:id="23" w:name="図-5.-主要な不確実性と影響を受ける可能性のある決定"/>
    <w:p>
      <w:pPr>
        <w:pStyle w:val="Heading2"/>
      </w:pPr>
      <w:r>
        <w:rPr>
          <w:rFonts w:hint="eastAsia"/>
        </w:rPr>
        <w:t xml:space="preserve">図</w:t>
      </w:r>
      <w:r>
        <w:t xml:space="preserve"> 5. </w:t>
      </w:r>
      <w:r>
        <w:rPr>
          <w:rFonts w:hint="eastAsia"/>
        </w:rPr>
        <w:t xml:space="preserve">主要な不確実性と影響を受ける可能性のある決定</w:t>
      </w:r>
    </w:p>
    <w:tbl>
      <w:tblPr>
        <w:tblStyle w:val="Table"/>
        <w:tblW w:type="pct" w:w="4938"/>
        <w:tblLayout w:type="fixed"/>
        <w:tblLook w:firstRow="1" w:lastRow="0" w:firstColumn="0" w:lastColumn="0" w:noHBand="0" w:noVBand="0" w:val="0020"/>
      </w:tblPr>
      <w:tblGrid>
        <w:gridCol w:w="1672"/>
        <w:gridCol w:w="1721"/>
        <w:gridCol w:w="2164"/>
        <w:gridCol w:w="2262"/>
      </w:tblGrid>
      <w:tr>
        <w:trPr>
          <w:tblHeader w:val="on"/>
        </w:trPr>
        <w:tc>
          <w:tcPr/>
          <w:p>
            <w:pPr>
              <w:pStyle w:val="Compact"/>
            </w:pPr>
            <w:r>
              <w:rPr>
                <w:rFonts w:hint="eastAsia"/>
              </w:rPr>
              <w:t xml:space="preserve">不確実性</w:t>
            </w:r>
            <w:r>
              <w:t xml:space="preserve"> </w:t>
            </w:r>
            <w:r>
              <w:rPr>
                <w:rFonts w:hint="eastAsia"/>
              </w:rPr>
              <w:t xml:space="preserve">低位</w:t>
            </w:r>
          </w:p>
        </w:tc>
        <w:tc>
          <w:tcPr/>
          <w:p>
            <w:pPr>
              <w:pStyle w:val="Compact"/>
            </w:pPr>
            <w:r>
              <w:rPr>
                <w:rFonts w:hint="eastAsia"/>
              </w:rPr>
              <w:t xml:space="preserve">/代替の結果</w:t>
            </w:r>
            <w:r>
              <w:t xml:space="preserve"> </w:t>
            </w:r>
            <w:r>
              <w:rPr>
                <w:rFonts w:hint="eastAsia"/>
              </w:rPr>
              <w:t xml:space="preserve">高位/代替の結</w:t>
            </w:r>
          </w:p>
        </w:tc>
        <w:tc>
          <w:tcPr/>
          <w:p>
            <w:pPr>
              <w:pStyle w:val="Compact"/>
              <w:jc w:val="left"/>
            </w:pPr>
            <w:r>
              <w:rPr>
                <w:rFonts w:hint="eastAsia"/>
              </w:rPr>
              <w:t xml:space="preserve">果</w:t>
            </w:r>
            <w:r>
              <w:t xml:space="preserve"> </w:t>
            </w:r>
            <w:r>
              <w:rPr>
                <w:rFonts w:hint="eastAsia"/>
              </w:rPr>
              <w:t xml:space="preserve">最も影響を受ける決定</w:t>
            </w:r>
          </w:p>
        </w:tc>
        <w:tc>
          <w:tcPr/>
          <w:p>
            <w:pPr>
              <w:pStyle w:val="Compact"/>
            </w:pPr>
          </w:p>
        </w:tc>
      </w:tr>
      <w:tr>
        <w:tc>
          <w:tcPr/>
          <w:p>
            <w:pPr>
              <w:pStyle w:val="Compact"/>
            </w:pPr>
            <w:r>
              <w:rPr>
                <w:rFonts w:hint="eastAsia"/>
              </w:rPr>
              <w:t xml:space="preserve">地域の電力料金</w:t>
            </w:r>
            <w:r>
              <w:t xml:space="preserve"> </w:t>
            </w:r>
            <w:r>
              <w:rPr>
                <w:rFonts w:hint="eastAsia"/>
              </w:rPr>
              <w:t xml:space="preserve">コストが安定</w:t>
            </w:r>
          </w:p>
        </w:tc>
        <w:tc>
          <w:tcPr/>
          <w:p>
            <w:pPr>
              <w:pStyle w:val="Compact"/>
            </w:pPr>
            <w:r>
              <w:rPr>
                <w:rFonts w:hint="eastAsia"/>
              </w:rPr>
              <w:t xml:space="preserve">化</w:t>
            </w:r>
            <w:r>
              <w:t xml:space="preserve"> </w:t>
            </w:r>
            <w:r>
              <w:rPr>
                <w:rFonts w:hint="eastAsia"/>
              </w:rPr>
              <w:t xml:space="preserve">料金と需要料金</w:t>
            </w:r>
          </w:p>
        </w:tc>
        <w:tc>
          <w:tcPr/>
          <w:p>
            <w:pPr>
              <w:pStyle w:val="Compact"/>
              <w:jc w:val="left"/>
            </w:pPr>
            <w:r>
              <w:rPr>
                <w:rFonts w:hint="eastAsia"/>
              </w:rPr>
              <w:t xml:space="preserve">が急上昇</w:t>
            </w:r>
            <w:r>
              <w:t xml:space="preserve"> </w:t>
            </w:r>
            <w:r>
              <w:rPr>
                <w:rFonts w:hint="eastAsia"/>
              </w:rPr>
              <w:t xml:space="preserve">移転、太陽光、蓄電池、効率化</w:t>
            </w:r>
          </w:p>
        </w:tc>
        <w:tc>
          <w:tcPr/>
          <w:p>
            <w:pPr>
              <w:pStyle w:val="Compact"/>
            </w:pPr>
          </w:p>
        </w:tc>
      </w:tr>
      <w:tr>
        <w:tc>
          <w:tcPr/>
          <w:p>
            <w:pPr>
              <w:pStyle w:val="Compact"/>
            </w:pPr>
            <w:r>
              <w:rPr>
                <w:rFonts w:hint="eastAsia"/>
              </w:rPr>
              <w:t xml:space="preserve">天然ガス価格</w:t>
            </w:r>
            <w:r>
              <w:t xml:space="preserve"> </w:t>
            </w:r>
            <w:r>
              <w:rPr>
                <w:rFonts w:hint="eastAsia"/>
              </w:rPr>
              <w:t xml:space="preserve">豊富な</w:t>
            </w:r>
          </w:p>
        </w:tc>
        <w:tc>
          <w:tcPr/>
          <w:p>
            <w:pPr>
              <w:pStyle w:val="Compact"/>
            </w:pPr>
            <w:r>
              <w:rPr>
                <w:rFonts w:hint="eastAsia"/>
              </w:rPr>
              <w:t xml:space="preserve">供給、中程度の価格</w:t>
            </w:r>
            <w:r>
              <w:t xml:space="preserve"> </w:t>
            </w:r>
            <w:r>
              <w:rPr>
                <w:rFonts w:hint="eastAsia"/>
              </w:rPr>
              <w:t xml:space="preserve">輸出需要または</w:t>
            </w:r>
          </w:p>
        </w:tc>
        <w:tc>
          <w:tcPr/>
          <w:p>
            <w:pPr>
              <w:pStyle w:val="Compact"/>
              <w:jc w:val="left"/>
            </w:pPr>
            <w:r>
              <w:rPr>
                <w:rFonts w:hint="eastAsia"/>
              </w:rPr>
              <w:t xml:space="preserve">混乱により価格上昇</w:t>
            </w:r>
            <w:r>
              <w:t xml:space="preserve"> </w:t>
            </w:r>
            <w:r>
              <w:rPr>
                <w:rFonts w:hint="eastAsia"/>
              </w:rPr>
              <w:t xml:space="preserve">プロセス転換、CHP</w:t>
            </w:r>
          </w:p>
        </w:tc>
        <w:tc>
          <w:tcPr/>
          <w:p>
            <w:pPr>
              <w:pStyle w:val="Compact"/>
            </w:pPr>
          </w:p>
        </w:tc>
      </w:tr>
      <w:tr>
        <w:tc>
          <w:tcPr/>
          <w:p>
            <w:pPr>
              <w:pStyle w:val="Compact"/>
            </w:pPr>
            <w:r>
              <w:rPr>
                <w:rFonts w:hint="eastAsia"/>
              </w:rPr>
              <w:t xml:space="preserve">生産需要</w:t>
            </w:r>
            <w:r>
              <w:t xml:space="preserve"> </w:t>
            </w:r>
            <w:r>
              <w:rPr>
                <w:rFonts w:hint="eastAsia"/>
              </w:rPr>
              <w:t xml:space="preserve">横ばいま</w:t>
            </w:r>
          </w:p>
        </w:tc>
        <w:tc>
          <w:tcPr/>
          <w:p>
            <w:pPr>
              <w:pStyle w:val="Compact"/>
            </w:pPr>
            <w:r>
              <w:rPr>
                <w:rFonts w:hint="eastAsia"/>
              </w:rPr>
              <w:t xml:space="preserve">たは減少</w:t>
            </w:r>
            <w:r>
              <w:t xml:space="preserve"> </w:t>
            </w:r>
            <w:r>
              <w:rPr>
                <w:rFonts w:hint="eastAsia"/>
              </w:rPr>
              <w:t xml:space="preserve">主要顧客</w:t>
            </w:r>
          </w:p>
        </w:tc>
        <w:tc>
          <w:tcPr/>
          <w:p>
            <w:pPr>
              <w:pStyle w:val="Compact"/>
              <w:jc w:val="left"/>
            </w:pPr>
            <w:r>
              <w:rPr>
                <w:rFonts w:hint="eastAsia"/>
              </w:rPr>
              <w:t xml:space="preserve">受注、18%成長</w:t>
            </w:r>
            <w:r>
              <w:t xml:space="preserve"> </w:t>
            </w:r>
            <w:r>
              <w:rPr>
                <w:rFonts w:hint="eastAsia"/>
              </w:rPr>
              <w:t xml:space="preserve">工場規模、移転、太</w:t>
            </w:r>
          </w:p>
        </w:tc>
        <w:tc>
          <w:tcPr/>
          <w:p>
            <w:pPr>
              <w:pStyle w:val="Compact"/>
            </w:pPr>
            <w:r>
              <w:rPr>
                <w:rFonts w:hint="eastAsia"/>
              </w:rPr>
              <w:t xml:space="preserve">陽光規模</w:t>
            </w:r>
          </w:p>
        </w:tc>
      </w:tr>
      <w:tr>
        <w:tc>
          <w:tcPr/>
          <w:p>
            <w:pPr>
              <w:pStyle w:val="Compact"/>
            </w:pPr>
            <w:r>
              <w:rPr>
                <w:rFonts w:hint="eastAsia"/>
              </w:rPr>
              <w:t xml:space="preserve">顧客の排出量要件</w:t>
            </w:r>
            <w:r>
              <w:t xml:space="preserve"> </w:t>
            </w:r>
            <w:r>
              <w:rPr>
                <w:rFonts w:hint="eastAsia"/>
              </w:rPr>
              <w:t xml:space="preserve">任意の報告</w:t>
            </w:r>
          </w:p>
        </w:tc>
        <w:tc>
          <w:tcPr/>
          <w:p>
            <w:pPr>
              <w:pStyle w:val="Compact"/>
            </w:pPr>
            <w:r>
              <w:rPr>
                <w:rFonts w:hint="eastAsia"/>
              </w:rPr>
              <w:t xml:space="preserve">拘束力のある調達基準</w:t>
            </w:r>
          </w:p>
        </w:tc>
        <w:tc>
          <w:tcPr/>
          <w:p>
            <w:pPr>
              <w:pStyle w:val="Compact"/>
              <w:jc w:val="left"/>
            </w:pPr>
            <w:r>
              <w:rPr>
                <w:rFonts w:hint="eastAsia"/>
              </w:rPr>
              <w:t xml:space="preserve">天然ガス、移転、再生可能エネルギー調</w:t>
            </w:r>
          </w:p>
        </w:tc>
        <w:tc>
          <w:tcPr/>
          <w:p>
            <w:pPr>
              <w:pStyle w:val="Compact"/>
            </w:pPr>
            <w:r>
              <w:rPr>
                <w:rFonts w:hint="eastAsia"/>
              </w:rPr>
              <w:t xml:space="preserve">達</w:t>
            </w:r>
          </w:p>
        </w:tc>
      </w:tr>
      <w:tr>
        <w:tc>
          <w:tcPr/>
          <w:p>
            <w:pPr>
              <w:pStyle w:val="Compact"/>
            </w:pPr>
            <w:r>
              <w:rPr>
                <w:rFonts w:hint="eastAsia"/>
              </w:rPr>
              <w:t xml:space="preserve">系統連系のタイミング</w:t>
            </w:r>
          </w:p>
        </w:tc>
        <w:tc>
          <w:tcPr/>
          <w:p>
            <w:pPr>
              <w:pStyle w:val="Compact"/>
            </w:pPr>
            <w:r>
              <w:rPr>
                <w:rFonts w:hint="eastAsia"/>
              </w:rPr>
              <w:t xml:space="preserve">18か月</w:t>
            </w:r>
            <w:r>
              <w:t xml:space="preserve"> </w:t>
            </w:r>
            <w:r>
              <w:rPr>
                <w:rFonts w:hint="eastAsia"/>
              </w:rPr>
              <w:t xml:space="preserve">4年以上、大規</w:t>
            </w:r>
          </w:p>
        </w:tc>
        <w:tc>
          <w:tcPr/>
          <w:p>
            <w:pPr>
              <w:pStyle w:val="Compact"/>
              <w:jc w:val="left"/>
            </w:pPr>
            <w:r>
              <w:rPr>
                <w:rFonts w:hint="eastAsia"/>
              </w:rPr>
              <w:t xml:space="preserve">模なアップグレード費用</w:t>
            </w:r>
            <w:r>
              <w:t xml:space="preserve"> </w:t>
            </w:r>
            <w:r>
              <w:rPr>
                <w:rFonts w:hint="eastAsia"/>
              </w:rPr>
              <w:t xml:space="preserve">太陽光と蓄電池</w:t>
            </w:r>
          </w:p>
        </w:tc>
        <w:tc>
          <w:tcPr/>
          <w:p>
            <w:pPr>
              <w:pStyle w:val="Compact"/>
            </w:pPr>
          </w:p>
        </w:tc>
      </w:tr>
      <w:tr>
        <w:tc>
          <w:tcPr/>
          <w:p>
            <w:pPr>
              <w:pStyle w:val="Compact"/>
            </w:pPr>
            <w:r>
              <w:rPr>
                <w:rFonts w:hint="eastAsia"/>
              </w:rPr>
              <w:t xml:space="preserve">新プロセス技術</w:t>
            </w:r>
            <w:r>
              <w:t xml:space="preserve"> </w:t>
            </w:r>
            <w:r>
              <w:rPr>
                <w:rFonts w:hint="eastAsia"/>
              </w:rPr>
              <w:t xml:space="preserve">認定成功</w:t>
            </w:r>
          </w:p>
        </w:tc>
        <w:tc>
          <w:tcPr/>
          <w:p>
            <w:pPr>
              <w:pStyle w:val="Compact"/>
            </w:pPr>
            <w:r>
              <w:rPr>
                <w:rFonts w:hint="eastAsia"/>
              </w:rPr>
              <w:t xml:space="preserve">遅延または技術的失</w:t>
            </w:r>
          </w:p>
        </w:tc>
        <w:tc>
          <w:tcPr/>
          <w:p>
            <w:pPr>
              <w:pStyle w:val="Compact"/>
              <w:jc w:val="left"/>
            </w:pPr>
            <w:r>
              <w:rPr>
                <w:rFonts w:hint="eastAsia"/>
              </w:rPr>
              <w:t xml:space="preserve">敗</w:t>
            </w:r>
            <w:r>
              <w:t xml:space="preserve"> </w:t>
            </w:r>
            <w:r>
              <w:rPr>
                <w:rFonts w:hint="eastAsia"/>
              </w:rPr>
              <w:t xml:space="preserve">オーブン転換、能力計画</w:t>
            </w:r>
          </w:p>
        </w:tc>
        <w:tc>
          <w:tcPr/>
          <w:p>
            <w:pPr>
              <w:pStyle w:val="Compact"/>
            </w:pPr>
          </w:p>
        </w:tc>
      </w:tr>
      <w:tr>
        <w:tc>
          <w:tcPr/>
          <w:p>
            <w:pPr>
              <w:pStyle w:val="Compact"/>
            </w:pPr>
            <w:r>
              <w:rPr>
                <w:rFonts w:hint="eastAsia"/>
              </w:rPr>
              <w:t xml:space="preserve">電力会社の停電リスク</w:t>
            </w:r>
          </w:p>
        </w:tc>
        <w:tc>
          <w:tcPr/>
          <w:p>
            <w:pPr>
              <w:pStyle w:val="Compact"/>
            </w:pPr>
            <w:r>
              <w:rPr>
                <w:rFonts w:hint="eastAsia"/>
              </w:rPr>
              <w:t xml:space="preserve">過去の信頼性が継続</w:t>
            </w:r>
            <w:r>
              <w:t xml:space="preserve"> </w:t>
            </w:r>
            <w:r>
              <w:rPr>
                <w:rFonts w:hint="eastAsia"/>
              </w:rPr>
              <w:t xml:space="preserve">系統混雑により</w:t>
            </w:r>
          </w:p>
        </w:tc>
        <w:tc>
          <w:tcPr/>
          <w:p>
            <w:pPr>
              <w:pStyle w:val="Compact"/>
              <w:jc w:val="left"/>
            </w:pPr>
            <w:r>
              <w:rPr>
                <w:rFonts w:hint="eastAsia"/>
              </w:rPr>
              <w:t xml:space="preserve">停電が増加</w:t>
            </w:r>
            <w:r>
              <w:t xml:space="preserve"> </w:t>
            </w:r>
            <w:r>
              <w:rPr>
                <w:rFonts w:hint="eastAsia"/>
              </w:rPr>
              <w:t xml:space="preserve">蓄電池、マイクログリッ</w:t>
            </w:r>
          </w:p>
        </w:tc>
        <w:tc>
          <w:tcPr/>
          <w:p>
            <w:pPr>
              <w:pStyle w:val="Compact"/>
            </w:pPr>
            <w:r>
              <w:rPr>
                <w:rFonts w:hint="eastAsia"/>
              </w:rPr>
              <w:t xml:space="preserve">ド、移転</w:t>
            </w:r>
          </w:p>
        </w:tc>
      </w:tr>
    </w:tbl>
    <w:bookmarkEnd w:id="23"/>
    <w:bookmarkEnd w:id="24"/>
    <w:bookmarkStart w:id="25" w:name="コミットする前に学ぶ"/>
    <w:p>
      <w:pPr>
        <w:pStyle w:val="Heading1"/>
      </w:pPr>
      <w:r>
        <w:rPr>
          <w:rFonts w:hint="eastAsia"/>
        </w:rPr>
        <w:t xml:space="preserve">コミットする前に学ぶ</w:t>
      </w:r>
    </w:p>
    <w:p>
      <w:pPr>
        <w:pStyle w:val="FirstParagraph"/>
      </w:pPr>
      <w:r>
        <w:rPr>
          <w:rFonts w:hint="eastAsia"/>
        </w:rPr>
        <w:t xml:space="preserve">マルケスは、リッジウェイが情報を生み出す行動と、不可逆的に会社をコミットさせる行動を切り分けるべきだと提案した。生産ラインのサブメータリング、料金体系の選択肢交渉、屋根と系統連系の調査実施、自動ピーク制御のテスト、小型オーブン1基の転換は、有用な情報をもたらす可能性があった。他州の土地に対するオプションを確保することで、建設を認可することなく移転という選択肢を温存できる。</w:t>
      </w:r>
    </w:p>
    <w:p>
      <w:pPr>
        <w:pStyle w:val="BodyText"/>
      </w:pPr>
      <w:r>
        <w:rPr>
          <w:rFonts w:hint="eastAsia"/>
        </w:rPr>
        <w:t xml:space="preserve">しかし、学習にもコストがかかった。包括的なエンジニアリングおよび立地プログラムは、18か月にわたり680万ドルと試算された。太陽光開発業者は価格を保持するための保証金を求めていた。最も魅力的な移転候補地は、今後6か月間しか確保されない見込みだった。電力会社の系統連系待ち行列は増加していた。確実性を待つこと自体が、リッジウェイの選択肢を狭める可能性があった。</w:t>
      </w:r>
    </w:p>
    <w:bookmarkEnd w:id="25"/>
    <w:bookmarkStart w:id="27" w:name="提案された調査プログラム"/>
    <w:p>
      <w:pPr>
        <w:pStyle w:val="Heading1"/>
      </w:pPr>
      <w:r>
        <w:rPr>
          <w:rFonts w:hint="eastAsia"/>
        </w:rPr>
        <w:t xml:space="preserve">提案された調査プログラム</w:t>
      </w:r>
    </w:p>
    <w:p>
      <w:pPr>
        <w:pStyle w:val="FirstParagraph"/>
      </w:pPr>
      <w:r>
        <w:rPr>
          <w:rFonts w:hint="eastAsia"/>
        </w:rPr>
        <w:t xml:space="preserve">経営委員会は、提案する作業プログラムをまとめた。取締役会はそのすべてを承認することも、一部を選択することも、あるいは経営陣に取り組みの再設計を求めることもできる。</w:t>
      </w:r>
    </w:p>
    <w:bookmarkStart w:id="26" w:name="図-6.-提案された調査とパイロット"/>
    <w:p>
      <w:pPr>
        <w:pStyle w:val="Heading2"/>
      </w:pPr>
      <w:r>
        <w:rPr>
          <w:rFonts w:hint="eastAsia"/>
        </w:rPr>
        <w:t xml:space="preserve">図</w:t>
      </w:r>
      <w:r>
        <w:t xml:space="preserve"> 6. </w:t>
      </w:r>
      <w:r>
        <w:rPr>
          <w:rFonts w:hint="eastAsia"/>
        </w:rPr>
        <w:t xml:space="preserve">提案された調査とパイロット</w:t>
      </w:r>
    </w:p>
    <w:tbl>
      <w:tblPr>
        <w:tblStyle w:val="Table"/>
        <w:tblW w:type="pct" w:w="4943"/>
        <w:tblLayout w:type="fixed"/>
        <w:tblLook w:firstRow="1" w:lastRow="0" w:firstColumn="0" w:lastColumn="0" w:noHBand="0" w:noVBand="0" w:val="0020"/>
      </w:tblPr>
      <w:tblGrid>
        <w:gridCol w:w="1866"/>
        <w:gridCol w:w="455"/>
        <w:gridCol w:w="819"/>
        <w:gridCol w:w="3049"/>
        <w:gridCol w:w="1638"/>
      </w:tblGrid>
      <w:tr>
        <w:trPr>
          <w:tblHeader w:val="on"/>
        </w:trPr>
        <w:tc>
          <w:tcPr/>
          <w:p>
            <w:pPr>
              <w:pStyle w:val="Compact"/>
            </w:pPr>
            <w:r>
              <w:rPr>
                <w:rFonts w:hint="eastAsia"/>
              </w:rPr>
              <w:t xml:space="preserve">取り組み</w:t>
            </w:r>
            <w:r>
              <w:t xml:space="preserve"> </w:t>
            </w:r>
            <w:r>
              <w:rPr>
                <w:rFonts w:hint="eastAsia"/>
              </w:rPr>
              <w:t xml:space="preserve">費</w:t>
            </w:r>
          </w:p>
        </w:tc>
        <w:tc>
          <w:tcPr/>
          <w:p>
            <w:pPr>
              <w:pStyle w:val="Compact"/>
            </w:pPr>
            <w:r>
              <w:rPr>
                <w:rFonts w:hint="eastAsia"/>
              </w:rPr>
              <w:t xml:space="preserve">用</w:t>
            </w:r>
            <w:r>
              <w:t xml:space="preserve"> </w:t>
            </w:r>
            <w:r>
              <w:rPr>
                <w:rFonts w:hint="eastAsia"/>
              </w:rPr>
              <w:t xml:space="preserve">期</w:t>
            </w:r>
          </w:p>
        </w:tc>
        <w:tc>
          <w:tcPr/>
          <w:p>
            <w:pPr>
              <w:pStyle w:val="Compact"/>
            </w:pPr>
            <w:r>
              <w:rPr>
                <w:rFonts w:hint="eastAsia"/>
              </w:rPr>
              <w:t xml:space="preserve">間</w:t>
            </w:r>
            <w:r>
              <w:t xml:space="preserve"> </w:t>
            </w:r>
            <w:r>
              <w:rPr>
                <w:rFonts w:hint="eastAsia"/>
              </w:rPr>
              <w:t xml:space="preserve">主</w:t>
            </w:r>
          </w:p>
        </w:tc>
        <w:tc>
          <w:tcPr/>
          <w:p>
            <w:pPr>
              <w:pStyle w:val="Compact"/>
            </w:pPr>
            <w:r>
              <w:rPr>
                <w:rFonts w:hint="eastAsia"/>
              </w:rPr>
              <w:t xml:space="preserve">要な学習目的</w:t>
            </w:r>
            <w:r>
              <w:t xml:space="preserve"> </w:t>
            </w:r>
            <w:r>
              <w:rPr>
                <w:rFonts w:hint="eastAsia"/>
              </w:rPr>
              <w:t xml:space="preserve">生じ得るコミッ</w:t>
            </w:r>
          </w:p>
        </w:tc>
        <w:tc>
          <w:tcPr/>
          <w:p>
            <w:pPr>
              <w:pStyle w:val="Compact"/>
              <w:jc w:val="left"/>
            </w:pPr>
            <w:r>
              <w:t xml:space="preserve">トメント</w:t>
            </w:r>
          </w:p>
        </w:tc>
      </w:tr>
      <w:tr>
        <w:tc>
          <w:tcPr/>
          <w:p>
            <w:pPr>
              <w:pStyle w:val="Compact"/>
            </w:pPr>
            <w:r>
              <w:rPr>
                <w:rFonts w:hint="eastAsia"/>
              </w:rPr>
              <w:t xml:space="preserve">区間データおよびプロセスエネルギー調査</w:t>
            </w:r>
          </w:p>
        </w:tc>
        <w:tc>
          <w:tcPr/>
          <w:p>
            <w:pPr>
              <w:pStyle w:val="Compact"/>
            </w:pPr>
            <w:r>
              <w:t xml:space="preserve">$0.55M</w:t>
            </w:r>
          </w:p>
        </w:tc>
        <w:tc>
          <w:tcPr/>
          <w:p>
            <w:pPr>
              <w:pStyle w:val="Compact"/>
            </w:pPr>
            <w:r>
              <w:rPr>
                <w:rFonts w:hint="eastAsia"/>
              </w:rPr>
              <w:t xml:space="preserve">4か月</w:t>
            </w:r>
            <w:r>
              <w:t xml:space="preserve"> </w:t>
            </w:r>
            <w:r>
              <w:rPr>
                <w:rFonts w:hint="eastAsia"/>
              </w:rPr>
              <w:t xml:space="preserve">負荷</w:t>
            </w:r>
          </w:p>
        </w:tc>
        <w:tc>
          <w:tcPr/>
          <w:p>
            <w:pPr>
              <w:pStyle w:val="Compact"/>
            </w:pPr>
            <w:r>
              <w:rPr>
                <w:rFonts w:hint="eastAsia"/>
              </w:rPr>
              <w:t xml:space="preserve">、ピーク、柔軟性、回避可能な消費を特定</w:t>
            </w:r>
            <w:r>
              <w:t xml:space="preserve"> </w:t>
            </w:r>
            <w:r>
              <w:rPr>
                <w:rFonts w:hint="eastAsia"/>
              </w:rPr>
              <w:t xml:space="preserve">最小限</w:t>
            </w:r>
          </w:p>
        </w:tc>
        <w:tc>
          <w:tcPr/>
          <w:p>
            <w:pPr>
              <w:pStyle w:val="Compact"/>
            </w:pPr>
          </w:p>
        </w:tc>
      </w:tr>
      <w:tr>
        <w:tc>
          <w:tcPr/>
          <w:p>
            <w:pPr>
              <w:pStyle w:val="Compact"/>
            </w:pPr>
            <w:r>
              <w:rPr>
                <w:rFonts w:hint="eastAsia"/>
              </w:rPr>
              <w:t xml:space="preserve">生産スケジューリングのパイロット</w:t>
            </w:r>
          </w:p>
        </w:tc>
        <w:tc>
          <w:tcPr/>
          <w:p>
            <w:pPr>
              <w:pStyle w:val="Compact"/>
            </w:pPr>
            <w:r>
              <w:t xml:space="preserve">$0.3</w:t>
            </w:r>
          </w:p>
        </w:tc>
        <w:tc>
          <w:tcPr/>
          <w:p>
            <w:pPr>
              <w:pStyle w:val="Compact"/>
            </w:pPr>
            <w:r>
              <w:t xml:space="preserve">5M </w:t>
            </w:r>
            <w:r>
              <w:rPr>
                <w:rFonts w:hint="eastAsia"/>
              </w:rPr>
              <w:t xml:space="preserve">6か月</w:t>
            </w:r>
          </w:p>
        </w:tc>
        <w:tc>
          <w:tcPr/>
          <w:p>
            <w:pPr>
              <w:pStyle w:val="Compact"/>
            </w:pPr>
            <w:r>
              <w:rPr>
                <w:rFonts w:hint="eastAsia"/>
              </w:rPr>
              <w:t xml:space="preserve">エネルギーピークと納期実績のトレードオフを測定</w:t>
            </w:r>
            <w:r>
              <w:t xml:space="preserve"> </w:t>
            </w:r>
            <w:r>
              <w:rPr>
                <w:rFonts w:hint="eastAsia"/>
              </w:rPr>
              <w:t xml:space="preserve">操業上の混乱</w:t>
            </w:r>
          </w:p>
        </w:tc>
        <w:tc>
          <w:tcPr/>
          <w:p>
            <w:pPr>
              <w:pStyle w:val="Compact"/>
            </w:pPr>
          </w:p>
        </w:tc>
      </w:tr>
      <w:tr>
        <w:tc>
          <w:tcPr/>
          <w:p>
            <w:pPr>
              <w:pStyle w:val="Compact"/>
            </w:pPr>
            <w:r>
              <w:rPr>
                <w:rFonts w:hint="eastAsia"/>
              </w:rPr>
              <w:t xml:space="preserve">太陽光/系統連系エンジニアリング</w:t>
            </w:r>
            <w:r>
              <w:t xml:space="preserve"> $</w:t>
            </w:r>
          </w:p>
        </w:tc>
        <w:tc>
          <w:tcPr/>
          <w:p>
            <w:pPr>
              <w:pStyle w:val="Compact"/>
            </w:pPr>
            <w:r>
              <w:t xml:space="preserve">0.80M 9-</w:t>
            </w:r>
          </w:p>
        </w:tc>
        <w:tc>
          <w:tcPr/>
          <w:p>
            <w:pPr>
              <w:pStyle w:val="Compact"/>
            </w:pPr>
            <w:r>
              <w:rPr>
                <w:rFonts w:hint="eastAsia"/>
              </w:rPr>
              <w:t xml:space="preserve">18か月</w:t>
            </w:r>
            <w:r>
              <w:t xml:space="preserve"> </w:t>
            </w:r>
            <w:r>
              <w:rPr>
                <w:rFonts w:hint="eastAsia"/>
              </w:rPr>
              <w:t xml:space="preserve">実行可</w:t>
            </w:r>
          </w:p>
        </w:tc>
        <w:tc>
          <w:tcPr/>
          <w:p>
            <w:pPr>
              <w:pStyle w:val="Compact"/>
            </w:pPr>
            <w:r>
              <w:rPr>
                <w:rFonts w:hint="eastAsia"/>
              </w:rPr>
              <w:t xml:space="preserve">能な規模、アップグレード費用、スケジュールを確認</w:t>
            </w:r>
            <w:r>
              <w:t xml:space="preserve"> </w:t>
            </w:r>
            <w:r>
              <w:rPr>
                <w:rFonts w:hint="eastAsia"/>
              </w:rPr>
              <w:t xml:space="preserve">保</w:t>
            </w:r>
          </w:p>
        </w:tc>
        <w:tc>
          <w:tcPr/>
          <w:p>
            <w:pPr>
              <w:pStyle w:val="Compact"/>
              <w:jc w:val="left"/>
            </w:pPr>
            <w:r>
              <w:rPr>
                <w:rFonts w:hint="eastAsia"/>
              </w:rPr>
              <w:t xml:space="preserve">証金と待ち行列上の地位</w:t>
            </w:r>
          </w:p>
        </w:tc>
      </w:tr>
      <w:tr>
        <w:tc>
          <w:tcPr/>
          <w:p>
            <w:pPr>
              <w:pStyle w:val="Compact"/>
            </w:pPr>
            <w:r>
              <w:t xml:space="preserve">2MW / 8MWh </w:t>
            </w:r>
            <w:r>
              <w:rPr>
                <w:rFonts w:hint="eastAsia"/>
              </w:rPr>
              <w:t xml:space="preserve">蓄電池パイロット</w:t>
            </w:r>
            <w:r>
              <w:br/>
            </w:r>
          </w:p>
        </w:tc>
        <w:tc>
          <w:tcPr/>
          <w:p>
            <w:pPr>
              <w:pStyle w:val="Compact"/>
            </w:pPr>
            <w:r>
              <w:t xml:space="preserve">$4.2M 1</w:t>
            </w:r>
          </w:p>
        </w:tc>
        <w:tc>
          <w:tcPr/>
          <w:p>
            <w:pPr>
              <w:pStyle w:val="Compact"/>
            </w:pPr>
            <w:r>
              <w:rPr>
                <w:rFonts w:hint="eastAsia"/>
              </w:rPr>
              <w:t xml:space="preserve">2か月</w:t>
            </w:r>
            <w:r>
              <w:t xml:space="preserve"> ピー</w:t>
            </w:r>
          </w:p>
        </w:tc>
        <w:tc>
          <w:tcPr/>
          <w:p>
            <w:pPr>
              <w:pStyle w:val="Compact"/>
            </w:pPr>
            <w:r>
              <w:rPr>
                <w:rFonts w:hint="eastAsia"/>
              </w:rPr>
              <w:t xml:space="preserve">ク予測、制御、劣化、レジリエンスを検証</w:t>
            </w:r>
            <w:r>
              <w:t xml:space="preserve"> </w:t>
            </w:r>
            <w:r>
              <w:rPr>
                <w:rFonts w:hint="eastAsia"/>
              </w:rPr>
              <w:t xml:space="preserve">再販価値が不確実な設備</w:t>
            </w:r>
          </w:p>
        </w:tc>
        <w:tc>
          <w:tcPr/>
          <w:p>
            <w:pPr>
              <w:pStyle w:val="Compact"/>
            </w:pPr>
          </w:p>
        </w:tc>
      </w:tr>
      <w:tr>
        <w:tc>
          <w:tcPr/>
          <w:p>
            <w:pPr>
              <w:pStyle w:val="Compact"/>
            </w:pPr>
            <w:r>
              <w:rPr>
                <w:rFonts w:hint="eastAsia"/>
              </w:rPr>
              <w:t xml:space="preserve">単一オーブンのガス転換</w:t>
            </w:r>
            <w:r>
              <w:t xml:space="preserve"> $1.6</w:t>
            </w:r>
          </w:p>
        </w:tc>
        <w:tc>
          <w:tcPr/>
          <w:p>
            <w:pPr>
              <w:pStyle w:val="Compact"/>
            </w:pPr>
            <w:r>
              <w:t xml:space="preserve">M 12-18</w:t>
            </w:r>
          </w:p>
        </w:tc>
        <w:tc>
          <w:tcPr/>
          <w:p>
            <w:pPr>
              <w:pStyle w:val="Compact"/>
            </w:pPr>
            <w:r>
              <w:rPr>
                <w:rFonts w:hint="eastAsia"/>
              </w:rPr>
              <w:t xml:space="preserve">か月</w:t>
            </w:r>
            <w:r>
              <w:t xml:space="preserve"> </w:t>
            </w:r>
            <w:r>
              <w:rPr>
                <w:rFonts w:hint="eastAsia"/>
              </w:rPr>
              <w:t xml:space="preserve">製品品質</w:t>
            </w:r>
          </w:p>
        </w:tc>
        <w:tc>
          <w:tcPr/>
          <w:p>
            <w:pPr>
              <w:pStyle w:val="Compact"/>
            </w:pPr>
            <w:r>
              <w:rPr>
                <w:rFonts w:hint="eastAsia"/>
              </w:rPr>
              <w:t xml:space="preserve">、燃料削減、許認可、排出量を検証</w:t>
            </w:r>
            <w:r>
              <w:t xml:space="preserve"> </w:t>
            </w:r>
            <w:r>
              <w:rPr>
                <w:rFonts w:hint="eastAsia"/>
              </w:rPr>
              <w:t xml:space="preserve">プロセス固有の資産</w:t>
            </w:r>
          </w:p>
        </w:tc>
        <w:tc>
          <w:tcPr/>
          <w:p>
            <w:pPr>
              <w:pStyle w:val="Compact"/>
            </w:pPr>
          </w:p>
        </w:tc>
      </w:tr>
      <w:tr>
        <w:tc>
          <w:tcPr/>
          <w:p>
            <w:pPr>
              <w:pStyle w:val="Compact"/>
            </w:pPr>
            <w:r>
              <w:rPr>
                <w:rFonts w:hint="eastAsia"/>
              </w:rPr>
              <w:t xml:space="preserve">代替立地のデューデリジェンス</w:t>
            </w:r>
          </w:p>
        </w:tc>
        <w:tc>
          <w:tcPr/>
          <w:p>
            <w:pPr>
              <w:pStyle w:val="Compact"/>
            </w:pPr>
            <w:r>
              <w:t xml:space="preserve">$1.1M</w:t>
            </w:r>
          </w:p>
        </w:tc>
        <w:tc>
          <w:tcPr/>
          <w:p>
            <w:pPr>
              <w:pStyle w:val="Compact"/>
            </w:pPr>
            <w:r>
              <w:rPr>
                <w:rFonts w:hint="eastAsia"/>
              </w:rPr>
              <w:t xml:space="preserve">6か月</w:t>
            </w:r>
            <w:r>
              <w:t xml:space="preserve"> </w:t>
            </w:r>
            <w:r>
              <w:rPr>
                <w:rFonts w:hint="eastAsia"/>
              </w:rPr>
              <w:t xml:space="preserve">公益</w:t>
            </w:r>
          </w:p>
        </w:tc>
        <w:tc>
          <w:tcPr/>
          <w:p>
            <w:pPr>
              <w:pStyle w:val="Compact"/>
            </w:pPr>
            <w:r>
              <w:rPr>
                <w:rFonts w:hint="eastAsia"/>
              </w:rPr>
              <w:t xml:space="preserve">事業、労働力、優遇措置、物流、許認可を検証</w:t>
            </w:r>
            <w:r>
              <w:t xml:space="preserve"> </w:t>
            </w:r>
            <w:r>
              <w:rPr>
                <w:rFonts w:hint="eastAsia"/>
              </w:rPr>
              <w:t xml:space="preserve">移転の可能性を示唆</w:t>
            </w:r>
          </w:p>
        </w:tc>
        <w:tc>
          <w:tcPr/>
          <w:p>
            <w:pPr>
              <w:pStyle w:val="Compact"/>
            </w:pPr>
          </w:p>
        </w:tc>
      </w:tr>
      <w:tr>
        <w:tc>
          <w:tcPr/>
          <w:p>
            <w:pPr>
              <w:pStyle w:val="Compact"/>
            </w:pPr>
            <w:r>
              <w:rPr>
                <w:rFonts w:hint="eastAsia"/>
              </w:rPr>
              <w:t xml:space="preserve">リバーベンドでの土地オプション</w:t>
            </w:r>
          </w:p>
        </w:tc>
        <w:tc>
          <w:tcPr/>
          <w:p>
            <w:pPr>
              <w:pStyle w:val="Compact"/>
            </w:pPr>
            <w:r>
              <w:t xml:space="preserve">$2.</w:t>
            </w:r>
          </w:p>
        </w:tc>
        <w:tc>
          <w:tcPr/>
          <w:p>
            <w:pPr>
              <w:pStyle w:val="Compact"/>
            </w:pPr>
            <w:r>
              <w:t xml:space="preserve">5M </w:t>
            </w:r>
            <w:r>
              <w:rPr>
                <w:rFonts w:hint="eastAsia"/>
              </w:rPr>
              <w:t xml:space="preserve">18か月のオプ</w:t>
            </w:r>
          </w:p>
        </w:tc>
        <w:tc>
          <w:tcPr/>
          <w:p>
            <w:pPr>
              <w:pStyle w:val="Compact"/>
            </w:pPr>
            <w:r>
              <w:t xml:space="preserve">ション </w:t>
            </w:r>
            <w:r>
              <w:rPr>
                <w:rFonts w:hint="eastAsia"/>
              </w:rPr>
              <w:t xml:space="preserve">分析継続中に希望立地を温存</w:t>
            </w:r>
            <w:r>
              <w:t xml:space="preserve"> オプショ</w:t>
            </w:r>
          </w:p>
        </w:tc>
        <w:tc>
          <w:tcPr/>
          <w:p>
            <w:pPr>
              <w:pStyle w:val="Compact"/>
              <w:jc w:val="left"/>
            </w:pPr>
            <w:r>
              <w:rPr>
                <w:rFonts w:hint="eastAsia"/>
              </w:rPr>
              <w:t xml:space="preserve">ン料は返金不可</w:t>
            </w:r>
          </w:p>
        </w:tc>
      </w:tr>
    </w:tbl>
    <w:p>
      <w:pPr>
        <w:pStyle w:val="BodyText"/>
      </w:pPr>
      <w:r>
        <w:rPr>
          <w:rFonts w:hint="eastAsia"/>
        </w:rPr>
        <w:t xml:space="preserve">これらの取り組みは独立していなかった。スケジューリングパイロットは、蓄電池の見かけ上の価値を低下させる可能性があった。新しい低温プロセスの認定成功は、電力消費とガス転換の理由の両方を減少させる可能性があった。移転の決定は、ハミルトンにおける主要投資を座礁させる可能性があった。他方で、移転の可能性を理由に効率化プロジェクトを遅らせることは、何年にもわたる回避可能なコストをもたらす可能性があった。</w:t>
      </w:r>
    </w:p>
    <w:bookmarkEnd w:id="26"/>
    <w:bookmarkEnd w:id="27"/>
    <w:bookmarkStart w:id="28" w:name="決定の組み立て"/>
    <w:p>
      <w:pPr>
        <w:pStyle w:val="Heading1"/>
      </w:pPr>
      <w:r>
        <w:rPr>
          <w:rFonts w:hint="eastAsia"/>
        </w:rPr>
        <w:t xml:space="preserve">決定の組み立て</w:t>
      </w:r>
    </w:p>
    <w:p>
      <w:pPr>
        <w:pStyle w:val="FirstParagraph"/>
      </w:pPr>
      <w:r>
        <w:rPr>
          <w:rFonts w:hint="eastAsia"/>
        </w:rPr>
        <w:t xml:space="preserve">マルケスは、4つのゲートを備えた段階的プロセスを検討した。第1段階では、請求額増加の原因を診断し、共通のベースラインを確立する。第2段階では、技術的、規制的、運用的な実行可能性の観点から選択肢をふるいにかける。第3段階では、パイロットを認可し、選択された選択肢を温存する。第4段階では、長期的なポートフォリオまたは製造ネットワークの移行に対して資本をコミットする。</w:t>
      </w:r>
    </w:p>
    <w:p>
      <w:pPr>
        <w:pStyle w:val="BodyText"/>
      </w:pPr>
      <w:r>
        <w:rPr>
          <w:rFonts w:hint="eastAsia"/>
        </w:rPr>
        <w:t xml:space="preserve">複数の取締役はこの見かけ上の複雑さを好まなかった。ある取締役は、リッジウェイは速やかにより低コストの州へ移転すべきだと主張した。別の取締役は、製造業各社が移転による節約を過大評価し、混乱を過小評価するのが常だと考えていた。第3の取締役は、開発業者が資金調達できるのであれば、なぜリッジウェイが太陽光資産を保有すべきなのかと問うた。議長は、理解可能で、測定可能で、明確な将来のトリガーに結びついた提言を求めていた。</w:t>
      </w:r>
    </w:p>
    <w:bookmarkEnd w:id="28"/>
    <w:bookmarkStart w:id="29" w:name="会議前夜"/>
    <w:p>
      <w:pPr>
        <w:pStyle w:val="Heading1"/>
      </w:pPr>
      <w:r>
        <w:rPr>
          <w:rFonts w:hint="eastAsia"/>
        </w:rPr>
        <w:t xml:space="preserve">会議前夜</w:t>
      </w:r>
    </w:p>
    <w:p>
      <w:pPr>
        <w:pStyle w:val="FirstParagraph"/>
      </w:pPr>
      <w:r>
        <w:rPr>
          <w:rFonts w:hint="eastAsia"/>
        </w:rPr>
        <w:t xml:space="preserve">水曜日の夜、マルケスは最新のプレゼンテーションを見直した。それは70枚を超えるスライドから成っていたが、選択肢についての単一のランキングは示されていなかった。財務モデルは、基本前提の下では効率化に続いて部分的なガス転換を支持していた。レジリエンス分析は太陽光と蓄電池の組み合わせを支持していた。サステナビリティ分析は、効率化、再生可能エネルギー調達、選択的な電化を支持していた。ネットワークモデルは、高料金シナリオが少なくとも7年間続かない限り、ハミルトンの維持を支持していた。不動産アドバイザーは、次回の取締役会後にリバーベンドの選択肢が利用できなくなる可能性があると警告していた。</w:t>
      </w:r>
    </w:p>
    <w:p>
      <w:pPr>
        <w:pStyle w:val="BodyText"/>
      </w:pPr>
      <w:r>
        <w:rPr>
          <w:rFonts w:hint="eastAsia"/>
        </w:rPr>
        <w:t xml:space="preserve">マルケスは、なぜこれらの分析が異なるのかを理解していた。各チームがそれぞれ異なるバージョンの問題を解いていたのである。彼女が分からなかったのは、取締役会が今すぐ単一の統合された提言を求めるべきか、それとも時間をかけて決定を明確化するために設計された一連の調査を承認すべきか、ということだった。</w:t>
      </w:r>
    </w:p>
    <w:p>
      <w:pPr>
        <w:pStyle w:val="BodyText"/>
      </w:pPr>
      <w:r>
        <w:rPr>
          <w:rFonts w:hint="eastAsia"/>
        </w:rPr>
        <w:t xml:space="preserve">午後10時14分、最高経営責任者(CEO)から最後のメッセージが届いた。「明日、私たちが何を調査すべきか、直ちに何をすべきか、そしてどのような条件が生じれば方針を変えるべきかを教えてほしい」</w:t>
      </w:r>
    </w:p>
    <w:bookmarkEnd w:id="29"/>
    <w:bookmarkStart w:id="30" w:name="討議設問"/>
    <w:p>
      <w:pPr>
        <w:pStyle w:val="Heading1"/>
      </w:pPr>
      <w:r>
        <w:rPr>
          <w:rFonts w:hint="eastAsia"/>
        </w:rPr>
        <w:t xml:space="preserve">討議設問</w:t>
      </w:r>
    </w:p>
    <w:p>
      <w:pPr>
        <w:numPr>
          <w:ilvl w:val="0"/>
          <w:numId w:val="1002"/>
        </w:numPr>
      </w:pPr>
      <w:r>
        <w:rPr>
          <w:rFonts w:hint="eastAsia"/>
        </w:rPr>
        <w:t xml:space="preserve">リッジウェイはこの決定問題をどのように定義すべきか。これは主にエネルギー調達の問題なのか、プロセス設計の問題なのか、レジリエンスの問題なのか、それとも製造ネットワークの問題なのか。</w:t>
      </w:r>
    </w:p>
    <w:p>
      <w:pPr>
        <w:numPr>
          <w:ilvl w:val="0"/>
          <w:numId w:val="1002"/>
        </w:numPr>
      </w:pPr>
      <w:r>
        <w:rPr>
          <w:rFonts w:hint="eastAsia"/>
        </w:rPr>
        <w:t xml:space="preserve">経営陣はどの業績指標を用いるべきか。どの指標が目的、制約、または診断的指標に当たるか。</w:t>
      </w:r>
    </w:p>
    <w:p>
      <w:pPr>
        <w:numPr>
          <w:ilvl w:val="0"/>
          <w:numId w:val="1002"/>
        </w:numPr>
      </w:pPr>
      <w:r>
        <w:rPr>
          <w:rFonts w:hint="eastAsia"/>
        </w:rPr>
        <w:t xml:space="preserve">各選択肢を比較する前に、リッジウェイはどのような追加データを収集すべきか。不足している情報のうち、決定を変える可能性が最も高いのはどれか。</w:t>
      </w:r>
    </w:p>
    <w:p>
      <w:pPr>
        <w:numPr>
          <w:ilvl w:val="0"/>
          <w:numId w:val="1002"/>
        </w:numPr>
      </w:pPr>
      <w:r>
        <w:rPr>
          <w:rFonts w:hint="eastAsia"/>
        </w:rPr>
        <w:t xml:space="preserve">同社は、外部要因による料金上昇と、自社の運用慣行に起因するコストとをどのように区別すべきか。</w:t>
      </w:r>
    </w:p>
    <w:p>
      <w:pPr>
        <w:numPr>
          <w:ilvl w:val="0"/>
          <w:numId w:val="1002"/>
        </w:numPr>
      </w:pPr>
      <w:r>
        <w:rPr>
          <w:rFonts w:hint="eastAsia"/>
        </w:rPr>
        <w:t xml:space="preserve">太陽光、蓄電池、天然ガス転換、移転は、互いに排他的な選択肢として評価すべきか、それともポートフォリオや段階的戦略の構成要素として評価すべきか。</w:t>
      </w:r>
    </w:p>
    <w:p>
      <w:pPr>
        <w:numPr>
          <w:ilvl w:val="0"/>
          <w:numId w:val="1002"/>
        </w:numPr>
      </w:pPr>
      <w:r>
        <w:rPr>
          <w:rFonts w:hint="eastAsia"/>
        </w:rPr>
        <w:t xml:space="preserve">提案された調査またはパイロットのうち、情報の価値が最も高いのはどれか。得られるであろう学びに対して、費用が高すぎる、あるいは遅すぎると思われるものはどれか。</w:t>
      </w:r>
    </w:p>
    <w:p>
      <w:pPr>
        <w:numPr>
          <w:ilvl w:val="0"/>
          <w:numId w:val="1002"/>
        </w:numPr>
      </w:pPr>
      <w:r>
        <w:rPr>
          <w:rFonts w:hint="eastAsia"/>
        </w:rPr>
        <w:t xml:space="preserve">どのような前提があれば移転は魅力的になるか。どのような前提があれば移転は明らかに劣ることになるか。</w:t>
      </w:r>
    </w:p>
    <w:p>
      <w:pPr>
        <w:numPr>
          <w:ilvl w:val="0"/>
          <w:numId w:val="1002"/>
        </w:numPr>
      </w:pPr>
      <w:r>
        <w:rPr>
          <w:rFonts w:hint="eastAsia"/>
        </w:rPr>
        <w:t xml:space="preserve">リッジウェイは、財務的リターンと並んで、信頼性、可逆性、排出量への露出、労働力の混乱、地域社会への影響をどのように評価すべきか。</w:t>
      </w:r>
    </w:p>
    <w:p>
      <w:pPr>
        <w:numPr>
          <w:ilvl w:val="0"/>
          <w:numId w:val="1002"/>
        </w:numPr>
      </w:pPr>
      <w:r>
        <w:rPr>
          <w:rFonts w:hint="eastAsia"/>
        </w:rPr>
        <w:t xml:space="preserve">不確実性が解消される前であっても、リッジウェイが直ちに取るべき行動は何か。どのコミットメントを先送りすべきか。</w:t>
      </w:r>
    </w:p>
    <w:p>
      <w:pPr>
        <w:numPr>
          <w:ilvl w:val="0"/>
          <w:numId w:val="1002"/>
        </w:numPr>
      </w:pPr>
      <w:r>
        <w:rPr>
          <w:rFonts w:hint="eastAsia"/>
        </w:rPr>
        <w:t xml:space="preserve">今後3年間の決定ゲートとトリガー条件の一式を設計せよ。各取り組みを拡大、停止、または方向転換させる原因となる観察事項は何か。</w:t>
      </w:r>
    </w:p>
    <w:bookmarkEnd w:id="30"/>
    <w:bookmarkStart w:id="36" w:name="決定フレーミング設問"/>
    <w:p>
      <w:pPr>
        <w:pStyle w:val="Heading1"/>
      </w:pPr>
      <w:r>
        <w:rPr>
          <w:rFonts w:hint="eastAsia"/>
        </w:rPr>
        <w:t xml:space="preserve">決定フレーミング設問</w:t>
      </w:r>
    </w:p>
    <w:p>
      <w:pPr>
        <w:numPr>
          <w:ilvl w:val="0"/>
          <w:numId w:val="1003"/>
        </w:numPr>
      </w:pPr>
      <w:r>
        <w:rPr>
          <w:rFonts w:hint="eastAsia"/>
        </w:rPr>
        <w:t xml:space="preserve">意思決定者の責任範囲を特定し記述せよ。これにより問題の範囲が設定される。</w:t>
      </w:r>
    </w:p>
    <w:p>
      <w:pPr>
        <w:numPr>
          <w:ilvl w:val="0"/>
          <w:numId w:val="1003"/>
        </w:numPr>
      </w:pPr>
      <w:hyperlink r:id="rId31">
        <w:r>
          <w:rPr>
            <w:rStyle w:val="Hyperlink"/>
          </w:rPr>
          <w:t xml:space="preserve">メトリクス・ピラミッド・ツール</w:t>
        </w:r>
      </w:hyperlink>
      <w:r>
        <w:rPr>
          <w:rFonts w:hint="eastAsia"/>
        </w:rPr>
        <w:t xml:space="preserve">を用いて、さまざまな業績指標を特定し優先順位付けせよ。指標を保持する楕円をクリックして、それが最大化すべき指標(緑)、最小化すべき指標(赤)、下限となる目標(薄緑)、上限となる目標(薄赤)、あるいは目標値(紫)のいずれであるかを特定せよ。</w:t>
      </w:r>
    </w:p>
    <w:p>
      <w:pPr>
        <w:numPr>
          <w:ilvl w:val="0"/>
          <w:numId w:val="1003"/>
        </w:numPr>
      </w:pPr>
      <w:hyperlink r:id="rId32">
        <w:r>
          <w:rPr>
            <w:rStyle w:val="Hyperlink"/>
            <w:rFonts w:hint="eastAsia"/>
          </w:rPr>
          <w:t xml:space="preserve">決定優先順位付けツール</w:t>
        </w:r>
      </w:hyperlink>
      <w:r>
        <w:rPr>
          <w:rFonts w:hint="eastAsia"/>
        </w:rPr>
        <w:t xml:space="preserve">を用いて、まずさまざまな種類の決定を列挙せよ(</w:t>
      </w:r>
      <w:hyperlink r:id="rId33">
        <w:r>
          <w:rPr>
            <w:rStyle w:val="Hyperlink"/>
            <w:rFonts w:hint="eastAsia"/>
          </w:rPr>
          <w:t xml:space="preserve">決定の種類</w:t>
        </w:r>
      </w:hyperlink>
      <w:r>
        <w:rPr>
          <w:rFonts w:hint="eastAsia"/>
        </w:rPr>
        <w:t xml:space="preserve">を手引きとして使用すること)。これらは、右側の行列の行を構成し、列は上記のピラミッドで優先順位付けされた業績指標を左から右へ順に並べたものとなる。各セルをクリックして、各指標に対する各決定の影響が高い(赤)、中程度(オレンジ)、低い(黄)、なし(白)のいずれであるかを示せ。</w:t>
      </w:r>
    </w:p>
    <w:p>
      <w:pPr>
        <w:numPr>
          <w:ilvl w:val="0"/>
          <w:numId w:val="1003"/>
        </w:numPr>
      </w:pPr>
      <w:r>
        <w:rPr>
          <w:rFonts w:hint="eastAsia"/>
        </w:rPr>
        <w:t xml:space="preserve">各行の一番左にあるハンドル(3本の棒)をつかんで上下に移動できる。最も重要な指標に最も大きな影響を与える決定が上位に来るように行を並べ替えよ。左上隅のセルには、赤とオレンジのセルが最も集中しているはずである。この時点で、あなたの研究において最も注意を払うべき決定を特定せよ。最も重要な指標に対して中程度または高い影響を持つ決定がない場合は、決定の一覧を見直せ。</w:t>
      </w:r>
    </w:p>
    <w:p>
      <w:pPr>
        <w:numPr>
          <w:ilvl w:val="0"/>
          <w:numId w:val="1003"/>
        </w:numPr>
      </w:pPr>
      <w:hyperlink r:id="rId34">
        <w:r>
          <w:rPr>
            <w:rStyle w:val="Hyperlink"/>
            <w:rFonts w:hint="eastAsia"/>
          </w:rPr>
          <w:t xml:space="preserve">不確実性優先順位付けツール</w:t>
        </w:r>
      </w:hyperlink>
      <w:r>
        <w:rPr>
          <w:rFonts w:hint="eastAsia"/>
        </w:rPr>
        <w:t xml:space="preserve">を用いて、不確実性についても同様のプロセスを繰り返し、列挙し優先順位付けせよ。これらを特定するために</w:t>
      </w:r>
      <w:hyperlink r:id="rId35">
        <w:r>
          <w:rPr>
            <w:rStyle w:val="Hyperlink"/>
            <w:rFonts w:hint="eastAsia"/>
          </w:rPr>
          <w:t xml:space="preserve">不確実性の分類</w:t>
        </w:r>
      </w:hyperlink>
      <w:r>
        <w:rPr>
          <w:rFonts w:hint="eastAsia"/>
        </w:rPr>
        <w:t xml:space="preserve">を活用せよ。</w:t>
      </w:r>
    </w:p>
    <w:p>
      <w:pPr>
        <w:numPr>
          <w:ilvl w:val="0"/>
          <w:numId w:val="1003"/>
        </w:numPr>
      </w:pPr>
      <w:r>
        <w:rPr>
          <w:rFonts w:hint="eastAsia"/>
        </w:rPr>
        <w:t xml:space="preserve">平均値として評価できる不確実性と、リスクイベントとして評価すべき不確実性とを区別することが重要である。</w:t>
      </w:r>
    </w:p>
    <w:p>
      <w:pPr>
        <w:numPr>
          <w:ilvl w:val="1"/>
          <w:numId w:val="1004"/>
        </w:numPr>
      </w:pPr>
      <w:r>
        <w:rPr>
          <w:rFonts w:hint="eastAsia"/>
        </w:rPr>
        <w:t xml:space="preserve">どの不確実性の源が、時間をかけた平均的なパフォーマンスによって捉えられるか。</w:t>
      </w:r>
    </w:p>
    <w:p>
      <w:pPr>
        <w:numPr>
          <w:ilvl w:val="1"/>
          <w:numId w:val="1004"/>
        </w:numPr>
      </w:pPr>
      <w:r>
        <w:rPr>
          <w:rFonts w:hint="eastAsia"/>
        </w:rPr>
        <w:t xml:space="preserve">どの不確実性の源が、平均値では適切に捉えられないリスクの形態を表しているか。</w:t>
      </w:r>
    </w:p>
    <w:p>
      <w:pPr>
        <w:numPr>
          <w:ilvl w:val="0"/>
          <w:numId w:val="1003"/>
        </w:numPr>
      </w:pPr>
      <w:r>
        <w:rPr>
          <w:rFonts w:hint="eastAsia"/>
        </w:rPr>
        <w:t xml:space="preserve">最も重要な指標に対して最大の影響を持つと思われる単一の決定を選べ。</w:t>
      </w:r>
    </w:p>
    <w:p>
      <w:pPr>
        <w:numPr>
          <w:ilvl w:val="1"/>
          <w:numId w:val="1005"/>
        </w:numPr>
      </w:pPr>
      <w:r>
        <w:rPr>
          <w:rFonts w:hint="eastAsia"/>
        </w:rPr>
        <w:t xml:space="preserve">この決定を下すためにどのようなアプローチを用いると考えられるか。</w:t>
      </w:r>
    </w:p>
    <w:p>
      <w:pPr>
        <w:numPr>
          <w:ilvl w:val="1"/>
          <w:numId w:val="1005"/>
        </w:numPr>
      </w:pPr>
      <w:r>
        <w:rPr>
          <w:rFonts w:hint="eastAsia"/>
        </w:rPr>
        <w:t xml:space="preserve">その決定に高いまたは中程度の影響がある業績指標の算出を含め、この決定を下すために必要と思われるデータは何か。</w:t>
      </w:r>
    </w:p>
    <w:p>
      <w:pPr>
        <w:numPr>
          <w:ilvl w:val="0"/>
          <w:numId w:val="1003"/>
        </w:numPr>
      </w:pPr>
      <w:r>
        <w:rPr>
          <w:rFonts w:hint="eastAsia"/>
        </w:rPr>
        <w:t xml:space="preserve">(7)で特定した同じ決定について、その実施のために協力する必要がある人々、部門、グループ、または組織を特定せよ。</w:t>
      </w:r>
    </w:p>
    <w:bookmarkEnd w:id="36"/>
    <w:bookmarkStart w:id="37" w:name="出典注記とケースの慣例"/>
    <w:p>
      <w:pPr>
        <w:pStyle w:val="Heading1"/>
      </w:pPr>
      <w:r>
        <w:rPr>
          <w:rFonts w:hint="eastAsia"/>
        </w:rPr>
        <w:t xml:space="preserve">出典注記とケースの慣例</w:t>
      </w:r>
    </w:p>
    <w:p>
      <w:pPr>
        <w:pStyle w:val="FirstParagraph"/>
      </w:pPr>
      <w:r>
        <w:rPr>
          <w:rFonts w:hint="eastAsia"/>
        </w:rPr>
        <w:t xml:space="preserve">これはクラスでの討議のために作成された架空のケースである。リッジウェイ・インダストリアル・システムズ、ハミルトン郡、登場するすべての個人、すべてのプロジェクト提案、およびすべての企業運営データは架空のものである。このケースは意図的に未解決のままとされており、いずれかの選択肢が望ましいことを示唆するものではない。</w:t>
      </w:r>
    </w:p>
    <w:p>
      <w:pPr>
        <w:pStyle w:val="BodyText"/>
      </w:pPr>
      <w:r>
        <w:t xml:space="preserve">¹ </w:t>
      </w:r>
      <w:r>
        <w:rPr>
          <w:rFonts w:hint="eastAsia"/>
        </w:rPr>
        <w:t xml:space="preserve">全国的なデータセンターの状況は、ローレンス・バークレー国立研究所『2024年米国データセンターエネルギー使用報告書』およびその関連更新版に基づいている。バークレー国立研究所は、2023年の米国データセンターの電力使用量を約176テラワット時、米国総電力量の約4.4%と報告し、2028年の予測範囲を6.7%から12%としている。同研究所の2025年の更新版では、2030年における米国電力使用量に占めるデータセンターの割合を9.5%から15.3%、中心推計値を11.8%と見積もっている。</w:t>
      </w:r>
    </w:p>
    <w:p>
      <w:pPr>
        <w:pStyle w:val="BodyText"/>
      </w:pPr>
      <w:r>
        <w:rPr>
          <w:rFonts w:hint="eastAsia"/>
        </w:rPr>
        <w:t xml:space="preserve">追加の背景資料:米国エネルギー情報局(EIA)『電力月報』および『電力月次更新』。EIAは2026年5月時点で全国の産業用平均収入を1キロワット時当たり約8.71セントと報告しているが、産業用価格は地域、料金体系、負荷プロファイル、顧客固有の料金によって大きく異なる。架空のハミルトンの料金には需要料金、容量料金、送電料金、その他の料金が含まれており、そのため全国平均として解釈すべきではない。</w:t>
      </w:r>
    </w:p>
    <w:p>
      <w:pPr>
        <w:pStyle w:val="BodyText"/>
      </w:pPr>
      <w:r>
        <w:rPr>
          <w:rFonts w:hint="eastAsia"/>
        </w:rPr>
        <w:t xml:space="preserve">図表中の天然ガスおよび技術に関する推計値は、予測ではなくケース上の前提である。実際の分析では、リッジウェイは単一点の推定値ではなく、現地固有の公益事業料金体系、区間データ、ベンダーの見積もり、エンジニアリング調査、税務上の助言、環境レビュー、確率分布を用いることになるだろう。</w:t>
      </w:r>
    </w:p>
    <w:bookmarkEnd w:id="37"/>
    <w:bookmarkStart w:id="40" w:name="chatgpt-ノート"/>
    <w:p>
      <w:pPr>
        <w:pStyle w:val="Heading1"/>
      </w:pPr>
      <w:r>
        <w:t xml:space="preserve">ChatGPT ノート</w:t>
      </w:r>
    </w:p>
    <w:bookmarkStart w:id="38" w:name="プロンプト"/>
    <w:p>
      <w:pPr>
        <w:pStyle w:val="Heading2"/>
      </w:pPr>
      <w:r>
        <w:t xml:space="preserve">プロンプト</w:t>
      </w:r>
    </w:p>
    <w:p>
      <w:pPr>
        <w:pStyle w:val="FirstParagraph"/>
      </w:pPr>
      <w:r>
        <w:rPr>
          <w:rFonts w:hint="eastAsia"/>
        </w:rPr>
        <w:t xml:space="preserve">ある産業製造業者が、データセンターの需要増加に伴う料金上昇により、電気料金の大幅な増加に苦しんでいる。同社は製造拠点を(多大な費用をかけて)別の場所へ移転することができる。太陽光パネルと蓄電池に投資することもできる。製造プロセスを変更し、エネルギー需要を電力から天然ガスへシフトすることもできる。企業が代替案を検討する際に用いるであろうプロセスを記述せよ。</w:t>
      </w:r>
    </w:p>
    <w:bookmarkEnd w:id="38"/>
    <w:bookmarkStart w:id="39" w:name="要約"/>
    <w:p>
      <w:pPr>
        <w:pStyle w:val="Heading2"/>
      </w:pPr>
      <w:r>
        <w:rPr>
          <w:rFonts w:hint="eastAsia"/>
        </w:rPr>
        <w:t xml:space="preserve">要約</w:t>
      </w:r>
    </w:p>
    <w:p>
      <w:pPr>
        <w:pStyle w:val="FirstParagraph"/>
      </w:pPr>
      <w:r>
        <w:rPr>
          <w:rFonts w:hint="eastAsia"/>
        </w:rPr>
        <w:t xml:space="preserve">このケースには以下が含まれる:</w:t>
      </w:r>
    </w:p>
    <w:p>
      <w:pPr>
        <w:numPr>
          <w:ilvl w:val="0"/>
          <w:numId w:val="1006"/>
        </w:numPr>
      </w:pPr>
      <w:r>
        <w:rPr>
          <w:rFonts w:hint="eastAsia"/>
        </w:rPr>
        <w:t xml:space="preserve">急速に増加する電気料金に直面する架空の産業製造業者</w:t>
      </w:r>
    </w:p>
    <w:p>
      <w:pPr>
        <w:numPr>
          <w:ilvl w:val="0"/>
          <w:numId w:val="1006"/>
        </w:numPr>
      </w:pPr>
      <w:r>
        <w:rPr>
          <w:rFonts w:hint="eastAsia"/>
        </w:rPr>
        <w:t xml:space="preserve">新設データセンターに関連する地域の電力需要成長</w:t>
      </w:r>
    </w:p>
    <w:p>
      <w:pPr>
        <w:numPr>
          <w:ilvl w:val="0"/>
          <w:numId w:val="1006"/>
        </w:numPr>
      </w:pPr>
      <w:r>
        <w:rPr>
          <w:rFonts w:hint="eastAsia"/>
        </w:rPr>
        <w:t xml:space="preserve">詳細な工場のエネルギー使用量および公益事業コストデータ</w:t>
      </w:r>
    </w:p>
    <w:p>
      <w:pPr>
        <w:numPr>
          <w:ilvl w:val="0"/>
          <w:numId w:val="1006"/>
        </w:numPr>
      </w:pPr>
      <w:r>
        <w:rPr>
          <w:rFonts w:hint="eastAsia"/>
        </w:rPr>
        <w:t xml:space="preserve">太陽光、蓄電池、天然ガス転換、効率化、調達、移転の各選択肢</w:t>
      </w:r>
    </w:p>
    <w:p>
      <w:pPr>
        <w:numPr>
          <w:ilvl w:val="0"/>
          <w:numId w:val="1006"/>
        </w:numPr>
      </w:pPr>
      <w:r>
        <w:rPr>
          <w:rFonts w:hint="eastAsia"/>
        </w:rPr>
        <w:t xml:space="preserve">3つの移転候補地域</w:t>
      </w:r>
    </w:p>
    <w:p>
      <w:pPr>
        <w:numPr>
          <w:ilvl w:val="0"/>
          <w:numId w:val="1006"/>
        </w:numPr>
      </w:pPr>
      <w:r>
        <w:rPr>
          <w:rFonts w:hint="eastAsia"/>
        </w:rPr>
        <w:t xml:space="preserve">2035年までの電力価格シナリオ</w:t>
      </w:r>
    </w:p>
    <w:p>
      <w:pPr>
        <w:numPr>
          <w:ilvl w:val="0"/>
          <w:numId w:val="1006"/>
        </w:numPr>
      </w:pPr>
      <w:r>
        <w:rPr>
          <w:rFonts w:hint="eastAsia"/>
        </w:rPr>
        <w:t xml:space="preserve">運用、財務、環境、労働力、顧客サービスに関する考慮事項</w:t>
      </w:r>
    </w:p>
    <w:p>
      <w:pPr>
        <w:numPr>
          <w:ilvl w:val="0"/>
          <w:numId w:val="1006"/>
        </w:numPr>
      </w:pPr>
      <w:r>
        <w:rPr>
          <w:rFonts w:hint="eastAsia"/>
        </w:rPr>
        <w:t xml:space="preserve">提案された調査とパイロットプロジェクト</w:t>
      </w:r>
    </w:p>
    <w:p>
      <w:pPr>
        <w:numPr>
          <w:ilvl w:val="0"/>
          <w:numId w:val="1006"/>
        </w:numPr>
      </w:pPr>
      <w:r>
        <w:rPr>
          <w:rFonts w:hint="eastAsia"/>
        </w:rPr>
        <w:t xml:space="preserve">競合する経営陣の視点、明確に望ましい解決策の不在</w:t>
      </w:r>
    </w:p>
    <w:p>
      <w:pPr>
        <w:numPr>
          <w:ilvl w:val="0"/>
          <w:numId w:val="1006"/>
        </w:numPr>
      </w:pPr>
      <w:r>
        <w:rPr>
          <w:rFonts w:hint="eastAsia"/>
        </w:rPr>
        <w:t xml:space="preserve">10の授業用討議設問</w:t>
      </w:r>
    </w:p>
    <w:p>
      <w:pPr>
        <w:pStyle w:val="FirstParagraph"/>
      </w:pPr>
      <w:r>
        <w:rPr>
          <w:rFonts w:hint="eastAsia"/>
        </w:rPr>
        <w:t xml:space="preserve">全国的なデータセンターの状況は、ローレンス・バークレー国立研究所の推計によって裏付けられており、米国のデータセンター電力消費の大幅な成長と、2030年までの幅広い需要の可能性を示している。</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2" Target="https://warrenpowell.org/decision-framing-tool/#decision-prioritization-tool" TargetMode="External" /><Relationship Type="http://schemas.openxmlformats.org/officeDocument/2006/relationships/hyperlink" Id="rId31" Target="https://warrenpowell.org/decision-framing-tool/#metrics-pyramid-tool" TargetMode="External" /><Relationship Type="http://schemas.openxmlformats.org/officeDocument/2006/relationships/hyperlink" Id="rId34" Target="https://warrenpowell.org/decision-framing-tool/#uncertainty-prioritization-tool" TargetMode="External" /><Relationship Type="http://schemas.openxmlformats.org/officeDocument/2006/relationships/hyperlink" Id="rId33" Target="https://warrenpowell.org/decisionsdecisions/#types-of-decision-settings" TargetMode="External" /><Relationship Type="http://schemas.openxmlformats.org/officeDocument/2006/relationships/hyperlink" Id="rId35"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32" Target="https://warrenpowell.org/decision-framing-tool/#decision-prioritization-tool" TargetMode="External" /><Relationship Type="http://schemas.openxmlformats.org/officeDocument/2006/relationships/hyperlink" Id="rId31" Target="https://warrenpowell.org/decision-framing-tool/#metrics-pyramid-tool" TargetMode="External" /><Relationship Type="http://schemas.openxmlformats.org/officeDocument/2006/relationships/hyperlink" Id="rId34" Target="https://warrenpowell.org/decision-framing-tool/#uncertainty-prioritization-tool" TargetMode="External" /><Relationship Type="http://schemas.openxmlformats.org/officeDocument/2006/relationships/hyperlink" Id="rId33" Target="https://warrenpowell.org/decisionsdecisions/#types-of-decision-settings" TargetMode="External" /><Relationship Type="http://schemas.openxmlformats.org/officeDocument/2006/relationships/hyperlink" Id="rId35"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2026-09-11T17:59:31Z</dcterms:created>
  <dcterms:modified xsi:type="dcterms:W3CDTF">2026-09-11T17:59:31Z</dcterms:modified>
</cp:coreProperties>
</file>

<file path=docProps/custom.xml><?xml version="1.0" encoding="utf-8"?>
<Properties xmlns="http://schemas.openxmlformats.org/officeDocument/2006/custom-properties" xmlns:vt="http://schemas.openxmlformats.org/officeDocument/2006/docPropsVTypes"/>
</file>