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郡はオーバードーズによる死者数が高止まりする一方で、全国的な危機は緩和しつつあるように見える状況にどう対応すべきか？</w:t>
      </w:r>
    </w:p>
    <w:tbl>
      <w:tblPr>
        <w:tblStyle w:val="Table"/>
        <w:tblW w:type="auto" w:w="0"/>
        <w:tblLook w:firstRow="0" w:lastRow="0" w:firstColumn="0" w:lastColumn="0" w:noHBand="0" w:noVBand="0" w:val="0000"/>
      </w:tblPr>
      <w:tblGrid>
        <w:gridCol w:w="7920"/>
      </w:tblGrid>
      <w:tr>
        <w:tc>
          <w:tcPr/>
          <w:p>
            <w:pPr>
              <w:pStyle w:val="Compact"/>
              <w:jc w:val="left"/>
            </w:pPr>
            <w:r>
              <w:rPr>
                <w:rFonts w:hint="eastAsia"/>
              </w:rPr>
              <w:t xml:space="preserve">設定</w:t>
            </w:r>
            <w:r>
              <w:t xml:space="preserve">  </w:t>
            </w:r>
            <w:r>
              <w:rPr>
                <w:rFonts w:hint="eastAsia"/>
              </w:rPr>
              <w:t xml:space="preserve">決定者</w:t>
            </w:r>
            <w:r>
              <w:t xml:space="preserve">  </w:t>
            </w:r>
            <w:r>
              <w:rPr>
                <w:rFonts w:hint="eastAsia"/>
              </w:rPr>
              <w:t xml:space="preserve">決定日\</w:t>
            </w:r>
          </w:p>
        </w:tc>
      </w:tr>
      <w:tr>
        <w:tc>
          <w:tcPr/>
          <w:p>
            <w:pPr>
              <w:pStyle w:val="Compact"/>
              <w:jc w:val="left"/>
            </w:pPr>
            <w:r>
              <w:rPr>
                <w:rFonts w:hint="eastAsia"/>
              </w:rPr>
              <w:t xml:space="preserve">リバートン郡、架空の都市・農村混在型の郡</w:t>
            </w:r>
            <w:r>
              <w:t xml:space="preserve"> </w:t>
            </w:r>
            <w:r>
              <w:rPr>
                <w:rFonts w:hint="eastAsia"/>
              </w:rPr>
              <w:t xml:space="preserve">エレナ・トーレス博士、郡保健委員</w:t>
            </w:r>
            <w:r>
              <w:t xml:space="preserve"> September 2026</w:t>
            </w:r>
          </w:p>
        </w:tc>
      </w:tr>
    </w:tbl>
    <w:p>
      <w:r>
        <w:pict>
          <v:rect style="width:0;height:1.5pt" o:hralign="center" o:hrstd="t" o:hr="t"/>
        </w:pict>
      </w:r>
    </w:p>
    <w:bookmarkStart w:id="9" w:name="section"/>
    <w:p>
      <w:pPr>
        <w:pStyle w:val="Heading1"/>
      </w:pPr>
    </w:p>
    <w:bookmarkEnd w:id="9"/>
    <w:bookmarkStart w:id="11" w:name="厳しい月曜日の朝"/>
    <w:p>
      <w:pPr>
        <w:pStyle w:val="Heading1"/>
      </w:pPr>
      <w:r>
        <w:rPr>
          <w:rFonts w:hint="eastAsia"/>
        </w:rPr>
        <w:t xml:space="preserve">厳しい月曜日の朝</w:t>
      </w:r>
    </w:p>
    <w:p>
      <w:pPr>
        <w:pStyle w:val="FirstParagraph"/>
      </w:pPr>
      <w:r>
        <w:rPr>
          <w:rFonts w:hint="eastAsia"/>
        </w:rPr>
        <w:t xml:space="preserve">午前7時10分、エレナ・トーレス博士は週次死亡率ダッシュボードを開き、また一つ赤いマーカーを目にした。インターステート48号線沿いのモーテルで、31歳の倉庫作業員がフェンタニルによるものと思われるオーバードーズで死亡していた。これはリバートン郡における今年43件目の致死的オーバードーズだった。さらに2件の死亡が毒物検査の結果待ちだった。</w:t>
      </w:r>
    </w:p>
    <w:p>
      <w:pPr>
        <w:pStyle w:val="BodyText"/>
      </w:pPr>
      <w:r>
        <w:rPr>
          <w:rFonts w:hint="eastAsia"/>
        </w:rPr>
        <w:t xml:space="preserve">その数字は前年の同時期より低かったが、進歩しているようには感じられなかった。救急医療サービスは1月以降、ナロキソンを286回投与していた。郡刑務所の報告によれば、新規収容者のほぼ3人に1人が物質使用障害のスクリーニングで陽性となっていた。最大の病院の救急部門は412件の非致死的オーバードーズを治療しており、アウトリーチチームは、フェンタニルとコカインやメタンフェタミンを併用する人が増えていると報告していた。</w:t>
      </w:r>
    </w:p>
    <w:p>
      <w:pPr>
        <w:pStyle w:val="BodyText"/>
      </w:pPr>
      <w:r>
        <w:rPr>
          <w:rFonts w:hint="eastAsia"/>
        </w:rPr>
        <w:t xml:space="preserve">しかし全国的には状況が変わっていた。米国の薬物過剰摂取による死者数は2024年に急減し、2025年にはさらに減少した。オピオイド関連の推定死者数は、2023年の約83,140人から2024年には約54,743人に減少し、さらに2025年には44,564人となった。この改善は心強いものだったが――ばらつきがあった。いくつかの州では2025年もなお増加が記録されていた。¹</w:t>
      </w:r>
      <w:r>
        <w:t xml:space="preserve"> ²</w:t>
      </w:r>
    </w:p>
    <w:p>
      <w:pPr>
        <w:pStyle w:val="BodyText"/>
      </w:pPr>
      <w:r>
        <w:rPr>
          <w:rFonts w:hint="eastAsia"/>
        </w:rPr>
        <w:t xml:space="preserve">リバートン郡の郡執行官はトーレスを午後4時からの予算会議に呼んでいた。アウトリーチワーカー、ナロキソン配布、そしてモバイル治療ユニットを支援している連邦の一時的助成金が、9か月後に失効する予定だった。郡はその資金の一部しか代替できなかった。トーレスは、何を維持すべきか、何を再設計すべきか、そして――もしあれば――何を打ち切るべきかを勧告するよう求められていた。</w:t>
      </w:r>
    </w:p>
    <w:bookmarkStart w:id="10" w:name="中心的な課題"/>
    <w:p>
      <w:pPr>
        <w:pStyle w:val="Heading2"/>
      </w:pPr>
      <w:r>
        <w:rPr>
          <w:rFonts w:hint="eastAsia"/>
        </w:rPr>
        <w:t xml:space="preserve">中心的な課題</w:t>
      </w:r>
    </w:p>
    <w:p>
      <w:pPr>
        <w:pStyle w:val="FirstParagraph"/>
      </w:pPr>
      <w:r>
        <w:rPr>
          <w:rFonts w:hint="eastAsia"/>
        </w:rPr>
        <w:t xml:space="preserve">リバートンは、最近の死者数の減少を、現行戦略が機能している証拠と見なすべきか、一時的な小康状態と見なすべきか、それとも資源をこの流行の別の段階へとシフトすべきだという合図と見なすべきか？</w:t>
      </w:r>
    </w:p>
    <w:bookmarkEnd w:id="10"/>
    <w:bookmarkEnd w:id="11"/>
    <w:bookmarkStart w:id="12" w:name="リバートン郡"/>
    <w:p>
      <w:pPr>
        <w:pStyle w:val="Heading1"/>
      </w:pPr>
      <w:r>
        <w:rPr>
          <w:rFonts w:hint="eastAsia"/>
        </w:rPr>
        <w:t xml:space="preserve">リバートン郡</w:t>
      </w:r>
    </w:p>
    <w:p>
      <w:pPr>
        <w:pStyle w:val="FirstParagraph"/>
      </w:pPr>
      <w:r>
        <w:rPr>
          <w:rFonts w:hint="eastAsia"/>
        </w:rPr>
        <w:t xml:space="preserve">リバートン郡には618,000人の住民がいた。東部回廊には大学、二つの病院、そして成長中のテクノロジー・物流企業があった。西部の町はより農村的で、治療提供者が少なく、公共交通機関も限られていた。世帯所得の中央値は71,400ドルだったが、5つの地区では貧困率が25%を超えていた。郡の人口構成は白人46%、黒人27%、ヒスパニック19%、アジア系5%、その他・複数人種3%だった。本ケースにおけるリバートンのデータはすべて架空のものだが、多くの米国コミュニティが直面している状況を反映するように設計されている。</w:t>
      </w:r>
    </w:p>
    <w:bookmarkEnd w:id="12"/>
    <w:bookmarkStart w:id="13" w:name="変化するオーバードーズの状況"/>
    <w:p>
      <w:pPr>
        <w:pStyle w:val="Heading1"/>
      </w:pPr>
      <w:r>
        <w:rPr>
          <w:rFonts w:hint="eastAsia"/>
        </w:rPr>
        <w:t xml:space="preserve">変化するオーバードーズの状況</w:t>
      </w:r>
    </w:p>
    <w:p>
      <w:pPr>
        <w:pStyle w:val="FirstParagraph"/>
      </w:pPr>
      <w:r>
        <w:rPr>
          <w:rFonts w:hint="eastAsia"/>
        </w:rPr>
        <w:t xml:space="preserve">リバートン郡のオーバードーズ対応は、死者数が急増していた時期に設計されたものだった。2026年までには、状況はより複雑になっていた。死亡者数は減少していたものの、違法薬物の供給は依然として予測不能だった。フェンタニルは依然として最大の脅威であり、多くの死亡は複数の物質が関与していた。全国データによれば、合成オピオイドによる死亡率は2023年から2024年にかけて大幅に低下したものの、その率は依然として人口10万人当たり14.3人だった。³</w:t>
      </w:r>
    </w:p>
    <w:p>
      <w:pPr>
        <w:pStyle w:val="BodyText"/>
      </w:pPr>
      <w:r>
        <w:rPr>
          <w:rFonts w:hint="eastAsia"/>
        </w:rPr>
        <w:t xml:space="preserve">郡のサーベイランスシステムにも限界があった。死亡が確定したデータは3～5か月遅れていた。救急医療サービスの記録は数日以内に入手可能だったが、911対応が発生した事案のみを捕捉していた。病院データは、郡外で治療を受けた人や搬送を拒否した人を除外していた。アウトリーチチームは貴重な観察情報を収集していたが、その報告は標準化されていなかった。</w:t>
      </w:r>
    </w:p>
    <w:bookmarkEnd w:id="13"/>
    <w:bookmarkStart w:id="14" w:name="現行の対応ポートフォリオ"/>
    <w:p>
      <w:pPr>
        <w:pStyle w:val="Heading1"/>
      </w:pPr>
      <w:r>
        <w:rPr>
          <w:rFonts w:hint="eastAsia"/>
        </w:rPr>
        <w:t xml:space="preserve">現行の対応ポートフォリオ</w:t>
      </w:r>
    </w:p>
    <w:p>
      <w:pPr>
        <w:pStyle w:val="FirstParagraph"/>
      </w:pPr>
      <w:r>
        <w:rPr>
          <w:rFonts w:hint="eastAsia"/>
          <w:b/>
          <w:bCs/>
        </w:rPr>
        <w:t xml:space="preserve">ナロキソンへのアクセス：</w:t>
      </w:r>
      <w:r>
        <w:t xml:space="preserve"> </w:t>
      </w:r>
      <w:r>
        <w:rPr>
          <w:rFonts w:hint="eastAsia"/>
        </w:rPr>
        <w:t xml:space="preserve">薬局、図書館、シェルター、アウトリーチチーム、自動販売機を通じた無料キット配布。配布数は2023年の8,400キットから2025年には22,600キットに拡大していた。</w:t>
      </w:r>
    </w:p>
    <w:p>
      <w:pPr>
        <w:pStyle w:val="BodyText"/>
      </w:pPr>
      <w:r>
        <w:rPr>
          <w:rFonts w:hint="eastAsia"/>
          <w:b/>
          <w:bCs/>
        </w:rPr>
        <w:t xml:space="preserve">モバイル治療：</w:t>
      </w:r>
      <w:r>
        <w:t xml:space="preserve"> </w:t>
      </w:r>
      <w:r>
        <w:rPr>
          <w:rFonts w:hint="eastAsia"/>
        </w:rPr>
        <w:t xml:space="preserve">バスが毎週6か所の高リスク地域を訪問し、ブプレノルフィンの投与開始、傷の手当て、そしてより長期的なケアへの連携を提供できた。</w:t>
      </w:r>
    </w:p>
    <w:p>
      <w:pPr>
        <w:pStyle w:val="BodyText"/>
      </w:pPr>
      <w:r>
        <w:rPr>
          <w:rFonts w:hint="eastAsia"/>
          <w:b/>
          <w:bCs/>
        </w:rPr>
        <w:t xml:space="preserve">オーバードーズ後アウトリーチ：</w:t>
      </w:r>
      <w:r>
        <w:t xml:space="preserve"> </w:t>
      </w:r>
      <w:r>
        <w:rPr>
          <w:rFonts w:hint="eastAsia"/>
        </w:rPr>
        <w:t xml:space="preserve">ピア・リカバリー専門家は、救急医療サービスまたは病院での対応から48時間以内にオーバードーズ生存者への接触を試みた。</w:t>
      </w:r>
    </w:p>
    <w:p>
      <w:pPr>
        <w:pStyle w:val="BodyText"/>
      </w:pPr>
      <w:r>
        <w:rPr>
          <w:rFonts w:hint="eastAsia"/>
          <w:b/>
          <w:bCs/>
        </w:rPr>
        <w:t xml:space="preserve">学校・職場での予防：</w:t>
      </w:r>
      <w:r>
        <w:t xml:space="preserve"> </w:t>
      </w:r>
      <w:r>
        <w:rPr>
          <w:rFonts w:hint="eastAsia"/>
        </w:rPr>
        <w:t xml:space="preserve">スティグマ、より安全な処方、オーバードーズの認識、ケアへの経路に焦点を当てたプログラム。</w:t>
      </w:r>
    </w:p>
    <w:p>
      <w:pPr>
        <w:pStyle w:val="BodyText"/>
      </w:pPr>
      <w:r>
        <w:rPr>
          <w:rFonts w:hint="eastAsia"/>
          <w:b/>
          <w:bCs/>
        </w:rPr>
        <w:t xml:space="preserve">データ調整：</w:t>
      </w:r>
      <w:r>
        <w:t xml:space="preserve"> </w:t>
      </w:r>
      <w:r>
        <w:rPr>
          <w:rFonts w:hint="eastAsia"/>
        </w:rPr>
        <w:t xml:space="preserve">小規模な疫学チームが、救急医療サービス、病院、刑務所、治療、死亡に関する情報を統合し、月次ダッシュボードを作成していた。</w:t>
      </w:r>
    </w:p>
    <w:bookmarkEnd w:id="14"/>
    <w:bookmarkStart w:id="15" w:name="対立する見解"/>
    <w:p>
      <w:pPr>
        <w:pStyle w:val="Heading1"/>
      </w:pPr>
      <w:r>
        <w:rPr>
          <w:rFonts w:hint="eastAsia"/>
        </w:rPr>
        <w:t xml:space="preserve">対立する見解</w:t>
      </w:r>
    </w:p>
    <w:p>
      <w:pPr>
        <w:pStyle w:val="FirstParagraph"/>
      </w:pPr>
      <w:r>
        <w:rPr>
          <w:rFonts w:hint="eastAsia"/>
        </w:rPr>
        <w:t xml:space="preserve">郡執行官のマーカス・リーは財政的持続可能性に注目していた。彼はナロキソンを支持していたが、民間の提供者が存在する中で、郡が治療バスを運営すべきかどうかには疑問を呈していた。病院システムは救急部門での投薬治療の拡大を支持していたが、フォローアップケアを手配できるナビゲーターの資金を郡に求めていた。警察の指導者たちは、路上での薬物取引と繰り返されるオーバードーズが公共安全のリソースを圧迫していると主張した。コミュニティの支援者たちは、取締り重視のアプローチが人々をより孤立した環境に追いやり、そこではオーバードーズが目撃される可能性が低くなると警告した。</w:t>
      </w:r>
    </w:p>
    <w:p>
      <w:pPr>
        <w:pStyle w:val="BodyText"/>
      </w:pPr>
      <w:r>
        <w:rPr>
          <w:rFonts w:hint="eastAsia"/>
        </w:rPr>
        <w:t xml:space="preserve">治療提供者たちは、アウトリーチよりもキャパシティを重視していた。彼らのクリニックには空き予約があったが、多くの患者がケアにとどまらなかった。交通手段、不安定な住居、離脱症状への恐れ、過去のネガティブな経験、就労スケジュールが一般的な障壁だった。全国的には、2024年に12歳以上の4,840万人が物質使用障害を抱えていた。⁴</w:t>
      </w:r>
      <w:r>
        <w:t xml:space="preserve"> </w:t>
      </w:r>
      <w:r>
        <w:rPr>
          <w:rFonts w:hint="eastAsia"/>
        </w:rPr>
        <w:t xml:space="preserve">全国調査ではまた、オピオイド使用障害の重症度と種類にかなりのばらつきがあることも示されており、単一のケアモデルを適用することを複雑にしていた。⁵</w:t>
      </w:r>
    </w:p>
    <w:bookmarkEnd w:id="15"/>
    <w:bookmarkStart w:id="16" w:name="公平性への懸念"/>
    <w:p>
      <w:pPr>
        <w:pStyle w:val="Heading1"/>
      </w:pPr>
      <w:r>
        <w:rPr>
          <w:rFonts w:hint="eastAsia"/>
        </w:rPr>
        <w:t xml:space="preserve">公平性への懸念</w:t>
      </w:r>
    </w:p>
    <w:p>
      <w:pPr>
        <w:pStyle w:val="FirstParagraph"/>
      </w:pPr>
      <w:r>
        <w:rPr>
          <w:rFonts w:hint="eastAsia"/>
        </w:rPr>
        <w:t xml:space="preserve">郡全体の減少傾向は、分岐する傾向を覆い隠していた。致死的オーバードーズは2023年以降、白人住民では28%減少したが、黒人住民では6%しか減少していなかった。45～64歳の住民における死亡は全く減少していなかった。以前のCDCの研究では、人種格差の拡大が見られ、より高いオーバードーズ率は所得格差や過去の治療アクセスの限界と関連づけられていた。⁶</w:t>
      </w:r>
      <w:r>
        <w:t xml:space="preserve"> </w:t>
      </w:r>
      <w:r>
        <w:rPr>
          <w:rFonts w:hint="eastAsia"/>
        </w:rPr>
        <w:t xml:space="preserve">郡の諮問委員会は、トーレスにこれらの格差に明示的に取り組むよう求めたが、メンバーの間では、資源を人口比、オーバードーズの負担、治療のギャップ、地域の不利のいずれに応じて配分すべきかについて意見が分かれていた。</w:t>
      </w:r>
    </w:p>
    <w:bookmarkEnd w:id="16"/>
    <w:bookmarkStart w:id="17" w:name="資金の崖"/>
    <w:p>
      <w:pPr>
        <w:pStyle w:val="Heading1"/>
      </w:pPr>
      <w:r>
        <w:rPr>
          <w:rFonts w:hint="eastAsia"/>
        </w:rPr>
        <w:t xml:space="preserve">資金の崖</w:t>
      </w:r>
    </w:p>
    <w:p>
      <w:pPr>
        <w:pStyle w:val="FirstParagraph"/>
      </w:pPr>
      <w:r>
        <w:rPr>
          <w:rFonts w:hint="eastAsia"/>
        </w:rPr>
        <w:t xml:space="preserve">失効する助成金は、リバートン郡の年間1,260万ドルのオーバードーズ対応予算のうち480万ドルを供給していた。郡執行官は代替資金として240万ドルを提示しており、240万ドルの不足が残っていた。トーレスは、削減、プログラムの再設計、そして追加の郡資金の要請を組み合わせたパッケージを提出することができたが、240万ドルを超える要請は、母子保健、感染症サーベイランス、環境衛生の人員配置と競合することになる。</w:t>
      </w:r>
    </w:p>
    <w:bookmarkEnd w:id="17"/>
    <w:bookmarkStart w:id="18" w:name="検討中のプログラム"/>
    <w:p>
      <w:pPr>
        <w:pStyle w:val="Heading1"/>
      </w:pPr>
      <w:r>
        <w:rPr>
          <w:rFonts w:hint="eastAsia"/>
        </w:rPr>
        <w:t xml:space="preserve">検討中のプログラム</w:t>
      </w:r>
    </w:p>
    <w:tbl>
      <w:tblPr>
        <w:tblStyle w:val="Table"/>
        <w:tblW w:type="pct" w:w="4931"/>
        <w:tblLayout w:type="fixed"/>
        <w:tblLook w:firstRow="1" w:lastRow="0" w:firstColumn="0" w:lastColumn="0" w:noHBand="0" w:noVBand="0" w:val="0020"/>
      </w:tblPr>
      <w:tblGrid>
        <w:gridCol w:w="1201"/>
        <w:gridCol w:w="764"/>
        <w:gridCol w:w="2184"/>
        <w:gridCol w:w="2894"/>
        <w:gridCol w:w="764"/>
      </w:tblGrid>
      <w:tr>
        <w:trPr>
          <w:tblHeader w:val="on"/>
        </w:trPr>
        <w:tc>
          <w:tcPr/>
          <w:p>
            <w:pPr>
              <w:pStyle w:val="Compact"/>
              <w:jc w:val="left"/>
            </w:pPr>
            <w:r>
              <w:t xml:space="preserve">プログラム</w:t>
            </w:r>
          </w:p>
        </w:tc>
        <w:tc>
          <w:tcPr/>
          <w:p>
            <w:pPr>
              <w:pStyle w:val="Compact"/>
              <w:jc w:val="center"/>
            </w:pPr>
            <w:r>
              <w:rPr>
                <w:rFonts w:hint="eastAsia"/>
              </w:rPr>
              <w:t xml:space="preserve">年間コスト</w:t>
            </w:r>
          </w:p>
        </w:tc>
        <w:tc>
          <w:tcPr/>
          <w:p>
            <w:pPr>
              <w:pStyle w:val="Compact"/>
              <w:jc w:val="center"/>
            </w:pPr>
            <w:r>
              <w:rPr>
                <w:rFonts w:hint="eastAsia"/>
              </w:rPr>
              <w:t xml:space="preserve">主な成果</w:t>
            </w:r>
          </w:p>
        </w:tc>
        <w:tc>
          <w:tcPr/>
          <w:p>
            <w:pPr>
              <w:pStyle w:val="Compact"/>
              <w:jc w:val="center"/>
            </w:pPr>
            <w:r>
              <w:rPr>
                <w:rFonts w:hint="eastAsia"/>
              </w:rPr>
              <w:t xml:space="preserve">観察された懸念</w:t>
            </w:r>
          </w:p>
        </w:tc>
        <w:tc>
          <w:tcPr/>
          <w:p>
            <w:pPr>
              <w:pStyle w:val="Compact"/>
              <w:jc w:val="right"/>
            </w:pPr>
            <w:r>
              <w:rPr>
                <w:rFonts w:hint="eastAsia"/>
              </w:rPr>
              <w:t xml:space="preserve">助成金の割合</w:t>
            </w:r>
          </w:p>
        </w:tc>
      </w:tr>
      <w:tr>
        <w:tc>
          <w:tcPr/>
          <w:p>
            <w:pPr>
              <w:pStyle w:val="Compact"/>
              <w:jc w:val="left"/>
            </w:pPr>
            <w:r>
              <w:t xml:space="preserve">ナロキソンネットワーク</w:t>
            </w:r>
          </w:p>
        </w:tc>
        <w:tc>
          <w:tcPr/>
          <w:p>
            <w:pPr>
              <w:pStyle w:val="Compact"/>
              <w:jc w:val="center"/>
            </w:pPr>
            <w:r>
              <w:t xml:space="preserve">$2.1M</w:t>
            </w:r>
          </w:p>
        </w:tc>
        <w:tc>
          <w:tcPr/>
          <w:p>
            <w:pPr>
              <w:pStyle w:val="Compact"/>
              <w:jc w:val="center"/>
            </w:pPr>
            <w:r>
              <w:rPr>
                <w:rFonts w:hint="eastAsia"/>
              </w:rPr>
              <w:t xml:space="preserve">22,600キット；1,140件の報告された蘇生</w:t>
            </w:r>
          </w:p>
        </w:tc>
        <w:tc>
          <w:tcPr/>
          <w:p>
            <w:pPr>
              <w:pStyle w:val="Compact"/>
              <w:jc w:val="center"/>
            </w:pPr>
            <w:r>
              <w:rPr>
                <w:rFonts w:hint="eastAsia"/>
              </w:rPr>
              <w:t xml:space="preserve">使用率は不明；補充キットの多くは追跡されていない</w:t>
            </w:r>
          </w:p>
        </w:tc>
        <w:tc>
          <w:tcPr/>
          <w:p>
            <w:pPr>
              <w:pStyle w:val="Compact"/>
              <w:jc w:val="right"/>
            </w:pPr>
            <w:r>
              <w:t xml:space="preserve">38%</w:t>
            </w:r>
          </w:p>
        </w:tc>
      </w:tr>
      <w:tr>
        <w:tc>
          <w:tcPr/>
          <w:p>
            <w:pPr>
              <w:pStyle w:val="Compact"/>
              <w:jc w:val="left"/>
            </w:pPr>
            <w:r>
              <w:t xml:space="preserve">モバイルユニット</w:t>
            </w:r>
          </w:p>
        </w:tc>
        <w:tc>
          <w:tcPr/>
          <w:p>
            <w:pPr>
              <w:pStyle w:val="Compact"/>
              <w:jc w:val="center"/>
            </w:pPr>
            <w:r>
              <w:t xml:space="preserve">$2.8M</w:t>
            </w:r>
          </w:p>
        </w:tc>
        <w:tc>
          <w:tcPr/>
          <w:p>
            <w:pPr>
              <w:pStyle w:val="Compact"/>
              <w:jc w:val="center"/>
            </w:pPr>
            <w:r>
              <w:rPr>
                <w:rFonts w:hint="eastAsia"/>
              </w:rPr>
              <w:t xml:space="preserve">3,420件の訪問；684件の投薬開始</w:t>
            </w:r>
          </w:p>
        </w:tc>
        <w:tc>
          <w:tcPr/>
          <w:p>
            <w:pPr>
              <w:pStyle w:val="Compact"/>
              <w:jc w:val="center"/>
            </w:pPr>
            <w:r>
              <w:rPr>
                <w:rFonts w:hint="eastAsia"/>
              </w:rPr>
              <w:t xml:space="preserve">90日時点での治療継続率はわずか34%</w:t>
            </w:r>
          </w:p>
        </w:tc>
        <w:tc>
          <w:tcPr/>
          <w:p>
            <w:pPr>
              <w:pStyle w:val="Compact"/>
              <w:jc w:val="right"/>
            </w:pPr>
            <w:r>
              <w:t xml:space="preserve">61%</w:t>
            </w:r>
          </w:p>
        </w:tc>
      </w:tr>
      <w:tr>
        <w:tc>
          <w:tcPr/>
          <w:p>
            <w:pPr>
              <w:pStyle w:val="Compact"/>
              <w:jc w:val="left"/>
            </w:pPr>
            <w:r>
              <w:rPr>
                <w:rFonts w:hint="eastAsia"/>
              </w:rPr>
              <w:t xml:space="preserve">オーバードーズ後ピア</w:t>
            </w:r>
          </w:p>
        </w:tc>
        <w:tc>
          <w:tcPr/>
          <w:p>
            <w:pPr>
              <w:pStyle w:val="Compact"/>
              <w:jc w:val="center"/>
            </w:pPr>
            <w:r>
              <w:t xml:space="preserve">$1.7M</w:t>
            </w:r>
          </w:p>
        </w:tc>
        <w:tc>
          <w:tcPr/>
          <w:p>
            <w:pPr>
              <w:pStyle w:val="Compact"/>
              <w:jc w:val="center"/>
            </w:pPr>
            <w:r>
              <w:rPr>
                <w:rFonts w:hint="eastAsia"/>
              </w:rPr>
              <w:t xml:space="preserve">1,126件の紹介；438件の接触</w:t>
            </w:r>
          </w:p>
        </w:tc>
        <w:tc>
          <w:tcPr/>
          <w:p>
            <w:pPr>
              <w:pStyle w:val="Compact"/>
              <w:jc w:val="center"/>
            </w:pPr>
            <w:r>
              <w:rPr>
                <w:rFonts w:hint="eastAsia"/>
              </w:rPr>
              <w:t xml:space="preserve">多くの生存者に連絡が取れない、または支援を拒否</w:t>
            </w:r>
          </w:p>
        </w:tc>
        <w:tc>
          <w:tcPr/>
          <w:p>
            <w:pPr>
              <w:pStyle w:val="Compact"/>
              <w:jc w:val="right"/>
            </w:pPr>
            <w:r>
              <w:t xml:space="preserve">47%</w:t>
            </w:r>
          </w:p>
        </w:tc>
      </w:tr>
      <w:tr>
        <w:tc>
          <w:tcPr/>
          <w:p>
            <w:pPr>
              <w:pStyle w:val="Compact"/>
              <w:jc w:val="left"/>
            </w:pPr>
            <w:r>
              <w:rPr>
                <w:rFonts w:hint="eastAsia"/>
              </w:rPr>
              <w:t xml:space="preserve">予防プログラム</w:t>
            </w:r>
          </w:p>
        </w:tc>
        <w:tc>
          <w:tcPr/>
          <w:p>
            <w:pPr>
              <w:pStyle w:val="Compact"/>
              <w:jc w:val="center"/>
            </w:pPr>
            <w:r>
              <w:t xml:space="preserve">$1.3M</w:t>
            </w:r>
          </w:p>
        </w:tc>
        <w:tc>
          <w:tcPr/>
          <w:p>
            <w:pPr>
              <w:pStyle w:val="Compact"/>
              <w:jc w:val="center"/>
            </w:pPr>
            <w:r>
              <w:rPr>
                <w:rFonts w:hint="eastAsia"/>
              </w:rPr>
              <w:t xml:space="preserve">18,400人の学生・労働者にリーチ</w:t>
            </w:r>
          </w:p>
        </w:tc>
        <w:tc>
          <w:tcPr/>
          <w:p>
            <w:pPr>
              <w:pStyle w:val="Compact"/>
              <w:jc w:val="center"/>
            </w:pPr>
            <w:r>
              <w:rPr>
                <w:rFonts w:hint="eastAsia"/>
              </w:rPr>
              <w:t xml:space="preserve">死亡転帰との直接的な関連性はなし</w:t>
            </w:r>
          </w:p>
        </w:tc>
        <w:tc>
          <w:tcPr/>
          <w:p>
            <w:pPr>
              <w:pStyle w:val="Compact"/>
              <w:jc w:val="right"/>
            </w:pPr>
            <w:r>
              <w:t xml:space="preserve">29%</w:t>
            </w:r>
          </w:p>
        </w:tc>
      </w:tr>
      <w:tr>
        <w:tc>
          <w:tcPr/>
          <w:p>
            <w:pPr>
              <w:pStyle w:val="Compact"/>
              <w:jc w:val="left"/>
            </w:pPr>
            <w:r>
              <w:rPr>
                <w:rFonts w:hint="eastAsia"/>
              </w:rPr>
              <w:t xml:space="preserve">サーベイランス／データ</w:t>
            </w:r>
          </w:p>
        </w:tc>
        <w:tc>
          <w:tcPr/>
          <w:p>
            <w:pPr>
              <w:pStyle w:val="Compact"/>
              <w:jc w:val="center"/>
            </w:pPr>
            <w:r>
              <w:t xml:space="preserve">$1.2M</w:t>
            </w:r>
          </w:p>
        </w:tc>
        <w:tc>
          <w:tcPr/>
          <w:p>
            <w:pPr>
              <w:pStyle w:val="Compact"/>
              <w:jc w:val="center"/>
            </w:pPr>
            <w:r>
              <w:rPr>
                <w:rFonts w:hint="eastAsia"/>
              </w:rPr>
              <w:t xml:space="preserve">月次ダッシュボード；ホットスポット警告</w:t>
            </w:r>
          </w:p>
        </w:tc>
        <w:tc>
          <w:tcPr/>
          <w:p>
            <w:pPr>
              <w:pStyle w:val="Compact"/>
              <w:jc w:val="center"/>
            </w:pPr>
            <w:r>
              <w:rPr>
                <w:rFonts w:hint="eastAsia"/>
              </w:rPr>
              <w:t xml:space="preserve">データ共有の遅延と定義の不一致</w:t>
            </w:r>
          </w:p>
        </w:tc>
        <w:tc>
          <w:tcPr/>
          <w:p>
            <w:pPr>
              <w:pStyle w:val="Compact"/>
              <w:jc w:val="right"/>
            </w:pPr>
            <w:r>
              <w:t xml:space="preserve">52%</w:t>
            </w:r>
          </w:p>
        </w:tc>
      </w:tr>
      <w:tr>
        <w:tc>
          <w:tcPr/>
          <w:p>
            <w:pPr>
              <w:pStyle w:val="Compact"/>
              <w:jc w:val="left"/>
            </w:pPr>
            <w:r>
              <w:rPr>
                <w:rFonts w:hint="eastAsia"/>
              </w:rPr>
              <w:t xml:space="preserve">提供者契約</w:t>
            </w:r>
          </w:p>
        </w:tc>
        <w:tc>
          <w:tcPr/>
          <w:p>
            <w:pPr>
              <w:pStyle w:val="Compact"/>
              <w:jc w:val="center"/>
            </w:pPr>
            <w:r>
              <w:t xml:space="preserve">$3.5M</w:t>
            </w:r>
          </w:p>
        </w:tc>
        <w:tc>
          <w:tcPr/>
          <w:p>
            <w:pPr>
              <w:pStyle w:val="Compact"/>
              <w:jc w:val="center"/>
            </w:pPr>
            <w:r>
              <w:rPr>
                <w:rFonts w:hint="eastAsia"/>
              </w:rPr>
              <w:t xml:space="preserve">2,260件の治療枠に資金提供</w:t>
            </w:r>
          </w:p>
        </w:tc>
        <w:tc>
          <w:tcPr/>
          <w:p>
            <w:pPr>
              <w:pStyle w:val="Compact"/>
              <w:jc w:val="center"/>
            </w:pPr>
            <w:r>
              <w:rPr>
                <w:rFonts w:hint="eastAsia"/>
              </w:rPr>
              <w:t xml:space="preserve">利用率は平均72%；農村部でのアクセスは限定的</w:t>
            </w:r>
          </w:p>
        </w:tc>
        <w:tc>
          <w:tcPr/>
          <w:p>
            <w:pPr>
              <w:pStyle w:val="Compact"/>
              <w:jc w:val="right"/>
            </w:pPr>
            <w:r>
              <w:t xml:space="preserve">23%</w:t>
            </w:r>
          </w:p>
        </w:tc>
      </w:tr>
    </w:tbl>
    <w:p>
      <w:pPr>
        <w:pStyle w:val="BodyText"/>
      </w:pPr>
      <w:r>
        <w:rPr>
          <w:rFonts w:hint="eastAsia"/>
        </w:rPr>
        <w:t xml:space="preserve">注：コストと成果は架空のものである。「助成金の割合」は現在、失効する連邦助成によって支えられている部分を示す。</w:t>
      </w:r>
    </w:p>
    <w:bookmarkEnd w:id="18"/>
    <w:bookmarkStart w:id="19" w:name="考えられる方向性相互に排他的ではない"/>
    <w:p>
      <w:pPr>
        <w:pStyle w:val="Heading1"/>
      </w:pPr>
      <w:r>
        <w:rPr>
          <w:rFonts w:hint="eastAsia"/>
        </w:rPr>
        <w:t xml:space="preserve">考えられる方向性――相互に排他的ではない</w:t>
      </w:r>
    </w:p>
    <w:p>
      <w:pPr>
        <w:pStyle w:val="FirstParagraph"/>
      </w:pPr>
      <w:r>
        <w:rPr>
          <w:rFonts w:hint="eastAsia"/>
          <w:b/>
          <w:bCs/>
        </w:rPr>
        <w:t xml:space="preserve">死亡防止に集中する。</w:t>
      </w:r>
      <w:r>
        <w:t xml:space="preserve"> </w:t>
      </w:r>
      <w:r>
        <w:rPr>
          <w:rFonts w:hint="eastAsia"/>
        </w:rPr>
        <w:t xml:space="preserve">ナロキソン配布とホットスポットへのアウトリーチを守り、治療の継続性が弱まることを受け入れる。</w:t>
      </w:r>
    </w:p>
    <w:p>
      <w:pPr>
        <w:pStyle w:val="BodyText"/>
      </w:pPr>
      <w:r>
        <w:rPr>
          <w:rFonts w:hint="eastAsia"/>
          <w:b/>
          <w:bCs/>
        </w:rPr>
        <w:t xml:space="preserve">治療継続へのシフト。</w:t>
      </w:r>
      <w:r>
        <w:t xml:space="preserve"> </w:t>
      </w:r>
      <w:r>
        <w:rPr>
          <w:rFonts w:hint="eastAsia"/>
        </w:rPr>
        <w:t xml:space="preserve">広範な配布を減らし、交通手段、ケア・ナビゲーション、コンティンジェンシー・マネジメント、より長期のフォローアップに投資する。</w:t>
      </w:r>
    </w:p>
    <w:p>
      <w:pPr>
        <w:pStyle w:val="BodyText"/>
      </w:pPr>
      <w:r>
        <w:rPr>
          <w:rFonts w:hint="eastAsia"/>
          <w:b/>
          <w:bCs/>
        </w:rPr>
        <w:t xml:space="preserve">負担の大きい人口層・地域を対象とする。</w:t>
      </w:r>
      <w:r>
        <w:t xml:space="preserve"> </w:t>
      </w:r>
      <w:r>
        <w:rPr>
          <w:rFonts w:hint="eastAsia"/>
        </w:rPr>
        <w:t xml:space="preserve">地域および人口統計データを用いて資源を集中させ、郡全体でのアクセスの均一性が低下することを受け入れる。</w:t>
      </w:r>
    </w:p>
    <w:p>
      <w:pPr>
        <w:pStyle w:val="BodyText"/>
      </w:pPr>
      <w:r>
        <w:rPr>
          <w:rFonts w:hint="eastAsia"/>
          <w:b/>
          <w:bCs/>
        </w:rPr>
        <w:t xml:space="preserve">主流の機関にサービスを組み込む。</w:t>
      </w:r>
      <w:r>
        <w:t xml:space="preserve"> </w:t>
      </w:r>
      <w:r>
        <w:rPr>
          <w:rFonts w:hint="eastAsia"/>
        </w:rPr>
        <w:t xml:space="preserve">郡運営のプログラムを維持するのではなく、病院、プライマリケア診療所、薬局、刑務所と契約する。</w:t>
      </w:r>
    </w:p>
    <w:p>
      <w:pPr>
        <w:pStyle w:val="BodyText"/>
      </w:pPr>
      <w:r>
        <w:rPr>
          <w:rFonts w:hint="eastAsia"/>
          <w:b/>
          <w:bCs/>
        </w:rPr>
        <w:t xml:space="preserve">より適応的なポートフォリオを構築する。</w:t>
      </w:r>
      <w:r>
        <w:t xml:space="preserve"> </w:t>
      </w:r>
      <w:r>
        <w:rPr>
          <w:rFonts w:hint="eastAsia"/>
        </w:rPr>
        <w:t xml:space="preserve">予算の一部を、先行指標に連動した迅速な実験のために確保し、エビデンスが蓄積するにつれてプログラムを拡大または中止する。</w:t>
      </w:r>
    </w:p>
    <w:bookmarkEnd w:id="19"/>
    <w:bookmarkStart w:id="20" w:name="成功とは何を意味するのか"/>
    <w:p>
      <w:pPr>
        <w:pStyle w:val="Heading1"/>
      </w:pPr>
      <w:r>
        <w:rPr>
          <w:rFonts w:hint="eastAsia"/>
        </w:rPr>
        <w:t xml:space="preserve">成功とは何を意味するのか？</w:t>
      </w:r>
    </w:p>
    <w:p>
      <w:pPr>
        <w:pStyle w:val="FirstParagraph"/>
      </w:pPr>
      <w:r>
        <w:rPr>
          <w:rFonts w:hint="eastAsia"/>
        </w:rPr>
        <w:t xml:space="preserve">関係者たちは目的について合意していなかった。郡執行官は1ドル当たりの死者数の減少を望んでいた。病院は治療開始と救急部門利用の削減を優先していた。支援者たちは生存、尊厳、そして公平なアクセスを重視していた。警察の指導者たちは公然の薬物使用と繰り返される通報に注目していた。提供者たちはケアへの継続率を測定していた。疫学チームは、いずれか一つの指標における見かけ上の改善が、置き換え、報告の遅延、薬物成分の変化、あるいは平均への回帰を反映している可能性があると警告していた。</w:t>
      </w:r>
    </w:p>
    <w:p>
      <w:pPr>
        <w:pStyle w:val="BodyText"/>
      </w:pPr>
      <w:r>
        <w:rPr>
          <w:rFonts w:hint="eastAsia"/>
        </w:rPr>
        <w:t xml:space="preserve">トーレスはまた、どの程度のエビデンスがあれば十分なのかも判断する必要があった。連邦資金による大規模な地域介入は、その評価期間中、エビデンスに基づく実践が増加したにもかかわらず、オピオイド過剰摂取による死亡率の統計的に有意な減少を示すことができなかった――これは、幅広いサービスのパッケージを測定可能な人口レベルの転帰に変換することがいかに困難であるかを示す例である。⁷</w:t>
      </w:r>
    </w:p>
    <w:bookmarkEnd w:id="20"/>
    <w:bookmarkStart w:id="21" w:name="図表-1リバートン郡のオーバードーズ指標"/>
    <w:p>
      <w:pPr>
        <w:pStyle w:val="Heading1"/>
      </w:pPr>
      <w:r>
        <w:rPr>
          <w:rFonts w:hint="eastAsia"/>
        </w:rPr>
        <w:t xml:space="preserve">図表</w:t>
      </w:r>
      <w:r>
        <w:t xml:space="preserve"> </w:t>
      </w:r>
      <w:r>
        <w:rPr>
          <w:rFonts w:hint="eastAsia"/>
        </w:rPr>
        <w:t xml:space="preserve">1．リバートン郡のオーバードーズ指標</w:t>
      </w:r>
    </w:p>
    <w:tbl>
      <w:tblPr>
        <w:tblStyle w:val="Table"/>
        <w:tblW w:type="pct" w:w="4899"/>
        <w:tblLayout w:type="fixed"/>
        <w:tblLook w:firstRow="1" w:lastRow="0" w:firstColumn="0" w:lastColumn="0" w:noHBand="0" w:noVBand="0" w:val="0020"/>
      </w:tblPr>
      <w:tblGrid>
        <w:gridCol w:w="2880"/>
        <w:gridCol w:w="960"/>
        <w:gridCol w:w="960"/>
        <w:gridCol w:w="960"/>
        <w:gridCol w:w="960"/>
        <w:gridCol w:w="1040"/>
      </w:tblGrid>
      <w:tr>
        <w:trPr>
          <w:tblHeader w:val="on"/>
        </w:trPr>
        <w:tc>
          <w:tcPr/>
          <w:p>
            <w:pPr>
              <w:pStyle w:val="Compact"/>
              <w:jc w:val="left"/>
            </w:pPr>
            <w:r>
              <w:rPr>
                <w:rFonts w:hint="eastAsia"/>
              </w:rPr>
              <w:t xml:space="preserve">指標</w:t>
            </w:r>
          </w:p>
        </w:tc>
        <w:tc>
          <w:tcPr/>
          <w:p>
            <w:pPr>
              <w:pStyle w:val="Compact"/>
              <w:jc w:val="left"/>
            </w:pPr>
            <w:r>
              <w:t xml:space="preserve">2022</w:t>
            </w:r>
          </w:p>
        </w:tc>
        <w:tc>
          <w:tcPr/>
          <w:p>
            <w:pPr>
              <w:pStyle w:val="Compact"/>
              <w:jc w:val="left"/>
            </w:pPr>
            <w:r>
              <w:t xml:space="preserve">2023</w:t>
            </w:r>
          </w:p>
        </w:tc>
        <w:tc>
          <w:tcPr/>
          <w:p>
            <w:pPr>
              <w:pStyle w:val="Compact"/>
              <w:jc w:val="left"/>
            </w:pPr>
            <w:r>
              <w:t xml:space="preserve">2024</w:t>
            </w:r>
          </w:p>
        </w:tc>
        <w:tc>
          <w:tcPr/>
          <w:p>
            <w:pPr>
              <w:pStyle w:val="Compact"/>
              <w:jc w:val="left"/>
            </w:pPr>
            <w:r>
              <w:t xml:space="preserve">2025</w:t>
            </w:r>
          </w:p>
        </w:tc>
        <w:tc>
          <w:tcPr/>
          <w:p>
            <w:pPr>
              <w:pStyle w:val="Compact"/>
            </w:pPr>
            <w:r>
              <w:rPr>
                <w:rFonts w:hint="eastAsia"/>
              </w:rPr>
              <w:t xml:space="preserve">2026年（年初来）*</w:t>
            </w:r>
          </w:p>
        </w:tc>
      </w:tr>
      <w:tr>
        <w:tc>
          <w:tcPr/>
          <w:p>
            <w:pPr>
              <w:pStyle w:val="Compact"/>
              <w:jc w:val="left"/>
            </w:pPr>
            <w:r>
              <w:rPr>
                <w:rFonts w:hint="eastAsia"/>
              </w:rPr>
              <w:t xml:space="preserve">致死的オーバードーズ</w:t>
            </w:r>
          </w:p>
        </w:tc>
        <w:tc>
          <w:tcPr/>
          <w:p>
            <w:pPr>
              <w:pStyle w:val="Compact"/>
              <w:jc w:val="left"/>
            </w:pPr>
            <w:r>
              <w:t xml:space="preserve">118</w:t>
            </w:r>
          </w:p>
        </w:tc>
        <w:tc>
          <w:tcPr/>
          <w:p>
            <w:pPr>
              <w:pStyle w:val="Compact"/>
              <w:jc w:val="left"/>
            </w:pPr>
            <w:r>
              <w:t xml:space="preserve">136</w:t>
            </w:r>
          </w:p>
        </w:tc>
        <w:tc>
          <w:tcPr/>
          <w:p>
            <w:pPr>
              <w:pStyle w:val="Compact"/>
              <w:jc w:val="left"/>
            </w:pPr>
            <w:r>
              <w:t xml:space="preserve">129</w:t>
            </w:r>
          </w:p>
        </w:tc>
        <w:tc>
          <w:tcPr/>
          <w:p>
            <w:pPr>
              <w:pStyle w:val="Compact"/>
              <w:jc w:val="left"/>
            </w:pPr>
            <w:r>
              <w:t xml:space="preserve">101</w:t>
            </w:r>
          </w:p>
        </w:tc>
        <w:tc>
          <w:tcPr/>
          <w:p>
            <w:pPr>
              <w:pStyle w:val="Compact"/>
            </w:pPr>
            <w:r>
              <w:t xml:space="preserve">43</w:t>
            </w:r>
          </w:p>
        </w:tc>
      </w:tr>
      <w:tr>
        <w:tc>
          <w:tcPr/>
          <w:p>
            <w:pPr>
              <w:pStyle w:val="Compact"/>
              <w:jc w:val="left"/>
            </w:pPr>
            <w:r>
              <w:rPr>
                <w:rFonts w:hint="eastAsia"/>
              </w:rPr>
              <w:t xml:space="preserve">救急医療サービスが治療した非致死的オ</w:t>
            </w:r>
          </w:p>
        </w:tc>
        <w:tc>
          <w:tcPr/>
          <w:p>
            <w:pPr>
              <w:pStyle w:val="Compact"/>
              <w:jc w:val="left"/>
            </w:pPr>
            <w:r>
              <w:t xml:space="preserve">ーバードーズ</w:t>
            </w:r>
          </w:p>
        </w:tc>
        <w:tc>
          <w:tcPr/>
          <w:p>
            <w:pPr>
              <w:pStyle w:val="Compact"/>
              <w:jc w:val="left"/>
            </w:pPr>
            <w:r>
              <w:t xml:space="preserve">642</w:t>
            </w:r>
          </w:p>
        </w:tc>
        <w:tc>
          <w:tcPr/>
          <w:p>
            <w:pPr>
              <w:pStyle w:val="Compact"/>
              <w:jc w:val="left"/>
            </w:pPr>
            <w:r>
              <w:t xml:space="preserve">714</w:t>
            </w:r>
          </w:p>
        </w:tc>
        <w:tc>
          <w:tcPr/>
          <w:p>
            <w:pPr>
              <w:pStyle w:val="Compact"/>
              <w:jc w:val="left"/>
            </w:pPr>
            <w:r>
              <w:t xml:space="preserve">746</w:t>
            </w:r>
          </w:p>
        </w:tc>
        <w:tc>
          <w:tcPr/>
          <w:p>
            <w:pPr>
              <w:pStyle w:val="Compact"/>
            </w:pPr>
            <w:r>
              <w:t xml:space="preserve">691 286</w:t>
            </w:r>
          </w:p>
        </w:tc>
      </w:tr>
      <w:tr>
        <w:tc>
          <w:tcPr/>
          <w:p>
            <w:pPr>
              <w:pStyle w:val="Compact"/>
              <w:jc w:val="left"/>
            </w:pPr>
            <w:r>
              <w:rPr>
                <w:rFonts w:hint="eastAsia"/>
              </w:rPr>
              <w:t xml:space="preserve">救急医療サービスによるナロキソン投与</w:t>
            </w:r>
          </w:p>
        </w:tc>
        <w:tc>
          <w:tcPr/>
          <w:p>
            <w:pPr>
              <w:pStyle w:val="Compact"/>
              <w:jc w:val="left"/>
            </w:pPr>
            <w:r>
              <w:t xml:space="preserve">508</w:t>
            </w:r>
          </w:p>
        </w:tc>
        <w:tc>
          <w:tcPr/>
          <w:p>
            <w:pPr>
              <w:pStyle w:val="Compact"/>
              <w:jc w:val="left"/>
            </w:pPr>
            <w:r>
              <w:t xml:space="preserve">575</w:t>
            </w:r>
          </w:p>
        </w:tc>
        <w:tc>
          <w:tcPr/>
          <w:p>
            <w:pPr>
              <w:pStyle w:val="Compact"/>
              <w:jc w:val="left"/>
            </w:pPr>
            <w:r>
              <w:t xml:space="preserve">612</w:t>
            </w:r>
          </w:p>
        </w:tc>
        <w:tc>
          <w:tcPr/>
          <w:p>
            <w:pPr>
              <w:pStyle w:val="Compact"/>
              <w:jc w:val="left"/>
            </w:pPr>
            <w:r>
              <w:t xml:space="preserve">584</w:t>
            </w:r>
          </w:p>
        </w:tc>
        <w:tc>
          <w:tcPr/>
          <w:p>
            <w:pPr>
              <w:pStyle w:val="Compact"/>
            </w:pPr>
            <w:r>
              <w:t xml:space="preserve">241</w:t>
            </w:r>
          </w:p>
        </w:tc>
      </w:tr>
      <w:tr>
        <w:tc>
          <w:tcPr/>
          <w:p>
            <w:pPr>
              <w:pStyle w:val="Compact"/>
              <w:jc w:val="left"/>
            </w:pPr>
            <w:r>
              <w:rPr>
                <w:rFonts w:hint="eastAsia"/>
              </w:rPr>
              <w:t xml:space="preserve">病院でのオーバードーズ対応件数</w:t>
            </w:r>
          </w:p>
        </w:tc>
        <w:tc>
          <w:tcPr/>
          <w:p>
            <w:pPr>
              <w:pStyle w:val="Compact"/>
              <w:jc w:val="left"/>
            </w:pPr>
            <w:r>
              <w:t xml:space="preserve">884</w:t>
            </w:r>
          </w:p>
        </w:tc>
        <w:tc>
          <w:tcPr/>
          <w:p>
            <w:pPr>
              <w:pStyle w:val="Compact"/>
              <w:jc w:val="left"/>
            </w:pPr>
            <w:r>
              <w:t xml:space="preserve">963</w:t>
            </w:r>
          </w:p>
        </w:tc>
        <w:tc>
          <w:tcPr/>
          <w:p>
            <w:pPr>
              <w:pStyle w:val="Compact"/>
              <w:jc w:val="left"/>
            </w:pPr>
            <w:r>
              <w:t xml:space="preserve">1,022</w:t>
            </w:r>
          </w:p>
        </w:tc>
        <w:tc>
          <w:tcPr/>
          <w:p>
            <w:pPr>
              <w:pStyle w:val="Compact"/>
              <w:jc w:val="left"/>
            </w:pPr>
            <w:r>
              <w:t xml:space="preserve">947</w:t>
            </w:r>
          </w:p>
        </w:tc>
        <w:tc>
          <w:tcPr/>
          <w:p>
            <w:pPr>
              <w:pStyle w:val="Compact"/>
            </w:pPr>
            <w:r>
              <w:t xml:space="preserve">412</w:t>
            </w:r>
          </w:p>
        </w:tc>
      </w:tr>
      <w:tr>
        <w:tc>
          <w:tcPr/>
          <w:p>
            <w:pPr>
              <w:pStyle w:val="Compact"/>
              <w:jc w:val="left"/>
            </w:pPr>
            <w:r>
              <w:rPr>
                <w:rFonts w:hint="eastAsia"/>
              </w:rPr>
              <w:t xml:space="preserve">投薬治療開始件数</w:t>
            </w:r>
          </w:p>
        </w:tc>
        <w:tc>
          <w:tcPr/>
          <w:p>
            <w:pPr>
              <w:pStyle w:val="Compact"/>
              <w:jc w:val="left"/>
            </w:pPr>
            <w:r>
              <w:t xml:space="preserve">611</w:t>
            </w:r>
          </w:p>
        </w:tc>
        <w:tc>
          <w:tcPr/>
          <w:p>
            <w:pPr>
              <w:pStyle w:val="Compact"/>
              <w:jc w:val="left"/>
            </w:pPr>
            <w:r>
              <w:t xml:space="preserve">782</w:t>
            </w:r>
          </w:p>
        </w:tc>
        <w:tc>
          <w:tcPr/>
          <w:p>
            <w:pPr>
              <w:pStyle w:val="Compact"/>
              <w:jc w:val="left"/>
            </w:pPr>
            <w:r>
              <w:t xml:space="preserve">1,036</w:t>
            </w:r>
          </w:p>
        </w:tc>
        <w:tc>
          <w:tcPr/>
          <w:p>
            <w:pPr>
              <w:pStyle w:val="Compact"/>
              <w:jc w:val="left"/>
            </w:pPr>
            <w:r>
              <w:t xml:space="preserve">1,194</w:t>
            </w:r>
          </w:p>
        </w:tc>
        <w:tc>
          <w:tcPr/>
          <w:p>
            <w:pPr>
              <w:pStyle w:val="Compact"/>
            </w:pPr>
            <w:r>
              <w:t xml:space="preserve">566</w:t>
            </w:r>
          </w:p>
        </w:tc>
      </w:tr>
      <w:tr>
        <w:tc>
          <w:tcPr/>
          <w:p>
            <w:pPr>
              <w:pStyle w:val="Compact"/>
              <w:jc w:val="left"/>
            </w:pPr>
            <w:r>
              <w:rPr>
                <w:rFonts w:hint="eastAsia"/>
              </w:rPr>
              <w:t xml:space="preserve">90日治療継続率</w:t>
            </w:r>
          </w:p>
        </w:tc>
        <w:tc>
          <w:tcPr/>
          <w:p>
            <w:pPr>
              <w:pStyle w:val="Compact"/>
              <w:jc w:val="left"/>
            </w:pPr>
            <w:r>
              <w:t xml:space="preserve">29%</w:t>
            </w:r>
          </w:p>
        </w:tc>
        <w:tc>
          <w:tcPr/>
          <w:p>
            <w:pPr>
              <w:pStyle w:val="Compact"/>
              <w:jc w:val="left"/>
            </w:pPr>
            <w:r>
              <w:t xml:space="preserve">31%</w:t>
            </w:r>
          </w:p>
        </w:tc>
        <w:tc>
          <w:tcPr/>
          <w:p>
            <w:pPr>
              <w:pStyle w:val="Compact"/>
              <w:jc w:val="left"/>
            </w:pPr>
            <w:r>
              <w:t xml:space="preserve">34%</w:t>
            </w:r>
          </w:p>
        </w:tc>
        <w:tc>
          <w:tcPr/>
          <w:p>
            <w:pPr>
              <w:pStyle w:val="Compact"/>
              <w:jc w:val="left"/>
            </w:pPr>
            <w:r>
              <w:t xml:space="preserve">36%</w:t>
            </w:r>
          </w:p>
        </w:tc>
        <w:tc>
          <w:tcPr/>
          <w:p>
            <w:pPr>
              <w:pStyle w:val="Compact"/>
            </w:pPr>
            <w:r>
              <w:t xml:space="preserve">35%</w:t>
            </w:r>
          </w:p>
        </w:tc>
      </w:tr>
    </w:tbl>
    <w:p>
      <w:pPr>
        <w:pStyle w:val="BodyText"/>
      </w:pPr>
      <w:r>
        <w:rPr>
          <w:rFonts w:hint="eastAsia"/>
        </w:rPr>
        <w:t xml:space="preserve">*2026年8月31日時点。リバートン郡の数値はすべて架空のものである。年初来の値は通年の合計と直接比較できない。</w:t>
      </w:r>
    </w:p>
    <w:bookmarkEnd w:id="21"/>
    <w:bookmarkStart w:id="22" w:name="図表-2不均一な転帰20232025年"/>
    <w:p>
      <w:pPr>
        <w:pStyle w:val="Heading1"/>
      </w:pPr>
      <w:r>
        <w:rPr>
          <w:rFonts w:hint="eastAsia"/>
        </w:rPr>
        <w:t xml:space="preserve">図表</w:t>
      </w:r>
      <w:r>
        <w:t xml:space="preserve"> </w:t>
      </w:r>
      <w:r>
        <w:rPr>
          <w:rFonts w:hint="eastAsia"/>
        </w:rPr>
        <w:t xml:space="preserve">2．不均一な転帰、2023～2025年</w:t>
      </w:r>
    </w:p>
    <w:tbl>
      <w:tblPr>
        <w:tblStyle w:val="Table"/>
        <w:tblW w:type="pct" w:w="4884"/>
        <w:tblLayout w:type="fixed"/>
        <w:tblLook w:firstRow="1" w:lastRow="0" w:firstColumn="0" w:lastColumn="0" w:noHBand="0" w:noVBand="0" w:val="0020"/>
      </w:tblPr>
      <w:tblGrid>
        <w:gridCol w:w="2762"/>
        <w:gridCol w:w="1657"/>
        <w:gridCol w:w="1657"/>
        <w:gridCol w:w="1657"/>
      </w:tblGrid>
      <w:tr>
        <w:trPr>
          <w:tblHeader w:val="on"/>
        </w:trPr>
        <w:tc>
          <w:tcPr/>
          <w:p>
            <w:pPr>
              <w:pStyle w:val="Compact"/>
              <w:jc w:val="left"/>
            </w:pPr>
            <w:r>
              <w:rPr>
                <w:rFonts w:hint="eastAsia"/>
              </w:rPr>
              <w:t xml:space="preserve">人口グループ</w:t>
            </w:r>
          </w:p>
        </w:tc>
        <w:tc>
          <w:tcPr/>
          <w:p>
            <w:pPr>
              <w:pStyle w:val="Compact"/>
              <w:jc w:val="center"/>
            </w:pPr>
            <w:r>
              <w:rPr>
                <w:rFonts w:hint="eastAsia"/>
              </w:rPr>
              <w:t xml:space="preserve">2023年の死者数</w:t>
            </w:r>
          </w:p>
        </w:tc>
        <w:tc>
          <w:tcPr/>
          <w:p>
            <w:pPr>
              <w:pStyle w:val="Compact"/>
              <w:jc w:val="right"/>
            </w:pPr>
            <w:r>
              <w:rPr>
                <w:rFonts w:hint="eastAsia"/>
              </w:rPr>
              <w:t xml:space="preserve">2025年の死者数</w:t>
            </w:r>
          </w:p>
        </w:tc>
        <w:tc>
          <w:tcPr/>
          <w:p>
            <w:pPr>
              <w:pStyle w:val="Compact"/>
              <w:jc w:val="center"/>
            </w:pPr>
            <w:r>
              <w:rPr>
                <w:rFonts w:hint="eastAsia"/>
              </w:rPr>
              <w:t xml:space="preserve">変化</w:t>
            </w:r>
          </w:p>
        </w:tc>
      </w:tr>
      <w:tr>
        <w:tc>
          <w:tcPr/>
          <w:p>
            <w:pPr>
              <w:pStyle w:val="Compact"/>
              <w:jc w:val="left"/>
            </w:pPr>
            <w:r>
              <w:rPr>
                <w:rFonts w:hint="eastAsia"/>
              </w:rPr>
              <w:t xml:space="preserve">白人住民</w:t>
            </w:r>
          </w:p>
        </w:tc>
        <w:tc>
          <w:tcPr/>
          <w:p>
            <w:pPr>
              <w:pStyle w:val="Compact"/>
              <w:jc w:val="center"/>
            </w:pPr>
            <w:r>
              <w:t xml:space="preserve">76</w:t>
            </w:r>
          </w:p>
        </w:tc>
        <w:tc>
          <w:tcPr/>
          <w:p>
            <w:pPr>
              <w:pStyle w:val="Compact"/>
              <w:jc w:val="right"/>
            </w:pPr>
            <w:r>
              <w:t xml:space="preserve">55</w:t>
            </w:r>
          </w:p>
        </w:tc>
        <w:tc>
          <w:tcPr/>
          <w:p>
            <w:pPr>
              <w:pStyle w:val="Compact"/>
              <w:jc w:val="center"/>
            </w:pPr>
            <w:r>
              <w:t xml:space="preserve">-28%</w:t>
            </w:r>
          </w:p>
        </w:tc>
      </w:tr>
      <w:tr>
        <w:tc>
          <w:tcPr/>
          <w:p>
            <w:pPr>
              <w:pStyle w:val="Compact"/>
              <w:jc w:val="left"/>
            </w:pPr>
            <w:r>
              <w:rPr>
                <w:rFonts w:hint="eastAsia"/>
              </w:rPr>
              <w:t xml:space="preserve">黒人住民</w:t>
            </w:r>
          </w:p>
        </w:tc>
        <w:tc>
          <w:tcPr/>
          <w:p>
            <w:pPr>
              <w:pStyle w:val="Compact"/>
              <w:jc w:val="center"/>
            </w:pPr>
            <w:r>
              <w:t xml:space="preserve">34</w:t>
            </w:r>
          </w:p>
        </w:tc>
        <w:tc>
          <w:tcPr/>
          <w:p>
            <w:pPr>
              <w:pStyle w:val="Compact"/>
              <w:jc w:val="right"/>
            </w:pPr>
            <w:r>
              <w:t xml:space="preserve">32</w:t>
            </w:r>
          </w:p>
        </w:tc>
        <w:tc>
          <w:tcPr/>
          <w:p>
            <w:pPr>
              <w:pStyle w:val="Compact"/>
              <w:jc w:val="center"/>
            </w:pPr>
            <w:r>
              <w:t xml:space="preserve">-6%</w:t>
            </w:r>
          </w:p>
        </w:tc>
      </w:tr>
      <w:tr>
        <w:tc>
          <w:tcPr/>
          <w:p>
            <w:pPr>
              <w:pStyle w:val="Compact"/>
              <w:jc w:val="left"/>
            </w:pPr>
            <w:r>
              <w:rPr>
                <w:rFonts w:hint="eastAsia"/>
              </w:rPr>
              <w:t xml:space="preserve">ヒスパニック住民</w:t>
            </w:r>
          </w:p>
        </w:tc>
        <w:tc>
          <w:tcPr/>
          <w:p>
            <w:pPr>
              <w:pStyle w:val="Compact"/>
              <w:jc w:val="center"/>
            </w:pPr>
            <w:r>
              <w:t xml:space="preserve">19</w:t>
            </w:r>
          </w:p>
        </w:tc>
        <w:tc>
          <w:tcPr/>
          <w:p>
            <w:pPr>
              <w:pStyle w:val="Compact"/>
              <w:jc w:val="right"/>
            </w:pPr>
            <w:r>
              <w:t xml:space="preserve">11</w:t>
            </w:r>
          </w:p>
        </w:tc>
        <w:tc>
          <w:tcPr/>
          <w:p>
            <w:pPr>
              <w:pStyle w:val="Compact"/>
              <w:jc w:val="center"/>
            </w:pPr>
            <w:r>
              <w:t xml:space="preserve">-42%</w:t>
            </w:r>
          </w:p>
        </w:tc>
      </w:tr>
      <w:tr>
        <w:tc>
          <w:tcPr/>
          <w:p>
            <w:pPr>
              <w:pStyle w:val="Compact"/>
              <w:jc w:val="left"/>
            </w:pPr>
            <w:r>
              <w:rPr>
                <w:rFonts w:hint="eastAsia"/>
              </w:rPr>
              <w:t xml:space="preserve">その他・複数人種住民</w:t>
            </w:r>
          </w:p>
        </w:tc>
        <w:tc>
          <w:tcPr/>
          <w:p>
            <w:pPr>
              <w:pStyle w:val="Compact"/>
              <w:jc w:val="center"/>
            </w:pPr>
            <w:r>
              <w:t xml:space="preserve">7</w:t>
            </w:r>
          </w:p>
        </w:tc>
        <w:tc>
          <w:tcPr/>
          <w:p>
            <w:pPr>
              <w:pStyle w:val="Compact"/>
              <w:jc w:val="right"/>
            </w:pPr>
            <w:r>
              <w:t xml:space="preserve">3</w:t>
            </w:r>
          </w:p>
        </w:tc>
        <w:tc>
          <w:tcPr/>
          <w:p>
            <w:pPr>
              <w:pStyle w:val="Compact"/>
              <w:jc w:val="center"/>
            </w:pPr>
            <w:r>
              <w:t xml:space="preserve">-57%</w:t>
            </w:r>
          </w:p>
        </w:tc>
      </w:tr>
      <w:tr>
        <w:tc>
          <w:tcPr/>
          <w:p>
            <w:pPr>
              <w:pStyle w:val="Compact"/>
              <w:jc w:val="left"/>
            </w:pPr>
            <w:r>
              <w:rPr>
                <w:rFonts w:hint="eastAsia"/>
              </w:rPr>
              <w:t xml:space="preserve">45～64歳</w:t>
            </w:r>
          </w:p>
        </w:tc>
        <w:tc>
          <w:tcPr/>
          <w:p>
            <w:pPr>
              <w:pStyle w:val="Compact"/>
              <w:jc w:val="center"/>
            </w:pPr>
            <w:r>
              <w:t xml:space="preserve">47</w:t>
            </w:r>
          </w:p>
        </w:tc>
        <w:tc>
          <w:tcPr/>
          <w:p>
            <w:pPr>
              <w:pStyle w:val="Compact"/>
              <w:jc w:val="right"/>
            </w:pPr>
            <w:r>
              <w:t xml:space="preserve">47</w:t>
            </w:r>
          </w:p>
        </w:tc>
        <w:tc>
          <w:tcPr/>
          <w:p>
            <w:pPr>
              <w:pStyle w:val="Compact"/>
              <w:jc w:val="center"/>
            </w:pPr>
            <w:r>
              <w:t xml:space="preserve">0%</w:t>
            </w:r>
          </w:p>
        </w:tc>
      </w:tr>
      <w:tr>
        <w:tc>
          <w:tcPr/>
          <w:p>
            <w:pPr>
              <w:pStyle w:val="Compact"/>
              <w:jc w:val="left"/>
            </w:pPr>
            <w:r>
              <w:rPr>
                <w:rFonts w:hint="eastAsia"/>
              </w:rPr>
              <w:t xml:space="preserve">西部農村部の町</w:t>
            </w:r>
          </w:p>
        </w:tc>
        <w:tc>
          <w:tcPr/>
          <w:p>
            <w:pPr>
              <w:pStyle w:val="Compact"/>
              <w:jc w:val="center"/>
            </w:pPr>
            <w:r>
              <w:t xml:space="preserve">29</w:t>
            </w:r>
          </w:p>
        </w:tc>
        <w:tc>
          <w:tcPr/>
          <w:p>
            <w:pPr>
              <w:pStyle w:val="Compact"/>
              <w:jc w:val="right"/>
            </w:pPr>
            <w:r>
              <w:t xml:space="preserve">27</w:t>
            </w:r>
          </w:p>
        </w:tc>
        <w:tc>
          <w:tcPr/>
          <w:p>
            <w:pPr>
              <w:pStyle w:val="Compact"/>
              <w:jc w:val="center"/>
            </w:pPr>
            <w:r>
              <w:t xml:space="preserve">-7%</w:t>
            </w:r>
          </w:p>
        </w:tc>
      </w:tr>
    </w:tbl>
    <w:bookmarkEnd w:id="22"/>
    <w:bookmarkStart w:id="23" w:name="議論のための質問"/>
    <w:p>
      <w:pPr>
        <w:pStyle w:val="Heading1"/>
      </w:pPr>
      <w:r>
        <w:rPr>
          <w:rFonts w:hint="eastAsia"/>
        </w:rPr>
        <w:t xml:space="preserve">議論のための質問</w:t>
      </w:r>
    </w:p>
    <w:p>
      <w:pPr>
        <w:numPr>
          <w:ilvl w:val="0"/>
          <w:numId w:val="1001"/>
        </w:numPr>
      </w:pPr>
      <w:r>
        <w:rPr>
          <w:rFonts w:hint="eastAsia"/>
        </w:rPr>
        <w:t xml:space="preserve">トーレスは実際には何を解決するよう求められているのか？問題の定義が異なると、勧告はどのように変わるか？</w:t>
      </w:r>
    </w:p>
    <w:p>
      <w:pPr>
        <w:numPr>
          <w:ilvl w:val="0"/>
          <w:numId w:val="1001"/>
        </w:numPr>
      </w:pPr>
      <w:r>
        <w:rPr>
          <w:rFonts w:hint="eastAsia"/>
        </w:rPr>
        <w:t xml:space="preserve">どの成果指標がポートフォリオを導くべきか：死亡、非致死的オーバードーズ、治療開始、継続率、公平性、公共の秩序、コスト、あるいはこれらの組み合わせか？</w:t>
      </w:r>
    </w:p>
    <w:p>
      <w:pPr>
        <w:numPr>
          <w:ilvl w:val="0"/>
          <w:numId w:val="1001"/>
        </w:numPr>
      </w:pPr>
      <w:r>
        <w:rPr>
          <w:rFonts w:hint="eastAsia"/>
        </w:rPr>
        <w:t xml:space="preserve">どの決定が緊急であり、どの決定はより良い情報が得られるまで遅らせることができるか？</w:t>
      </w:r>
    </w:p>
    <w:p>
      <w:pPr>
        <w:numPr>
          <w:ilvl w:val="0"/>
          <w:numId w:val="1001"/>
        </w:numPr>
      </w:pPr>
      <w:r>
        <w:rPr>
          <w:rFonts w:hint="eastAsia"/>
        </w:rPr>
        <w:t xml:space="preserve">最も重要な不確実性は何か？どれがデータ収集や限定的なパイロットによって低減できるか？</w:t>
      </w:r>
    </w:p>
    <w:p>
      <w:pPr>
        <w:numPr>
          <w:ilvl w:val="0"/>
          <w:numId w:val="1001"/>
        </w:numPr>
      </w:pPr>
      <w:r>
        <w:rPr>
          <w:rFonts w:hint="eastAsia"/>
        </w:rPr>
        <w:t xml:space="preserve">フェンタニルへの曝露やサービス需要が高止まりしている中で、郡は全国的・地域的な死者数の減少をどう解釈すべきか？</w:t>
      </w:r>
    </w:p>
    <w:p>
      <w:pPr>
        <w:numPr>
          <w:ilvl w:val="0"/>
          <w:numId w:val="1001"/>
        </w:numPr>
      </w:pPr>
      <w:r>
        <w:rPr>
          <w:rFonts w:hint="eastAsia"/>
        </w:rPr>
        <w:t xml:space="preserve">人口グループや地域によって転帰が大きく異なる場合、どのような配分原則が正当化されるか？</w:t>
      </w:r>
    </w:p>
    <w:p>
      <w:pPr>
        <w:numPr>
          <w:ilvl w:val="0"/>
          <w:numId w:val="1001"/>
        </w:numPr>
      </w:pPr>
      <w:r>
        <w:rPr>
          <w:rFonts w:hint="eastAsia"/>
        </w:rPr>
        <w:t xml:space="preserve">午後4時の会議のための勧告を準備せよ。予算、実施上の優先事項、そして将来の変更を引き起こすべき指標を含めること。</w:t>
      </w:r>
    </w:p>
    <w:bookmarkEnd w:id="23"/>
    <w:bookmarkStart w:id="29" w:name="決定フレーミングの質問"/>
    <w:p>
      <w:pPr>
        <w:pStyle w:val="Heading1"/>
      </w:pPr>
      <w:r>
        <w:rPr>
          <w:rFonts w:hint="eastAsia"/>
        </w:rPr>
        <w:t xml:space="preserve">決定フレーミングの質問</w:t>
      </w:r>
    </w:p>
    <w:p>
      <w:pPr>
        <w:numPr>
          <w:ilvl w:val="0"/>
          <w:numId w:val="1002"/>
        </w:numPr>
      </w:pPr>
      <w:r>
        <w:rPr>
          <w:rFonts w:hint="eastAsia"/>
        </w:rPr>
        <w:t xml:space="preserve">決定者の責任を特定し、説明せよ。これにより問題の範囲が定まるはずである。</w:t>
      </w:r>
    </w:p>
    <w:p>
      <w:pPr>
        <w:numPr>
          <w:ilvl w:val="0"/>
          <w:numId w:val="1002"/>
        </w:numPr>
      </w:pPr>
      <w:hyperlink r:id="rId24">
        <w:r>
          <w:rPr>
            <w:rStyle w:val="Hyperlink"/>
          </w:rPr>
          <w:t xml:space="preserve">メトリクス・ピラミッド・ツール</w:t>
        </w:r>
      </w:hyperlink>
      <w:r>
        <w:rPr>
          <w:rFonts w:hint="eastAsia"/>
        </w:rPr>
        <w:t xml:space="preserve">を用いて、さまざまな成果指標を特定し優先順位をつけよ。指標を保持する楕円をクリックして、それが最大化すべき指標（緑）、最小化すべき指標（赤）、下限としてのターゲット（薄緑）、上限としてのターゲット（薄赤）、あるいはターゲットそのもの（紫）のいずれであるかを示せ。</w:t>
      </w:r>
    </w:p>
    <w:p>
      <w:pPr>
        <w:numPr>
          <w:ilvl w:val="0"/>
          <w:numId w:val="1002"/>
        </w:numPr>
      </w:pPr>
      <w:hyperlink r:id="rId25">
        <w:r>
          <w:rPr>
            <w:rStyle w:val="Hyperlink"/>
            <w:rFonts w:hint="eastAsia"/>
          </w:rPr>
          <w:t xml:space="preserve">決定優先順位付けツール</w:t>
        </w:r>
      </w:hyperlink>
      <w:r>
        <w:rPr>
          <w:rFonts w:hint="eastAsia"/>
        </w:rPr>
        <w:t xml:space="preserve">を用いて、まずさまざまな種類の決定を列挙せよ（</w:t>
      </w:r>
      <w:hyperlink r:id="rId26">
        <w:r>
          <w:rPr>
            <w:rStyle w:val="Hyperlink"/>
            <w:rFonts w:hint="eastAsia"/>
          </w:rPr>
          <w:t xml:space="preserve">決定の種類</w:t>
        </w:r>
      </w:hyperlink>
      <w:r>
        <w:rPr>
          <w:rFonts w:hint="eastAsia"/>
        </w:rPr>
        <w:t xml:space="preserve">を手引きとして用いよ）。これらは、右側の行列の行を構成することになり、その列は上記のピラミッドにおける優先順位に従って左から右に並べられた成果指標である。各セルをクリックして、各決定がそれぞれの成果指標に与える影響が高い（赤）、中程度（オレンジ）、低い（黄）、なし（白）のいずれであるかを示せ。</w:t>
      </w:r>
    </w:p>
    <w:p>
      <w:pPr>
        <w:numPr>
          <w:ilvl w:val="0"/>
          <w:numId w:val="1002"/>
        </w:numPr>
      </w:pPr>
      <w:r>
        <w:rPr>
          <w:rFonts w:hint="eastAsia"/>
        </w:rPr>
        <w:t xml:space="preserve">各行の一番左にあるハンドル（三本線）をつかんで、上下に移動させることができる。最も重要な指標に最大の影響を与える決定が上位にくるように行を並べ替えよ。左上のセルには、赤とオレンジのセルが最も集中しているはずである。この時点で、あなたの研究において最も注意を払うべき決定を特定せよ。最も重要な指標に中程度または高い影響を与える決定が一つもない場合は、決定のリストを見直せ。</w:t>
      </w:r>
    </w:p>
    <w:p>
      <w:pPr>
        <w:numPr>
          <w:ilvl w:val="0"/>
          <w:numId w:val="1002"/>
        </w:numPr>
      </w:pPr>
      <w:hyperlink r:id="rId27">
        <w:r>
          <w:rPr>
            <w:rStyle w:val="Hyperlink"/>
            <w:rFonts w:hint="eastAsia"/>
          </w:rPr>
          <w:t xml:space="preserve">不確実性優先順位付けツール</w:t>
        </w:r>
      </w:hyperlink>
      <w:r>
        <w:rPr>
          <w:rFonts w:hint="eastAsia"/>
        </w:rPr>
        <w:t xml:space="preserve">を用いて、不確実性を列挙し優先順位をつけるプロセスを繰り返せ。</w:t>
      </w:r>
      <w:hyperlink r:id="rId28">
        <w:r>
          <w:rPr>
            <w:rStyle w:val="Hyperlink"/>
            <w:rFonts w:hint="eastAsia"/>
          </w:rPr>
          <w:t xml:space="preserve">不確実性のカテゴリー</w:t>
        </w:r>
      </w:hyperlink>
      <w:r>
        <w:rPr>
          <w:rFonts w:hint="eastAsia"/>
        </w:rPr>
        <w:t xml:space="preserve">を参考にして、これらを特定せよ。</w:t>
      </w:r>
    </w:p>
    <w:p>
      <w:pPr>
        <w:numPr>
          <w:ilvl w:val="0"/>
          <w:numId w:val="1002"/>
        </w:numPr>
      </w:pPr>
      <w:r>
        <w:rPr>
          <w:rFonts w:hint="eastAsia"/>
        </w:rPr>
        <w:t xml:space="preserve">平均として、あるいはリスクイベントとして評価できる不確実性を区別することが重要である：</w:t>
      </w:r>
    </w:p>
    <w:p>
      <w:pPr>
        <w:numPr>
          <w:ilvl w:val="1"/>
          <w:numId w:val="1003"/>
        </w:numPr>
      </w:pPr>
      <w:r>
        <w:rPr>
          <w:rFonts w:hint="eastAsia"/>
        </w:rPr>
        <w:t xml:space="preserve">どの不確実性の源が、時間経過に伴う平均的なパフォーマンスによって捕捉されるか？</w:t>
      </w:r>
    </w:p>
    <w:p>
      <w:pPr>
        <w:numPr>
          <w:ilvl w:val="1"/>
          <w:numId w:val="1003"/>
        </w:numPr>
      </w:pPr>
      <w:r>
        <w:rPr>
          <w:rFonts w:hint="eastAsia"/>
        </w:rPr>
        <w:t xml:space="preserve">どの不確実性の源が、平均では適切に捕捉されないリスクの形態を表しているか？</w:t>
      </w:r>
    </w:p>
    <w:p>
      <w:pPr>
        <w:numPr>
          <w:ilvl w:val="0"/>
          <w:numId w:val="1002"/>
        </w:numPr>
      </w:pPr>
      <w:r>
        <w:rPr>
          <w:rFonts w:hint="eastAsia"/>
        </w:rPr>
        <w:t xml:space="preserve">最も重要な指標に最大の影響を与えると思われる単一の決定を選べ。</w:t>
      </w:r>
    </w:p>
    <w:p>
      <w:pPr>
        <w:numPr>
          <w:ilvl w:val="1"/>
          <w:numId w:val="1004"/>
        </w:numPr>
      </w:pPr>
      <w:r>
        <w:rPr>
          <w:rFonts w:hint="eastAsia"/>
        </w:rPr>
        <w:t xml:space="preserve">この決定を下すために、どのようなアプローチを用いると考えるか？</w:t>
      </w:r>
    </w:p>
    <w:p>
      <w:pPr>
        <w:numPr>
          <w:ilvl w:val="1"/>
          <w:numId w:val="1004"/>
        </w:numPr>
      </w:pPr>
      <w:r>
        <w:rPr>
          <w:rFonts w:hint="eastAsia"/>
        </w:rPr>
        <w:t xml:space="preserve">この決定を下すために、また、その決定が高いまたは中程度の影響を与える成果指標を算出するために、どのようなデータが必要と思われるか？</w:t>
      </w:r>
    </w:p>
    <w:p>
      <w:pPr>
        <w:numPr>
          <w:ilvl w:val="0"/>
          <w:numId w:val="1002"/>
        </w:numPr>
      </w:pPr>
      <w:r>
        <w:rPr>
          <w:rFonts w:hint="eastAsia"/>
        </w:rPr>
        <w:t xml:space="preserve">(7)で特定したのと同じ決定について、その実施のために協力する必要がある人々、部門、グループ、あるいは組織を特定せよ。</w:t>
      </w:r>
    </w:p>
    <w:bookmarkEnd w:id="29"/>
    <w:bookmarkStart w:id="30" w:name="出典と注記"/>
    <w:p>
      <w:pPr>
        <w:pStyle w:val="Heading1"/>
      </w:pPr>
      <w:r>
        <w:rPr>
          <w:rFonts w:hint="eastAsia"/>
        </w:rPr>
        <w:t xml:space="preserve">出典と注記</w:t>
      </w:r>
    </w:p>
    <w:p>
      <w:pPr>
        <w:pStyle w:val="FirstParagraph"/>
      </w:pPr>
      <w:r>
        <w:rPr>
          <w:rFonts w:hint="eastAsia"/>
        </w:rPr>
        <w:t xml:space="preserve">1．CDC、「U.S.</w:t>
      </w:r>
      <w:r>
        <w:t xml:space="preserve"> Overdose Deaths Decrease Almost 27% in </w:t>
      </w:r>
      <w:r>
        <w:rPr>
          <w:rFonts w:hint="eastAsia"/>
        </w:rPr>
        <w:t xml:space="preserve">2024」、2025年5月14日。オピオイド関連の推定死者数は2023年の83,140人から2024年には54,743人に減少した。</w:t>
      </w:r>
    </w:p>
    <w:p>
      <w:pPr>
        <w:pStyle w:val="BodyText"/>
      </w:pPr>
      <w:r>
        <w:rPr>
          <w:rFonts w:hint="eastAsia"/>
        </w:rPr>
        <w:t xml:space="preserve">2．CDC、「U.S.</w:t>
      </w:r>
      <w:r>
        <w:t xml:space="preserve"> Overdose Deaths Decrease for Third Consecutive </w:t>
      </w:r>
      <w:r>
        <w:rPr>
          <w:rFonts w:hint="eastAsia"/>
        </w:rPr>
        <w:t xml:space="preserve">Year」、2026年5月13日。オピオイド関連の推定死者数は2025年には44,564人に減少した。いくつかの州では増加が見られた。</w:t>
      </w:r>
    </w:p>
    <w:p>
      <w:pPr>
        <w:pStyle w:val="BodyText"/>
      </w:pPr>
      <w:r>
        <w:rPr>
          <w:rFonts w:hint="eastAsia"/>
        </w:rPr>
        <w:t xml:space="preserve">3．CDC/NCHS、「Drug</w:t>
      </w:r>
      <w:r>
        <w:t xml:space="preserve"> Overdose Deaths in the United States, 2023–2024」、Data Brief No. </w:t>
      </w:r>
      <w:r>
        <w:rPr>
          <w:rFonts w:hint="eastAsia"/>
        </w:rPr>
        <w:t xml:space="preserve">549。メタドン以外の合成オピオイドが関与する年齢調整死亡率は、10万人当たり22.2人から14.3人に低下した。</w:t>
      </w:r>
    </w:p>
    <w:p>
      <w:pPr>
        <w:pStyle w:val="BodyText"/>
      </w:pPr>
      <w:r>
        <w:rPr>
          <w:rFonts w:hint="eastAsia"/>
        </w:rPr>
        <w:t xml:space="preserve">4．SAMHSA、2024</w:t>
      </w:r>
      <w:r>
        <w:t xml:space="preserve"> National Survey on Drug Use and Health </w:t>
      </w:r>
      <w:r>
        <w:rPr>
          <w:rFonts w:hint="eastAsia"/>
        </w:rPr>
        <w:t xml:space="preserve">のリリース：12歳以上の4,840万人が過去1年間に物質使用障害を抱えていた。</w:t>
      </w:r>
    </w:p>
    <w:p>
      <w:pPr>
        <w:pStyle w:val="BodyText"/>
      </w:pPr>
      <w:r>
        <w:rPr>
          <w:rFonts w:hint="eastAsia"/>
        </w:rPr>
        <w:t xml:space="preserve">5．SAMHSA、Results</w:t>
      </w:r>
      <w:r>
        <w:t xml:space="preserve"> from the 2024 National Survey on Drug Use and </w:t>
      </w:r>
      <w:r>
        <w:rPr>
          <w:rFonts w:hint="eastAsia"/>
        </w:rPr>
        <w:t xml:space="preserve">Health。オピオイド使用障害が誤用を伴う人々の中で、42.4%が軽度、37.1%が重度の障害を抱えていた。</w:t>
      </w:r>
    </w:p>
    <w:p>
      <w:pPr>
        <w:pStyle w:val="BodyText"/>
      </w:pPr>
      <w:r>
        <w:rPr>
          <w:rFonts w:hint="eastAsia"/>
        </w:rPr>
        <w:t xml:space="preserve">6．CDC、Vital</w:t>
      </w:r>
      <w:r>
        <w:t xml:space="preserve"> Signs: Drug Overdose Deaths and </w:t>
      </w:r>
      <w:r>
        <w:rPr>
          <w:rFonts w:hint="eastAsia"/>
        </w:rPr>
        <w:t xml:space="preserve">Disparities。2019年から2020年にかけて、過剰摂取による死亡率は黒人で44%、アメリカ先住民／アラスカ先住民で39%上昇した。治療に関するエビデンスは複数の人種・民族グループで最も低かった。</w:t>
      </w:r>
    </w:p>
    <w:p>
      <w:pPr>
        <w:pStyle w:val="BodyText"/>
      </w:pPr>
      <w:r>
        <w:rPr>
          <w:rFonts w:hint="eastAsia"/>
        </w:rPr>
        <w:t xml:space="preserve">7．National</w:t>
      </w:r>
      <w:r>
        <w:t xml:space="preserve"> Institute on Drug </w:t>
      </w:r>
      <w:r>
        <w:rPr>
          <w:rFonts w:hint="eastAsia"/>
        </w:rPr>
        <w:t xml:space="preserve">Abuse、2024年6月、HEALing</w:t>
      </w:r>
      <w:r>
        <w:t xml:space="preserve"> Communities </w:t>
      </w:r>
      <w:r>
        <w:rPr>
          <w:rFonts w:hint="eastAsia"/>
        </w:rPr>
        <w:t xml:space="preserve">Studyに関する報告書：この介入はエビデンスに基づく実践を増加させたが、評価期間中にオピオイド過剰摂取による死亡率を有意に減少させることはできなかった。</w:t>
      </w:r>
    </w:p>
    <w:bookmarkEnd w:id="30"/>
    <w:bookmarkStart w:id="33" w:name="chatgptのメモ"/>
    <w:p>
      <w:pPr>
        <w:pStyle w:val="Heading1"/>
      </w:pPr>
      <w:r>
        <w:t xml:space="preserve">ChatGPTのメモ</w:t>
      </w:r>
    </w:p>
    <w:bookmarkStart w:id="31" w:name="プロンプト"/>
    <w:p>
      <w:pPr>
        <w:pStyle w:val="Heading2"/>
      </w:pPr>
      <w:r>
        <w:t xml:space="preserve">プロンプト</w:t>
      </w:r>
    </w:p>
    <w:p>
      <w:pPr>
        <w:pStyle w:val="FirstParagraph"/>
      </w:pPr>
      <w:r>
        <w:t xml:space="preserve">ケーススタディ ― </w:t>
      </w:r>
      <w:r>
        <w:rPr>
          <w:rFonts w:hint="eastAsia"/>
        </w:rPr>
        <w:t xml:space="preserve">ビジネスケーススタディのスタイルを用いて、統計に裏付けられた公衆衛生問題のケーススタディを作成せよ。Wordドキュメントで3～5ページとし、よく整理されているが、問題の解決方法について明確な考えを示さないこと。</w:t>
      </w:r>
    </w:p>
    <w:bookmarkEnd w:id="31"/>
    <w:bookmarkStart w:id="32" w:name="要約"/>
    <w:p>
      <w:pPr>
        <w:pStyle w:val="Heading2"/>
      </w:pPr>
      <w:r>
        <w:rPr>
          <w:rFonts w:hint="eastAsia"/>
        </w:rPr>
        <w:t xml:space="preserve">要約</w:t>
      </w:r>
    </w:p>
    <w:p>
      <w:pPr>
        <w:pStyle w:val="FirstParagraph"/>
      </w:pPr>
      <w:r>
        <w:rPr>
          <w:rFonts w:hint="eastAsia"/>
        </w:rPr>
        <w:t xml:space="preserve">これはビジネススクールのケース形式を用いており、以下を含む：</w:t>
      </w:r>
    </w:p>
    <w:p>
      <w:pPr>
        <w:numPr>
          <w:ilvl w:val="0"/>
          <w:numId w:val="1005"/>
        </w:numPr>
      </w:pPr>
      <w:r>
        <w:rPr>
          <w:rFonts w:hint="eastAsia"/>
        </w:rPr>
        <w:t xml:space="preserve">フェンタニルとオーバードーズの危機に直面する架空の郡</w:t>
      </w:r>
    </w:p>
    <w:p>
      <w:pPr>
        <w:numPr>
          <w:ilvl w:val="0"/>
          <w:numId w:val="1005"/>
        </w:numPr>
      </w:pPr>
      <w:r>
        <w:rPr>
          <w:rFonts w:hint="eastAsia"/>
        </w:rPr>
        <w:t xml:space="preserve">CDC、SAMHSA、NIDAからの現行の全国統計</w:t>
      </w:r>
    </w:p>
    <w:p>
      <w:pPr>
        <w:numPr>
          <w:ilvl w:val="0"/>
          <w:numId w:val="1005"/>
        </w:numPr>
      </w:pPr>
      <w:r>
        <w:rPr>
          <w:rFonts w:hint="eastAsia"/>
        </w:rPr>
        <w:t xml:space="preserve">対立する関係者の視点</w:t>
      </w:r>
    </w:p>
    <w:p>
      <w:pPr>
        <w:numPr>
          <w:ilvl w:val="0"/>
          <w:numId w:val="1005"/>
        </w:numPr>
      </w:pPr>
      <w:r>
        <w:rPr>
          <w:rFonts w:hint="eastAsia"/>
        </w:rPr>
        <w:t xml:space="preserve">資金不足とプログラムレベルの予算データ</w:t>
      </w:r>
    </w:p>
    <w:p>
      <w:pPr>
        <w:numPr>
          <w:ilvl w:val="0"/>
          <w:numId w:val="1005"/>
        </w:numPr>
      </w:pPr>
      <w:r>
        <w:rPr>
          <w:rFonts w:hint="eastAsia"/>
        </w:rPr>
        <w:t xml:space="preserve">パフォーマンス、公平性、測定における不確実性</w:t>
      </w:r>
    </w:p>
    <w:p>
      <w:pPr>
        <w:numPr>
          <w:ilvl w:val="0"/>
          <w:numId w:val="1005"/>
        </w:numPr>
      </w:pPr>
      <w:r>
        <w:rPr>
          <w:rFonts w:hint="eastAsia"/>
        </w:rPr>
        <w:t xml:space="preserve">定量的な図表と議論のための質問</w:t>
      </w:r>
    </w:p>
    <w:p>
      <w:pPr>
        <w:numPr>
          <w:ilvl w:val="0"/>
          <w:numId w:val="1005"/>
        </w:numPr>
      </w:pPr>
      <w:r>
        <w:rPr>
          <w:rFonts w:hint="eastAsia"/>
        </w:rPr>
        <w:t xml:space="preserve">明確に望ましい解決策の不在</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5" Target="https://warrenpowell.org/decision-framing-tool/#decision-prioritization-tool" TargetMode="External" /><Relationship Type="http://schemas.openxmlformats.org/officeDocument/2006/relationships/hyperlink" Id="rId24" Target="https://warrenpowell.org/decision-framing-tool/#metrics-pyramid-tool" TargetMode="External" /><Relationship Type="http://schemas.openxmlformats.org/officeDocument/2006/relationships/hyperlink" Id="rId27" Target="https://warrenpowell.org/decision-framing-tool/#uncertainty-prioritization-tool" TargetMode="External" /><Relationship Type="http://schemas.openxmlformats.org/officeDocument/2006/relationships/hyperlink" Id="rId26" Target="https://warrenpowell.org/decisionsdecisions/#types-of-decision-settings" TargetMode="External" /><Relationship Type="http://schemas.openxmlformats.org/officeDocument/2006/relationships/hyperlink" Id="rId28"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5" Target="https://warrenpowell.org/decision-framing-tool/#decision-prioritization-tool" TargetMode="External" /><Relationship Type="http://schemas.openxmlformats.org/officeDocument/2006/relationships/hyperlink" Id="rId24" Target="https://warrenpowell.org/decision-framing-tool/#metrics-pyramid-tool" TargetMode="External" /><Relationship Type="http://schemas.openxmlformats.org/officeDocument/2006/relationships/hyperlink" Id="rId27" Target="https://warrenpowell.org/decision-framing-tool/#uncertainty-prioritization-tool" TargetMode="External" /><Relationship Type="http://schemas.openxmlformats.org/officeDocument/2006/relationships/hyperlink" Id="rId26" Target="https://warrenpowell.org/decisionsdecisions/#types-of-decision-settings" TargetMode="External" /><Relationship Type="http://schemas.openxmlformats.org/officeDocument/2006/relationships/hyperlink" Id="rId28"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2026-09-11T18:00:58Z</dcterms:created>
  <dcterms:modified xsi:type="dcterms:W3CDTF">2026-09-11T18:00:58Z</dcterms:modified>
</cp:coreProperties>
</file>

<file path=docProps/custom.xml><?xml version="1.0" encoding="utf-8"?>
<Properties xmlns="http://schemas.openxmlformats.org/officeDocument/2006/custom-properties" xmlns:vt="http://schemas.openxmlformats.org/officeDocument/2006/docPropsVTypes"/>
</file>