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サミット・リッジ・アセット・マネジメント</w:t>
      </w:r>
    </w:p>
    <w:p>
      <w:pPr>
        <w:pStyle w:val="BodyText"/>
      </w:pPr>
      <w:r>
        <w:rPr>
          <w:rFonts w:hint="eastAsia"/>
        </w:rPr>
        <w:t xml:space="preserve">月曜朝の現金決定</w:t>
      </w:r>
    </w:p>
    <w:p>
      <w:pPr>
        <w:pStyle w:val="BodyText"/>
      </w:pPr>
      <w:r>
        <w:rPr>
          <w:rFonts w:hint="eastAsia"/>
        </w:rPr>
        <w:t xml:space="preserve">投資家フロー、流動性、ポートフォリオ・パフォーマンス、そしてプレッシャー下でのトレーディングに関するミューチュアルファンドのケース</w:t>
      </w:r>
    </w:p>
    <w:p>
      <w:pPr>
        <w:pStyle w:val="BodyText"/>
      </w:pPr>
      <w:r>
        <w:rPr>
          <w:rFonts w:hint="eastAsia"/>
        </w:rPr>
        <w:t xml:space="preserve">このケースは架空のものであり、教育的議論を目的としています。名称、出来事、ファンド、内部数値は架空ですが、業界の設定は公開データに基づいています。</w:t>
      </w:r>
    </w:p>
    <w:bookmarkStart w:id="9" w:name="悪いニュースの週末"/>
    <w:p>
      <w:pPr>
        <w:pStyle w:val="Heading1"/>
      </w:pPr>
      <w:r>
        <w:rPr>
          <w:rFonts w:hint="eastAsia"/>
        </w:rPr>
        <w:t xml:space="preserve">悪いニュースの週末</w:t>
      </w:r>
    </w:p>
    <w:p>
      <w:pPr>
        <w:pStyle w:val="FirstParagraph"/>
      </w:pPr>
      <w:r>
        <w:rPr>
          <w:rFonts w:hint="eastAsia"/>
        </w:rPr>
        <w:t xml:space="preserve">2026年10月12日月曜日午前7時5分、サミット・リッジ・アセット・マネジメントの最高投資責任者エレナ・マルケスは、同社の名義書換代理人からのメッセージを開いた。サミット・リッジ・セレクト・エクイティ・ファンドの投資家は、金曜日の午後以降、推定3億1800万ドルの解約請求を提出していた。そのほとんどは3つの機関投資家口座からのものだった。個人投資家の注文はまだ処理中であり、ファンドの午後の基準価額算定締め切りまでにさらに4000万ドルから9000万ドルが追加される可能性があった。</w:t>
      </w:r>
    </w:p>
    <w:p>
      <w:pPr>
        <w:pStyle w:val="BodyText"/>
      </w:pPr>
      <w:r>
        <w:rPr>
          <w:rFonts w:hint="eastAsia"/>
        </w:rPr>
        <w:t xml:space="preserve">これらの請求は、困難な週末の後に届いた。大手テクノロジー企業が四半期売上高が予想を下回ると警告していた。海外市場は急落し、米国債利回りは上昇し、株価指数先物は米国株が2パーセント超下落して始まる可能性を示していた。ファンドの最大級の保有銘柄のいくつかは、寄り付きで最も活発に取引される証券に含まれる可能性が高かった。</w:t>
      </w:r>
    </w:p>
    <w:p>
      <w:pPr>
        <w:pStyle w:val="BodyText"/>
      </w:pPr>
      <w:r>
        <w:rPr>
          <w:rFonts w:hint="eastAsia"/>
        </w:rPr>
        <w:t xml:space="preserve">ファンドは現金と財務省短期証券を2億4600万ドル保有しており、これは純資産の2.9パーセントに相当した。マルケスは株式を売却せずとも既知の解約需要の大部分を満たすことができたが、そうすれば追加の引き出しに対する流動性はほとんど残らなくなる。すぐに現金を追加調達することもできたが、下落市場での売却は不利な価格を確定させ、ポートフォリオを変化させる可能性があった。より大きな恒久的現金準備を保有すれば、このリスクは軽減されるが、上昇市場でファンドがベンチマークに劣後する原因にもなりかねなかった。</w:t>
      </w:r>
    </w:p>
    <w:tbl>
      <w:tblPr>
        <w:tblStyle w:val="Table"/>
        <w:tblW w:type="auto" w:w="0"/>
        <w:tblLook w:firstRow="0" w:lastRow="0" w:firstColumn="0" w:lastColumn="0" w:noHBand="0" w:noVBand="0" w:val="0000"/>
      </w:tblPr>
      <w:tblGrid>
        <w:gridCol w:w="7920"/>
      </w:tblGrid>
      <w:tr>
        <w:tc>
          <w:tcPr/>
          <w:p>
            <w:pPr>
              <w:pStyle w:val="Compact"/>
            </w:pPr>
            <w:r>
              <w:rPr>
                <w:rFonts w:hint="eastAsia"/>
              </w:rPr>
              <w:t xml:space="preserve">サミット・リッジは現金が有用かどうかを判断する必要はなかった。決めなければならなかったのは、どれだけの流動性が十分か、いつそれを調達するか、そしてフローがポートフォリオに取引を強いたときにどの投資家がそのコストを負担すべきかということだった。</w:t>
            </w:r>
          </w:p>
        </w:tc>
      </w:tr>
    </w:tbl>
    <w:p>
      <w:r>
        <w:pict>
          <v:rect style="width:0;height:1.5pt" o:hralign="center" o:hrstd="t" o:hr="t"/>
        </w:pict>
      </w:r>
    </w:p>
    <w:bookmarkEnd w:id="9"/>
    <w:bookmarkStart w:id="11" w:name="サミットリッジとセレクトエクイティファンド"/>
    <w:p>
      <w:pPr>
        <w:pStyle w:val="Heading1"/>
      </w:pPr>
      <w:r>
        <w:t xml:space="preserve">サミット・リッジとセレクト・エクイティ・ファンド</w:t>
      </w:r>
    </w:p>
    <w:p>
      <w:pPr>
        <w:pStyle w:val="FirstParagraph"/>
      </w:pPr>
      <w:r>
        <w:rPr>
          <w:rFonts w:hint="eastAsia"/>
        </w:rPr>
        <w:t xml:space="preserve">サミット・リッジは、ミューチュアルファンド、個別運用勘定、退職金商品にわたり410億ドルを運用する非公開の投資運用会社であった。セレクト・エクイティ・ファンドは同社の主力戦略であり、米国の大型・中型企業を集中的に保有するポートフォリオであった。長期的には好調な実績を上げてきたが、投資家がグロース株、ディフェンシブセクター、債券、マネー・マーケット・ファンドの間で資金を移動させる中で、最近のパフォーマンスにはばらつきがあった。</w:t>
      </w:r>
    </w:p>
    <w:p>
      <w:pPr>
        <w:pStyle w:val="BodyText"/>
      </w:pPr>
      <w:r>
        <w:rPr>
          <w:rFonts w:hint="eastAsia"/>
        </w:rPr>
        <w:t xml:space="preserve">米国のミューチュアルファンド業界は巨大であった。長期ミューチュアルファンドは2026年5月時点で約25.3兆ドルの資産を保有しており、そのうち株式ファンドが約17.8兆ドル、債券ファンドが5.7兆ドルであった。業界の規模はフローの変動性を排除するものではなかった。2026年7月15日終了週には、長期ミューチュアルファンドは推定154.3億ドルの純流出を経験した一方、上場投資信託（ETF）は純発行を報告していた。マネー・マーケット・ファンドの資産は、投資家が流動性と魅力的な短期利回りを求める中で、2025年3月に7兆ドルを超えた。</w:t>
      </w:r>
    </w:p>
    <w:p>
      <w:pPr>
        <w:pStyle w:val="BodyText"/>
      </w:pPr>
      <w:r>
        <w:rPr>
          <w:rFonts w:hint="eastAsia"/>
        </w:rPr>
        <w:t xml:space="preserve">オープンエンド型ミューチュアルファンドは、純資産価額でいつでも株式を償還できるようにしておくことが義務付けられていた。したがって、サミット・リッジは、引き出しが新規購入を上回った場合、ポートフォリオの一部を現金に転換しなければならなかった。証券取引委員会の流動性規則も、ファンドに対し、保有資産がどれだけ迅速に現金化できるかを評価し、該当する場合には高流動性投資の最低水準を維持することを求めていた。</w:t>
      </w:r>
    </w:p>
    <w:bookmarkStart w:id="10" w:name="図-1.-セレクトエクイティファンドのプロファイル"/>
    <w:p>
      <w:pPr>
        <w:pStyle w:val="Heading2"/>
      </w:pPr>
      <w:r>
        <w:rPr>
          <w:rFonts w:hint="eastAsia"/>
        </w:rPr>
        <w:t xml:space="preserve">図</w:t>
      </w:r>
      <w:r>
        <w:t xml:space="preserve"> 1. セレクト・エクイティ・ファンドのプロファイル</w:t>
      </w:r>
    </w:p>
    <w:tbl>
      <w:tblPr>
        <w:tblStyle w:val="Table"/>
        <w:tblW w:type="pct" w:w="4861"/>
        <w:tblLayout w:type="fixed"/>
        <w:tblLook w:firstRow="1" w:lastRow="0" w:firstColumn="0" w:lastColumn="0" w:noHBand="0" w:noVBand="0" w:val="0020"/>
      </w:tblPr>
      <w:tblGrid>
        <w:gridCol w:w="3630"/>
        <w:gridCol w:w="1980"/>
        <w:gridCol w:w="2090"/>
      </w:tblGrid>
      <w:tr>
        <w:trPr>
          <w:tblHeader w:val="on"/>
        </w:trPr>
        <w:tc>
          <w:tcPr/>
          <w:p>
            <w:pPr>
              <w:pStyle w:val="Compact"/>
              <w:jc w:val="left"/>
            </w:pPr>
            <w:r>
              <w:rPr>
                <w:rFonts w:hint="eastAsia"/>
              </w:rPr>
              <w:t xml:space="preserve">指標</w:t>
            </w:r>
          </w:p>
        </w:tc>
        <w:tc>
          <w:tcPr/>
          <w:p>
            <w:pPr>
              <w:pStyle w:val="Compact"/>
              <w:jc w:val="center"/>
            </w:pPr>
            <w:r>
              <w:rPr>
                <w:rFonts w:hint="eastAsia"/>
              </w:rPr>
              <w:t xml:space="preserve">現在値</w:t>
            </w:r>
          </w:p>
        </w:tc>
        <w:tc>
          <w:tcPr/>
          <w:p>
            <w:pPr>
              <w:pStyle w:val="Compact"/>
              <w:jc w:val="center"/>
            </w:pPr>
            <w:r>
              <w:rPr>
                <w:rFonts w:hint="eastAsia"/>
              </w:rPr>
              <w:t xml:space="preserve">1年前</w:t>
            </w:r>
          </w:p>
        </w:tc>
      </w:tr>
      <w:tr>
        <w:tc>
          <w:tcPr/>
          <w:p>
            <w:pPr>
              <w:pStyle w:val="Compact"/>
              <w:jc w:val="left"/>
            </w:pPr>
            <w:r>
              <w:rPr>
                <w:rFonts w:hint="eastAsia"/>
              </w:rPr>
              <w:t xml:space="preserve">純資産</w:t>
            </w:r>
          </w:p>
        </w:tc>
        <w:tc>
          <w:tcPr/>
          <w:p>
            <w:pPr>
              <w:pStyle w:val="Compact"/>
              <w:jc w:val="center"/>
            </w:pPr>
            <w:r>
              <w:rPr>
                <w:rFonts w:hint="eastAsia"/>
              </w:rPr>
              <w:t xml:space="preserve">84.8億ドル</w:t>
            </w:r>
          </w:p>
        </w:tc>
        <w:tc>
          <w:tcPr/>
          <w:p>
            <w:pPr>
              <w:pStyle w:val="Compact"/>
              <w:jc w:val="center"/>
            </w:pPr>
            <w:r>
              <w:rPr>
                <w:rFonts w:hint="eastAsia"/>
              </w:rPr>
              <w:t xml:space="preserve">79.2億ドル</w:t>
            </w:r>
          </w:p>
        </w:tc>
      </w:tr>
      <w:tr>
        <w:tc>
          <w:tcPr/>
          <w:p>
            <w:pPr>
              <w:pStyle w:val="Compact"/>
              <w:jc w:val="left"/>
            </w:pPr>
            <w:r>
              <w:rPr>
                <w:rFonts w:hint="eastAsia"/>
              </w:rPr>
              <w:t xml:space="preserve">ポートフォリオ保有銘柄数</w:t>
            </w:r>
          </w:p>
        </w:tc>
        <w:tc>
          <w:tcPr/>
          <w:p>
            <w:pPr>
              <w:pStyle w:val="Compact"/>
              <w:jc w:val="center"/>
            </w:pPr>
            <w:r>
              <w:t xml:space="preserve">64</w:t>
            </w:r>
          </w:p>
        </w:tc>
        <w:tc>
          <w:tcPr/>
          <w:p>
            <w:pPr>
              <w:pStyle w:val="Compact"/>
              <w:jc w:val="center"/>
            </w:pPr>
            <w:r>
              <w:t xml:space="preserve">61</w:t>
            </w:r>
          </w:p>
        </w:tc>
      </w:tr>
      <w:tr>
        <w:tc>
          <w:tcPr/>
          <w:p>
            <w:pPr>
              <w:pStyle w:val="Compact"/>
              <w:jc w:val="left"/>
            </w:pPr>
            <w:r>
              <w:rPr>
                <w:rFonts w:hint="eastAsia"/>
              </w:rPr>
              <w:t xml:space="preserve">現金及び財務省短期証券</w:t>
            </w:r>
          </w:p>
        </w:tc>
        <w:tc>
          <w:tcPr/>
          <w:p>
            <w:pPr>
              <w:pStyle w:val="Compact"/>
              <w:jc w:val="center"/>
            </w:pPr>
            <w:r>
              <w:rPr>
                <w:rFonts w:hint="eastAsia"/>
              </w:rPr>
              <w:t xml:space="preserve">2億4600万ドル</w:t>
            </w:r>
          </w:p>
        </w:tc>
        <w:tc>
          <w:tcPr/>
          <w:p>
            <w:pPr>
              <w:pStyle w:val="Compact"/>
              <w:jc w:val="center"/>
            </w:pPr>
            <w:r>
              <w:rPr>
                <w:rFonts w:hint="eastAsia"/>
              </w:rPr>
              <w:t xml:space="preserve">3億3200万ドル</w:t>
            </w:r>
          </w:p>
        </w:tc>
      </w:tr>
      <w:tr>
        <w:tc>
          <w:tcPr/>
          <w:p>
            <w:pPr>
              <w:pStyle w:val="Compact"/>
              <w:jc w:val="left"/>
            </w:pPr>
            <w:r>
              <w:rPr>
                <w:rFonts w:hint="eastAsia"/>
              </w:rPr>
              <w:t xml:space="preserve">純資産に対する現金比率</w:t>
            </w:r>
          </w:p>
        </w:tc>
        <w:tc>
          <w:tcPr/>
          <w:p>
            <w:pPr>
              <w:pStyle w:val="Compact"/>
              <w:jc w:val="center"/>
            </w:pPr>
            <w:r>
              <w:t xml:space="preserve">2.9%</w:t>
            </w:r>
          </w:p>
        </w:tc>
        <w:tc>
          <w:tcPr/>
          <w:p>
            <w:pPr>
              <w:pStyle w:val="Compact"/>
              <w:jc w:val="center"/>
            </w:pPr>
            <w:r>
              <w:t xml:space="preserve">4.2%</w:t>
            </w:r>
          </w:p>
        </w:tc>
      </w:tr>
      <w:tr>
        <w:tc>
          <w:tcPr/>
          <w:p>
            <w:pPr>
              <w:pStyle w:val="Compact"/>
              <w:jc w:val="left"/>
            </w:pPr>
            <w:r>
              <w:rPr>
                <w:rFonts w:hint="eastAsia"/>
              </w:rPr>
              <w:t xml:space="preserve">上位10銘柄</w:t>
            </w:r>
          </w:p>
        </w:tc>
        <w:tc>
          <w:tcPr/>
          <w:p>
            <w:pPr>
              <w:pStyle w:val="Compact"/>
              <w:jc w:val="center"/>
            </w:pPr>
            <w:r>
              <w:rPr>
                <w:rFonts w:hint="eastAsia"/>
              </w:rPr>
              <w:t xml:space="preserve">資産の39.6%</w:t>
            </w:r>
          </w:p>
        </w:tc>
        <w:tc>
          <w:tcPr/>
          <w:p>
            <w:pPr>
              <w:pStyle w:val="Compact"/>
              <w:jc w:val="center"/>
            </w:pPr>
            <w:r>
              <w:rPr>
                <w:rFonts w:hint="eastAsia"/>
              </w:rPr>
              <w:t xml:space="preserve">資産の37.8%</w:t>
            </w:r>
          </w:p>
        </w:tc>
      </w:tr>
      <w:tr>
        <w:tc>
          <w:tcPr/>
          <w:p>
            <w:pPr>
              <w:pStyle w:val="Compact"/>
              <w:jc w:val="left"/>
            </w:pPr>
            <w:r>
              <w:rPr>
                <w:rFonts w:hint="eastAsia"/>
              </w:rPr>
              <w:t xml:space="preserve">機関投資家向けシェアクラス</w:t>
            </w:r>
          </w:p>
        </w:tc>
        <w:tc>
          <w:tcPr/>
          <w:p>
            <w:pPr>
              <w:pStyle w:val="Compact"/>
              <w:jc w:val="center"/>
            </w:pPr>
            <w:r>
              <w:rPr>
                <w:rFonts w:hint="eastAsia"/>
              </w:rPr>
              <w:t xml:space="preserve">資産の57%</w:t>
            </w:r>
          </w:p>
        </w:tc>
        <w:tc>
          <w:tcPr/>
          <w:p>
            <w:pPr>
              <w:pStyle w:val="Compact"/>
              <w:jc w:val="center"/>
            </w:pPr>
            <w:r>
              <w:rPr>
                <w:rFonts w:hint="eastAsia"/>
              </w:rPr>
              <w:t xml:space="preserve">資産の54%</w:t>
            </w:r>
          </w:p>
        </w:tc>
      </w:tr>
      <w:tr>
        <w:tc>
          <w:tcPr/>
          <w:p>
            <w:pPr>
              <w:pStyle w:val="Compact"/>
              <w:jc w:val="left"/>
            </w:pPr>
            <w:r>
              <w:rPr>
                <w:rFonts w:hint="eastAsia"/>
              </w:rPr>
              <w:t xml:space="preserve">個人投資家及び退職口座</w:t>
            </w:r>
          </w:p>
        </w:tc>
        <w:tc>
          <w:tcPr/>
          <w:p>
            <w:pPr>
              <w:pStyle w:val="Compact"/>
              <w:jc w:val="center"/>
            </w:pPr>
            <w:r>
              <w:rPr>
                <w:rFonts w:hint="eastAsia"/>
              </w:rPr>
              <w:t xml:space="preserve">資産の43%</w:t>
            </w:r>
          </w:p>
        </w:tc>
        <w:tc>
          <w:tcPr/>
          <w:p>
            <w:pPr>
              <w:pStyle w:val="Compact"/>
              <w:jc w:val="center"/>
            </w:pPr>
            <w:r>
              <w:rPr>
                <w:rFonts w:hint="eastAsia"/>
              </w:rPr>
              <w:t xml:space="preserve">資産の46%</w:t>
            </w:r>
          </w:p>
        </w:tc>
      </w:tr>
      <w:tr>
        <w:tc>
          <w:tcPr/>
          <w:p>
            <w:pPr>
              <w:pStyle w:val="Compact"/>
              <w:jc w:val="left"/>
            </w:pPr>
            <w:r>
              <w:rPr>
                <w:rFonts w:hint="eastAsia"/>
              </w:rPr>
              <w:t xml:space="preserve">1年間のリターン</w:t>
            </w:r>
          </w:p>
        </w:tc>
        <w:tc>
          <w:tcPr/>
          <w:p>
            <w:pPr>
              <w:pStyle w:val="Compact"/>
              <w:jc w:val="center"/>
            </w:pPr>
            <w:r>
              <w:t xml:space="preserve">8.7%</w:t>
            </w:r>
          </w:p>
        </w:tc>
        <w:tc>
          <w:tcPr/>
          <w:p>
            <w:pPr>
              <w:pStyle w:val="Compact"/>
              <w:jc w:val="center"/>
            </w:pPr>
            <w:r>
              <w:t xml:space="preserve">ベンチマーク14.9%</w:t>
            </w:r>
          </w:p>
        </w:tc>
      </w:tr>
    </w:tbl>
    <w:p>
      <w:pPr>
        <w:pStyle w:val="BodyText"/>
      </w:pPr>
      <w:r>
        <w:rPr>
          <w:rFonts w:hint="eastAsia"/>
        </w:rPr>
        <w:t xml:space="preserve">出典：サミット・リッジ社内推定値。ファンド固有の数値はすべて架空のものである。</w:t>
      </w:r>
    </w:p>
    <w:bookmarkEnd w:id="10"/>
    <w:bookmarkEnd w:id="11"/>
    <w:bookmarkStart w:id="13" w:name="二種類の投資家"/>
    <w:p>
      <w:pPr>
        <w:pStyle w:val="Heading1"/>
      </w:pPr>
      <w:r>
        <w:rPr>
          <w:rFonts w:hint="eastAsia"/>
        </w:rPr>
        <w:t xml:space="preserve">二種類の投資家</w:t>
      </w:r>
    </w:p>
    <w:p>
      <w:pPr>
        <w:pStyle w:val="FirstParagraph"/>
      </w:pPr>
      <w:r>
        <w:rPr>
          <w:rFonts w:hint="eastAsia"/>
        </w:rPr>
        <w:t xml:space="preserve">このファンドは個人投資家と機関投資家の両方にサービスを提供していた。個人投資家の購入・解約注文は、退職金制度、証券仲介プラットフォーム、フィナンシャル・アドバイザー、直接口座を通じて届いた。これらの注文は数は多いが通常は小口であった。名義書換代理人は日中の状況を部分的にしか把握できないことが多く、最終的な合計は仲介業者が処理を完了した後にしか判明しなかった。</w:t>
      </w:r>
    </w:p>
    <w:p>
      <w:pPr>
        <w:pStyle w:val="BodyText"/>
      </w:pPr>
      <w:r>
        <w:rPr>
          <w:rFonts w:hint="eastAsia"/>
        </w:rPr>
        <w:t xml:space="preserve">機関投資家の行動は異なっていた。年金基金、endowment（大学基金）、アドバイザリー会社は、時に数千万ドルから数億ドルを一度に動かすことがあった。中には事前通知をサミット・リッジに行う投資家もいたが、取引当日まで待つ投資家もいた。ある機関が2億ドルを解約すれば、たとえ同時に数千人の個人投資家が株式を購入していたとしても、ファンドの現金ポジションを大きく変化させる可能性があった。</w:t>
      </w:r>
    </w:p>
    <w:p>
      <w:pPr>
        <w:pStyle w:val="BodyText"/>
      </w:pPr>
      <w:r>
        <w:rPr>
          <w:rFonts w:hint="eastAsia"/>
        </w:rPr>
        <w:t xml:space="preserve">フローは市場と無関係ではなかった。好調なパフォーマンスと上昇市場はしばしば購入を引き付け、ポートフォリオチームが新規資金を徐々に投入することを可能にした。市場の下落、不利な報道、あるいはベンチマークに対する劣後期間は、流動性が最も高価になるまさにその時に解約を引き起こす可能性があった。短期金利の上昇もまた、投資家に株式ファンドからマネー・マーケット・ファンドや債券ファンドへ資金を移動させる動機を与えかねなかった。</w:t>
      </w:r>
    </w:p>
    <w:bookmarkStart w:id="12" w:name="図-2.-最近の投資家フロー日次"/>
    <w:p>
      <w:pPr>
        <w:pStyle w:val="Heading2"/>
      </w:pPr>
      <w:r>
        <w:rPr>
          <w:rFonts w:hint="eastAsia"/>
        </w:rPr>
        <w:t xml:space="preserve">図</w:t>
      </w:r>
      <w:r>
        <w:t xml:space="preserve"> 2. </w:t>
      </w:r>
      <w:r>
        <w:rPr>
          <w:rFonts w:hint="eastAsia"/>
        </w:rPr>
        <w:t xml:space="preserve">最近の投資家フロー（日次）</w:t>
      </w:r>
    </w:p>
    <w:tbl>
      <w:tblPr>
        <w:tblStyle w:val="Table"/>
        <w:tblW w:type="pct" w:w="4899"/>
        <w:tblLayout w:type="fixed"/>
        <w:tblLook w:firstRow="1" w:lastRow="0" w:firstColumn="0" w:lastColumn="0" w:noHBand="0" w:noVBand="0" w:val="0020"/>
      </w:tblPr>
      <w:tblGrid>
        <w:gridCol w:w="1520"/>
        <w:gridCol w:w="1520"/>
        <w:gridCol w:w="2000"/>
        <w:gridCol w:w="1280"/>
        <w:gridCol w:w="1440"/>
      </w:tblGrid>
      <w:tr>
        <w:trPr>
          <w:tblHeader w:val="on"/>
        </w:trPr>
        <w:tc>
          <w:tcPr/>
          <w:p>
            <w:pPr>
              <w:pStyle w:val="Compact"/>
            </w:pPr>
            <w:r>
              <w:rPr>
                <w:rFonts w:hint="eastAsia"/>
              </w:rPr>
              <w:t xml:space="preserve">取引日</w:t>
            </w:r>
            <w:r>
              <w:t xml:space="preserve"> </w:t>
            </w:r>
            <w:r>
              <w:rPr>
                <w:rFonts w:hint="eastAsia"/>
              </w:rPr>
              <w:t xml:space="preserve">個</w:t>
            </w:r>
          </w:p>
        </w:tc>
        <w:tc>
          <w:tcPr/>
          <w:p>
            <w:pPr>
              <w:pStyle w:val="Compact"/>
              <w:jc w:val="left"/>
            </w:pPr>
            <w:r>
              <w:rPr>
                <w:rFonts w:hint="eastAsia"/>
              </w:rPr>
              <w:t xml:space="preserve">人投資家純フロー</w:t>
            </w:r>
          </w:p>
        </w:tc>
        <w:tc>
          <w:tcPr/>
          <w:p>
            <w:pPr>
              <w:pStyle w:val="Compact"/>
              <w:jc w:val="center"/>
            </w:pPr>
            <w:r>
              <w:rPr>
                <w:rFonts w:hint="eastAsia"/>
              </w:rPr>
              <w:t xml:space="preserve">機関投資家純フロー</w:t>
            </w:r>
          </w:p>
        </w:tc>
        <w:tc>
          <w:tcPr/>
          <w:p>
            <w:pPr>
              <w:pStyle w:val="Compact"/>
              <w:jc w:val="left"/>
            </w:pPr>
            <w:r>
              <w:rPr>
                <w:rFonts w:hint="eastAsia"/>
              </w:rPr>
              <w:t xml:space="preserve">市場リターン</w:t>
            </w:r>
          </w:p>
        </w:tc>
        <w:tc>
          <w:tcPr/>
          <w:p>
            <w:pPr>
              <w:pStyle w:val="Compact"/>
              <w:jc w:val="center"/>
            </w:pPr>
            <w:r>
              <w:rPr>
                <w:rFonts w:hint="eastAsia"/>
              </w:rPr>
              <w:t xml:space="preserve">期末現金</w:t>
            </w:r>
          </w:p>
        </w:tc>
      </w:tr>
      <w:tr>
        <w:tc>
          <w:tcPr/>
          <w:p>
            <w:pPr>
              <w:pStyle w:val="Compact"/>
            </w:pPr>
            <w:r>
              <w:rPr>
                <w:rFonts w:hint="eastAsia"/>
              </w:rPr>
              <w:t xml:space="preserve">10月5日（月）</w:t>
            </w:r>
          </w:p>
        </w:tc>
        <w:tc>
          <w:tcPr/>
          <w:p>
            <w:pPr>
              <w:pStyle w:val="Compact"/>
              <w:jc w:val="left"/>
            </w:pPr>
            <w:r>
              <w:rPr>
                <w:rFonts w:hint="eastAsia"/>
              </w:rPr>
              <w:t xml:space="preserve">+1800万ドル</w:t>
            </w:r>
          </w:p>
        </w:tc>
        <w:tc>
          <w:tcPr/>
          <w:p>
            <w:pPr>
              <w:pStyle w:val="Compact"/>
              <w:jc w:val="center"/>
            </w:pPr>
            <w:r>
              <w:rPr>
                <w:rFonts w:hint="eastAsia"/>
              </w:rPr>
              <w:t xml:space="preserve">-2200万ドル</w:t>
            </w:r>
          </w:p>
        </w:tc>
        <w:tc>
          <w:tcPr/>
          <w:p>
            <w:pPr>
              <w:pStyle w:val="Compact"/>
              <w:jc w:val="left"/>
            </w:pPr>
            <w:r>
              <w:t xml:space="preserve">+0.6%</w:t>
            </w:r>
          </w:p>
        </w:tc>
        <w:tc>
          <w:tcPr/>
          <w:p>
            <w:pPr>
              <w:pStyle w:val="Compact"/>
              <w:jc w:val="center"/>
            </w:pPr>
            <w:r>
              <w:rPr>
                <w:rFonts w:hint="eastAsia"/>
              </w:rPr>
              <w:t xml:space="preserve">2億7900万ドル</w:t>
            </w:r>
          </w:p>
        </w:tc>
      </w:tr>
      <w:tr>
        <w:tc>
          <w:tcPr/>
          <w:p>
            <w:pPr>
              <w:pStyle w:val="Compact"/>
            </w:pPr>
            <w:r>
              <w:rPr>
                <w:rFonts w:hint="eastAsia"/>
              </w:rPr>
              <w:t xml:space="preserve">10月6日（火）</w:t>
            </w:r>
          </w:p>
        </w:tc>
        <w:tc>
          <w:tcPr/>
          <w:p>
            <w:pPr>
              <w:pStyle w:val="Compact"/>
              <w:jc w:val="left"/>
            </w:pPr>
            <w:r>
              <w:rPr>
                <w:rFonts w:hint="eastAsia"/>
              </w:rPr>
              <w:t xml:space="preserve">-1100万ドル</w:t>
            </w:r>
          </w:p>
        </w:tc>
        <w:tc>
          <w:tcPr/>
          <w:p>
            <w:pPr>
              <w:pStyle w:val="Compact"/>
              <w:jc w:val="center"/>
            </w:pPr>
            <w:r>
              <w:rPr>
                <w:rFonts w:hint="eastAsia"/>
              </w:rPr>
              <w:t xml:space="preserve">+3500万ドル</w:t>
            </w:r>
          </w:p>
        </w:tc>
        <w:tc>
          <w:tcPr/>
          <w:p>
            <w:pPr>
              <w:pStyle w:val="Compact"/>
              <w:jc w:val="left"/>
            </w:pPr>
            <w:r>
              <w:t xml:space="preserve">+0.2%</w:t>
            </w:r>
          </w:p>
        </w:tc>
        <w:tc>
          <w:tcPr/>
          <w:p>
            <w:pPr>
              <w:pStyle w:val="Compact"/>
              <w:jc w:val="center"/>
            </w:pPr>
            <w:r>
              <w:rPr>
                <w:rFonts w:hint="eastAsia"/>
              </w:rPr>
              <w:t xml:space="preserve">3億100万ドル</w:t>
            </w:r>
          </w:p>
        </w:tc>
      </w:tr>
      <w:tr>
        <w:tc>
          <w:tcPr/>
          <w:p>
            <w:pPr>
              <w:pStyle w:val="Compact"/>
            </w:pPr>
            <w:r>
              <w:rPr>
                <w:rFonts w:hint="eastAsia"/>
              </w:rPr>
              <w:t xml:space="preserve">10月7日（水）</w:t>
            </w:r>
          </w:p>
        </w:tc>
        <w:tc>
          <w:tcPr/>
          <w:p>
            <w:pPr>
              <w:pStyle w:val="Compact"/>
              <w:jc w:val="left"/>
            </w:pPr>
            <w:r>
              <w:rPr>
                <w:rFonts w:hint="eastAsia"/>
              </w:rPr>
              <w:t xml:space="preserve">-2400万ドル</w:t>
            </w:r>
          </w:p>
        </w:tc>
        <w:tc>
          <w:tcPr/>
          <w:p>
            <w:pPr>
              <w:pStyle w:val="Compact"/>
              <w:jc w:val="center"/>
            </w:pPr>
            <w:r>
              <w:rPr>
                <w:rFonts w:hint="eastAsia"/>
              </w:rPr>
              <w:t xml:space="preserve">-6100万ドル</w:t>
            </w:r>
          </w:p>
        </w:tc>
        <w:tc>
          <w:tcPr/>
          <w:p>
            <w:pPr>
              <w:pStyle w:val="Compact"/>
              <w:jc w:val="left"/>
            </w:pPr>
            <w:r>
              <w:t xml:space="preserve">-1.1%</w:t>
            </w:r>
          </w:p>
        </w:tc>
        <w:tc>
          <w:tcPr/>
          <w:p>
            <w:pPr>
              <w:pStyle w:val="Compact"/>
              <w:jc w:val="center"/>
            </w:pPr>
            <w:r>
              <w:rPr>
                <w:rFonts w:hint="eastAsia"/>
              </w:rPr>
              <w:t xml:space="preserve">2億6800万ドル</w:t>
            </w:r>
          </w:p>
        </w:tc>
      </w:tr>
      <w:tr>
        <w:tc>
          <w:tcPr/>
          <w:p>
            <w:pPr>
              <w:pStyle w:val="Compact"/>
            </w:pPr>
            <w:r>
              <w:rPr>
                <w:rFonts w:hint="eastAsia"/>
              </w:rPr>
              <w:t xml:space="preserve">10月8日（木）</w:t>
            </w:r>
          </w:p>
        </w:tc>
        <w:tc>
          <w:tcPr/>
          <w:p>
            <w:pPr>
              <w:pStyle w:val="Compact"/>
              <w:jc w:val="left"/>
            </w:pPr>
            <w:r>
              <w:rPr>
                <w:rFonts w:hint="eastAsia"/>
              </w:rPr>
              <w:t xml:space="preserve">+700万ドル</w:t>
            </w:r>
          </w:p>
        </w:tc>
        <w:tc>
          <w:tcPr/>
          <w:p>
            <w:pPr>
              <w:pStyle w:val="Compact"/>
              <w:jc w:val="center"/>
            </w:pPr>
            <w:r>
              <w:rPr>
                <w:rFonts w:hint="eastAsia"/>
              </w:rPr>
              <w:t xml:space="preserve">-1400万ドル</w:t>
            </w:r>
          </w:p>
        </w:tc>
        <w:tc>
          <w:tcPr/>
          <w:p>
            <w:pPr>
              <w:pStyle w:val="Compact"/>
              <w:jc w:val="left"/>
            </w:pPr>
            <w:r>
              <w:t xml:space="preserve">+0.4%</w:t>
            </w:r>
          </w:p>
        </w:tc>
        <w:tc>
          <w:tcPr/>
          <w:p>
            <w:pPr>
              <w:pStyle w:val="Compact"/>
              <w:jc w:val="center"/>
            </w:pPr>
            <w:r>
              <w:rPr>
                <w:rFonts w:hint="eastAsia"/>
              </w:rPr>
              <w:t xml:space="preserve">2億5100万ドル</w:t>
            </w:r>
          </w:p>
        </w:tc>
      </w:tr>
      <w:tr>
        <w:tc>
          <w:tcPr/>
          <w:p>
            <w:pPr>
              <w:pStyle w:val="Compact"/>
            </w:pPr>
            <w:r>
              <w:rPr>
                <w:rFonts w:hint="eastAsia"/>
              </w:rPr>
              <w:t xml:space="preserve">10月9日（金）</w:t>
            </w:r>
          </w:p>
        </w:tc>
        <w:tc>
          <w:tcPr/>
          <w:p>
            <w:pPr>
              <w:pStyle w:val="Compact"/>
              <w:jc w:val="left"/>
            </w:pPr>
            <w:r>
              <w:rPr>
                <w:rFonts w:hint="eastAsia"/>
              </w:rPr>
              <w:t xml:space="preserve">-1600万ドル</w:t>
            </w:r>
          </w:p>
        </w:tc>
        <w:tc>
          <w:tcPr/>
          <w:p>
            <w:pPr>
              <w:pStyle w:val="Compact"/>
              <w:jc w:val="center"/>
            </w:pPr>
            <w:r>
              <w:rPr>
                <w:rFonts w:hint="eastAsia"/>
              </w:rPr>
              <w:t xml:space="preserve">+900万ドル</w:t>
            </w:r>
          </w:p>
        </w:tc>
        <w:tc>
          <w:tcPr/>
          <w:p>
            <w:pPr>
              <w:pStyle w:val="Compact"/>
              <w:jc w:val="left"/>
            </w:pPr>
            <w:r>
              <w:t xml:space="preserve">-0.7%</w:t>
            </w:r>
          </w:p>
        </w:tc>
        <w:tc>
          <w:tcPr/>
          <w:p>
            <w:pPr>
              <w:pStyle w:val="Compact"/>
              <w:jc w:val="center"/>
            </w:pPr>
            <w:r>
              <w:rPr>
                <w:rFonts w:hint="eastAsia"/>
              </w:rPr>
              <w:t xml:space="preserve">2億4600万ドル</w:t>
            </w:r>
          </w:p>
        </w:tc>
      </w:tr>
      <w:tr>
        <w:tc>
          <w:tcPr/>
          <w:p>
            <w:pPr>
              <w:pStyle w:val="Compact"/>
            </w:pPr>
            <w:r>
              <w:rPr>
                <w:rFonts w:hint="eastAsia"/>
              </w:rPr>
              <w:t xml:space="preserve">週末推定</w:t>
            </w:r>
          </w:p>
        </w:tc>
        <w:tc>
          <w:tcPr/>
          <w:p>
            <w:pPr>
              <w:pStyle w:val="Compact"/>
              <w:jc w:val="left"/>
            </w:pPr>
            <w:r>
              <w:rPr>
                <w:rFonts w:hint="eastAsia"/>
              </w:rPr>
              <w:t xml:space="preserve">-4000万〜-9000万ド</w:t>
            </w:r>
          </w:p>
        </w:tc>
        <w:tc>
          <w:tcPr/>
          <w:p>
            <w:pPr>
              <w:pStyle w:val="Compact"/>
              <w:jc w:val="center"/>
            </w:pPr>
            <w:r>
              <w:t xml:space="preserve">ル </w:t>
            </w:r>
            <w:r>
              <w:rPr>
                <w:rFonts w:hint="eastAsia"/>
              </w:rPr>
              <w:t xml:space="preserve">-2億7800万ドル</w:t>
            </w:r>
          </w:p>
        </w:tc>
        <w:tc>
          <w:tcPr/>
          <w:p>
            <w:pPr>
              <w:pStyle w:val="Compact"/>
              <w:jc w:val="left"/>
            </w:pPr>
            <w:r>
              <w:rPr>
                <w:rFonts w:hint="eastAsia"/>
              </w:rPr>
              <w:t xml:space="preserve">先物</w:t>
            </w:r>
            <w:r>
              <w:t xml:space="preserve"> -2.1%</w:t>
            </w:r>
          </w:p>
        </w:tc>
        <w:tc>
          <w:tcPr/>
          <w:p>
            <w:pPr>
              <w:pStyle w:val="Compact"/>
              <w:jc w:val="center"/>
            </w:pPr>
            <w:r>
              <w:rPr>
                <w:rFonts w:hint="eastAsia"/>
              </w:rPr>
              <w:t xml:space="preserve">未確定</w:t>
            </w:r>
          </w:p>
        </w:tc>
      </w:tr>
    </w:tbl>
    <w:p>
      <w:pPr>
        <w:pStyle w:val="BodyText"/>
      </w:pPr>
      <w:r>
        <w:rPr>
          <w:rFonts w:hint="eastAsia"/>
        </w:rPr>
        <w:t xml:space="preserve">出典：サミット・リッジ・フロー・ダッシュボード。架空のもの。</w:t>
      </w:r>
    </w:p>
    <w:bookmarkEnd w:id="12"/>
    <w:bookmarkEnd w:id="13"/>
    <w:bookmarkStart w:id="15" w:name="現金不足のコスト"/>
    <w:p>
      <w:pPr>
        <w:pStyle w:val="Heading1"/>
      </w:pPr>
      <w:r>
        <w:rPr>
          <w:rFonts w:hint="eastAsia"/>
        </w:rPr>
        <w:t xml:space="preserve">現金不足のコスト</w:t>
      </w:r>
    </w:p>
    <w:p>
      <w:pPr>
        <w:pStyle w:val="FirstParagraph"/>
      </w:pPr>
      <w:r>
        <w:rPr>
          <w:rFonts w:hint="eastAsia"/>
        </w:rPr>
        <w:t xml:space="preserve">ファンドの手元現金が解約に必要な金額を下回った場合、トレーディング・デスクは証券を売却せざるを得なくなる。直接コストには、手数料、ビッド・アスク・スプレッド、一部市場での税金、マーケット・インパクトが含まれる。間接コストはさらに大きくなる可能性がある。急いだ売却は下落した価格で行われる可能性があり、サミット・リッジの意図を他のトレーダーに明かしてしまう可能性があり、あるいは投資チームが好む持ち高からポートフォリオを乖離させる可能性もある。</w:t>
      </w:r>
    </w:p>
    <w:p>
      <w:pPr>
        <w:pStyle w:val="BodyText"/>
      </w:pPr>
      <w:r>
        <w:rPr>
          <w:rFonts w:hint="eastAsia"/>
        </w:rPr>
        <w:t xml:space="preserve">ポートフォリオ・マネジャーのビクター・ヘイルは、最も流動性の高い保有銘柄を最初に売却すべきだと主張した。それらは低コストで迅速に現金化できるからである。マルケスは、最も流動性の高い証券を繰り返し売却すれば、残りのポートフォリオが取引しにくくなることを懸念した。それはまた、投資チームがオーバーウェイトを望まなかったであろう小規模ポジションやセクターへの集中を高める可能性もあった。</w:t>
      </w:r>
    </w:p>
    <w:p>
      <w:pPr>
        <w:pStyle w:val="BodyText"/>
      </w:pPr>
      <w:r>
        <w:rPr>
          <w:rFonts w:hint="eastAsia"/>
        </w:rPr>
        <w:t xml:space="preserve">代わりに、デスクはアナリストが魅力的でないと考える銘柄を売却することもできた。この方法はポートフォリオを改善する可能性があったが、それらの証券は流動性が低いことがあった。また、投資判断が誤っている可能性もあった。解約に応じるために売却した株式が翌日に反発すれば、より多くの現金を保有していた戦略と比較して、残存株主に恒久的な損失を残すことになる。</w:t>
      </w:r>
    </w:p>
    <w:bookmarkStart w:id="14" w:name="図-3.-追加現金2億ドルを調達する可能な手段"/>
    <w:p>
      <w:pPr>
        <w:pStyle w:val="Heading2"/>
      </w:pPr>
      <w:r>
        <w:rPr>
          <w:rFonts w:hint="eastAsia"/>
        </w:rPr>
        <w:t xml:space="preserve">図</w:t>
      </w:r>
      <w:r>
        <w:t xml:space="preserve"> 3. </w:t>
      </w:r>
      <w:r>
        <w:rPr>
          <w:rFonts w:hint="eastAsia"/>
        </w:rPr>
        <w:t xml:space="preserve">追加現金2億ドルを調達する可能な手段</w:t>
      </w:r>
    </w:p>
    <w:tbl>
      <w:tblPr>
        <w:tblStyle w:val="Table"/>
        <w:tblW w:type="pct" w:w="4923"/>
        <w:tblLayout w:type="fixed"/>
        <w:tblLook w:firstRow="1" w:lastRow="0" w:firstColumn="0" w:lastColumn="0" w:noHBand="0" w:noVBand="0" w:val="0020"/>
      </w:tblPr>
      <w:tblGrid>
        <w:gridCol w:w="2132"/>
        <w:gridCol w:w="1766"/>
        <w:gridCol w:w="2376"/>
        <w:gridCol w:w="1523"/>
      </w:tblGrid>
      <w:tr>
        <w:trPr>
          <w:tblHeader w:val="on"/>
        </w:trPr>
        <w:tc>
          <w:tcPr/>
          <w:p>
            <w:pPr>
              <w:pStyle w:val="Compact"/>
              <w:jc w:val="left"/>
            </w:pPr>
            <w:r>
              <w:rPr>
                <w:rFonts w:hint="eastAsia"/>
              </w:rPr>
              <w:t xml:space="preserve">手段</w:t>
            </w:r>
          </w:p>
        </w:tc>
        <w:tc>
          <w:tcPr/>
          <w:p>
            <w:pPr>
              <w:pStyle w:val="Compact"/>
              <w:jc w:val="center"/>
            </w:pPr>
            <w:r>
              <w:rPr>
                <w:rFonts w:hint="eastAsia"/>
              </w:rPr>
              <w:t xml:space="preserve">推定取引コスト</w:t>
            </w:r>
          </w:p>
        </w:tc>
        <w:tc>
          <w:tcPr/>
          <w:p>
            <w:pPr>
              <w:pStyle w:val="Compact"/>
              <w:jc w:val="center"/>
            </w:pPr>
            <w:r>
              <w:rPr>
                <w:rFonts w:hint="eastAsia"/>
              </w:rPr>
              <w:t xml:space="preserve">ポートフォリオへの影響</w:t>
            </w:r>
          </w:p>
        </w:tc>
        <w:tc>
          <w:tcPr/>
          <w:p>
            <w:pPr>
              <w:pStyle w:val="Compact"/>
              <w:jc w:val="center"/>
            </w:pPr>
            <w:r>
              <w:rPr>
                <w:rFonts w:hint="eastAsia"/>
              </w:rPr>
              <w:t xml:space="preserve">調達可能時期</w:t>
            </w:r>
          </w:p>
        </w:tc>
      </w:tr>
      <w:tr>
        <w:tc>
          <w:tcPr/>
          <w:p>
            <w:pPr>
              <w:pStyle w:val="Compact"/>
              <w:jc w:val="left"/>
            </w:pPr>
            <w:r>
              <w:rPr>
                <w:rFonts w:hint="eastAsia"/>
              </w:rPr>
              <w:t xml:space="preserve">株価指数先物の売却／オーバーレイの使</w:t>
            </w:r>
          </w:p>
        </w:tc>
        <w:tc>
          <w:tcPr/>
          <w:p>
            <w:pPr>
              <w:pStyle w:val="Compact"/>
              <w:jc w:val="center"/>
            </w:pPr>
            <w:r>
              <w:rPr>
                <w:rFonts w:hint="eastAsia"/>
              </w:rPr>
              <w:t xml:space="preserve">用</w:t>
            </w:r>
            <w:r>
              <w:t xml:space="preserve"> </w:t>
            </w:r>
            <w:r>
              <w:rPr>
                <w:rFonts w:hint="eastAsia"/>
              </w:rPr>
              <w:t xml:space="preserve">30万〜70万ドル</w:t>
            </w:r>
          </w:p>
        </w:tc>
        <w:tc>
          <w:tcPr/>
          <w:p>
            <w:pPr>
              <w:pStyle w:val="Compact"/>
              <w:jc w:val="center"/>
            </w:pPr>
            <w:r>
              <w:rPr>
                <w:rFonts w:hint="eastAsia"/>
              </w:rPr>
              <w:t xml:space="preserve">市場エクスポージャーを一時的に低</w:t>
            </w:r>
          </w:p>
        </w:tc>
        <w:tc>
          <w:tcPr/>
          <w:p>
            <w:pPr>
              <w:pStyle w:val="Compact"/>
              <w:jc w:val="center"/>
            </w:pPr>
            <w:r>
              <w:rPr>
                <w:rFonts w:hint="eastAsia"/>
              </w:rPr>
              <w:t xml:space="preserve">減</w:t>
            </w:r>
            <w:r>
              <w:t xml:space="preserve"> </w:t>
            </w:r>
            <w:r>
              <w:rPr>
                <w:rFonts w:hint="eastAsia"/>
              </w:rPr>
              <w:t xml:space="preserve">当日</w:t>
            </w:r>
          </w:p>
        </w:tc>
      </w:tr>
      <w:tr>
        <w:tc>
          <w:tcPr/>
          <w:p>
            <w:pPr>
              <w:pStyle w:val="Compact"/>
              <w:jc w:val="left"/>
            </w:pPr>
            <w:r>
              <w:rPr>
                <w:rFonts w:hint="eastAsia"/>
              </w:rPr>
              <w:t xml:space="preserve">流動性の高い上位10銘柄の売却</w:t>
            </w:r>
          </w:p>
        </w:tc>
        <w:tc>
          <w:tcPr/>
          <w:p>
            <w:pPr>
              <w:pStyle w:val="Compact"/>
              <w:jc w:val="center"/>
            </w:pPr>
            <w:r>
              <w:rPr>
                <w:rFonts w:hint="eastAsia"/>
              </w:rPr>
              <w:t xml:space="preserve">80万〜150万ドル</w:t>
            </w:r>
          </w:p>
        </w:tc>
        <w:tc>
          <w:tcPr/>
          <w:p>
            <w:pPr>
              <w:pStyle w:val="Compact"/>
              <w:jc w:val="center"/>
            </w:pPr>
            <w:r>
              <w:rPr>
                <w:rFonts w:hint="eastAsia"/>
              </w:rPr>
              <w:t xml:space="preserve">好ましいコア・ポジションを減少</w:t>
            </w:r>
          </w:p>
        </w:tc>
        <w:tc>
          <w:tcPr/>
          <w:p>
            <w:pPr>
              <w:pStyle w:val="Compact"/>
              <w:jc w:val="center"/>
            </w:pPr>
            <w:r>
              <w:rPr>
                <w:rFonts w:hint="eastAsia"/>
              </w:rPr>
              <w:t xml:space="preserve">当日</w:t>
            </w:r>
          </w:p>
        </w:tc>
      </w:tr>
      <w:tr>
        <w:tc>
          <w:tcPr/>
          <w:p>
            <w:pPr>
              <w:pStyle w:val="Compact"/>
              <w:jc w:val="left"/>
            </w:pPr>
            <w:r>
              <w:rPr>
                <w:rFonts w:hint="eastAsia"/>
              </w:rPr>
              <w:t xml:space="preserve">確信度の低い銘柄の売却</w:t>
            </w:r>
          </w:p>
        </w:tc>
        <w:tc>
          <w:tcPr/>
          <w:p>
            <w:pPr>
              <w:pStyle w:val="Compact"/>
              <w:jc w:val="center"/>
            </w:pPr>
            <w:r>
              <w:rPr>
                <w:rFonts w:hint="eastAsia"/>
              </w:rPr>
              <w:t xml:space="preserve">160万〜320万ドル</w:t>
            </w:r>
          </w:p>
        </w:tc>
        <w:tc>
          <w:tcPr/>
          <w:p>
            <w:pPr>
              <w:pStyle w:val="Compact"/>
              <w:jc w:val="center"/>
            </w:pPr>
            <w:r>
              <w:rPr>
                <w:rFonts w:hint="eastAsia"/>
              </w:rPr>
              <w:t xml:space="preserve">ポートフォリオのテーゼを改善する可能性</w:t>
            </w:r>
          </w:p>
        </w:tc>
        <w:tc>
          <w:tcPr/>
          <w:p>
            <w:pPr>
              <w:pStyle w:val="Compact"/>
              <w:jc w:val="center"/>
            </w:pPr>
            <w:r>
              <w:rPr>
                <w:rFonts w:hint="eastAsia"/>
              </w:rPr>
              <w:t xml:space="preserve">1〜3日</w:t>
            </w:r>
          </w:p>
        </w:tc>
      </w:tr>
      <w:tr>
        <w:tc>
          <w:tcPr/>
          <w:p>
            <w:pPr>
              <w:pStyle w:val="Compact"/>
              <w:jc w:val="left"/>
            </w:pPr>
            <w:r>
              <w:rPr>
                <w:rFonts w:hint="eastAsia"/>
              </w:rPr>
              <w:t xml:space="preserve">銀行のクレジット・ファシリティの利用</w:t>
            </w:r>
          </w:p>
        </w:tc>
        <w:tc>
          <w:tcPr/>
          <w:p>
            <w:pPr>
              <w:pStyle w:val="Compact"/>
              <w:jc w:val="center"/>
            </w:pPr>
            <w:r>
              <w:rPr>
                <w:rFonts w:hint="eastAsia"/>
              </w:rPr>
              <w:t xml:space="preserve">月額換算110万ドル</w:t>
            </w:r>
          </w:p>
        </w:tc>
        <w:tc>
          <w:tcPr/>
          <w:p>
            <w:pPr>
              <w:pStyle w:val="Compact"/>
              <w:jc w:val="center"/>
            </w:pPr>
            <w:r>
              <w:rPr>
                <w:rFonts w:hint="eastAsia"/>
              </w:rPr>
              <w:t xml:space="preserve">保有銘柄を維持；レバレッジが増加</w:t>
            </w:r>
          </w:p>
        </w:tc>
        <w:tc>
          <w:tcPr/>
          <w:p>
            <w:pPr>
              <w:pStyle w:val="Compact"/>
              <w:jc w:val="center"/>
            </w:pPr>
            <w:r>
              <w:rPr>
                <w:rFonts w:hint="eastAsia"/>
              </w:rPr>
              <w:t xml:space="preserve">利用可能なら当日</w:t>
            </w:r>
          </w:p>
        </w:tc>
      </w:tr>
      <w:tr>
        <w:tc>
          <w:tcPr/>
          <w:p>
            <w:pPr>
              <w:pStyle w:val="Compact"/>
              <w:jc w:val="left"/>
            </w:pPr>
            <w:r>
              <w:rPr>
                <w:rFonts w:hint="eastAsia"/>
              </w:rPr>
              <w:t xml:space="preserve">満期を迎える財務省短期証券の利用</w:t>
            </w:r>
          </w:p>
        </w:tc>
        <w:tc>
          <w:tcPr/>
          <w:p>
            <w:pPr>
              <w:pStyle w:val="Compact"/>
              <w:jc w:val="center"/>
            </w:pPr>
            <w:r>
              <w:rPr>
                <w:rFonts w:hint="eastAsia"/>
              </w:rPr>
              <w:t xml:space="preserve">最小限</w:t>
            </w:r>
          </w:p>
        </w:tc>
        <w:tc>
          <w:tcPr/>
          <w:p>
            <w:pPr>
              <w:pStyle w:val="Compact"/>
              <w:jc w:val="center"/>
            </w:pPr>
            <w:r>
              <w:rPr>
                <w:rFonts w:hint="eastAsia"/>
              </w:rPr>
              <w:t xml:space="preserve">流動性バッファーが減少</w:t>
            </w:r>
          </w:p>
        </w:tc>
        <w:tc>
          <w:tcPr/>
          <w:p>
            <w:pPr>
              <w:pStyle w:val="Compact"/>
              <w:jc w:val="center"/>
            </w:pPr>
            <w:r>
              <w:rPr>
                <w:rFonts w:hint="eastAsia"/>
              </w:rPr>
              <w:t xml:space="preserve">5日以内に7200万ドル</w:t>
            </w:r>
          </w:p>
        </w:tc>
      </w:tr>
      <w:tr>
        <w:tc>
          <w:tcPr/>
          <w:p>
            <w:pPr>
              <w:pStyle w:val="Compact"/>
              <w:jc w:val="left"/>
            </w:pPr>
            <w:r>
              <w:rPr>
                <w:rFonts w:hint="eastAsia"/>
              </w:rPr>
              <w:t xml:space="preserve">新規購入の延期</w:t>
            </w:r>
          </w:p>
        </w:tc>
        <w:tc>
          <w:tcPr/>
          <w:p>
            <w:pPr>
              <w:pStyle w:val="Compact"/>
              <w:jc w:val="center"/>
            </w:pPr>
            <w:r>
              <w:rPr>
                <w:rFonts w:hint="eastAsia"/>
              </w:rPr>
              <w:t xml:space="preserve">機会費用は不確実</w:t>
            </w:r>
          </w:p>
        </w:tc>
        <w:tc>
          <w:tcPr/>
          <w:p>
            <w:pPr>
              <w:pStyle w:val="Compact"/>
              <w:jc w:val="center"/>
            </w:pPr>
            <w:r>
              <w:rPr>
                <w:rFonts w:hint="eastAsia"/>
              </w:rPr>
              <w:t xml:space="preserve">資金流入があった場合のみ現金が回復</w:t>
            </w:r>
          </w:p>
        </w:tc>
        <w:tc>
          <w:tcPr/>
          <w:p>
            <w:pPr>
              <w:pStyle w:val="Compact"/>
              <w:jc w:val="center"/>
            </w:pPr>
            <w:r>
              <w:rPr>
                <w:rFonts w:hint="eastAsia"/>
              </w:rPr>
              <w:t xml:space="preserve">緩やか</w:t>
            </w:r>
          </w:p>
        </w:tc>
      </w:tr>
    </w:tbl>
    <w:p>
      <w:pPr>
        <w:pStyle w:val="BodyText"/>
      </w:pPr>
      <w:r>
        <w:rPr>
          <w:rFonts w:hint="eastAsia"/>
        </w:rPr>
        <w:t xml:space="preserve">出典：サミット・リッジ・トレーディング及びトレジャリー部門推定値。架空のもの。コストは市場環境により変動する。</w:t>
      </w:r>
    </w:p>
    <w:bookmarkEnd w:id="14"/>
    <w:bookmarkEnd w:id="15"/>
    <w:bookmarkStart w:id="17" w:name="現金過多のコスト"/>
    <w:p>
      <w:pPr>
        <w:pStyle w:val="Heading1"/>
      </w:pPr>
      <w:r>
        <w:rPr>
          <w:rFonts w:hint="eastAsia"/>
        </w:rPr>
        <w:t xml:space="preserve">現金過多のコスト</w:t>
      </w:r>
    </w:p>
    <w:p>
      <w:pPr>
        <w:pStyle w:val="FirstParagraph"/>
      </w:pPr>
      <w:r>
        <w:rPr>
          <w:rFonts w:hint="eastAsia"/>
        </w:rPr>
        <w:t xml:space="preserve">現金は無償ではなかった。短期金利が高い期間には、財務省短期証券やマネー・マーケット商品は相当な収入を生み出した。しかし、セレクト・エクイティ・ファンドは株式戦略として販売されており、そのベンチマークはほぼフル投資されていた。もし株式が現金よりも速く上昇すれば、恒久的な現金ポジションはパフォーマンスの重石を生むことになる。株式が現金を10パーセントポイント上回った場合、3パーセントの現金ポジションは年間リターンをおよそ0.30パーセントポイント押し下げることになる。</w:t>
      </w:r>
    </w:p>
    <w:p>
      <w:pPr>
        <w:pStyle w:val="BodyText"/>
      </w:pPr>
      <w:r>
        <w:rPr>
          <w:rFonts w:hint="eastAsia"/>
        </w:rPr>
        <w:t xml:space="preserve">その効果は、競合他社と比較されるまでは小さく見えた。投資コンサルタントは、しばしば比較的狭いパフォーマンスの差でマネジャーを格付けした。追加の0.30パーセントポイントは、格付け、機関投資家によるサーチ、アドバイザーの推奨、従業員賞与、将来の資金流入に影響を与える可能性があった。皮肉なことに、解約に備えて現金を保有することが、さらに多くの投資家を離脱させる劣後パフォーマンスの一因となる可能性があった。</w:t>
      </w:r>
    </w:p>
    <w:p>
      <w:pPr>
        <w:pStyle w:val="BodyText"/>
      </w:pPr>
      <w:r>
        <w:rPr>
          <w:rFonts w:hint="eastAsia"/>
        </w:rPr>
        <w:t xml:space="preserve">ポートフォリオチームは、大規模な資金流入の後には逆の問題にも直面した。急ぎすぎて購入すれば価格を押し上げたり、アナリストが分析を完了する前に購入を強いられたりする可能性がある。投資が遅すぎれば、ファンドに望まない現金が残ってしまう。チームは、どの証券を購入するか、どれだけ速く取引するか、そしてリサーチと執行が追いつくまでの間、株価指数先物を一時的なエクスポージャーとして使用するかどうかを決定しなければならなかった。</w:t>
      </w:r>
    </w:p>
    <w:bookmarkStart w:id="16" w:name="図-4.-代替的な現金水準の例示的な年間影響"/>
    <w:p>
      <w:pPr>
        <w:pStyle w:val="Heading2"/>
      </w:pPr>
      <w:r>
        <w:rPr>
          <w:rFonts w:hint="eastAsia"/>
        </w:rPr>
        <w:t xml:space="preserve">図</w:t>
      </w:r>
      <w:r>
        <w:t xml:space="preserve"> 4. </w:t>
      </w:r>
      <w:r>
        <w:rPr>
          <w:rFonts w:hint="eastAsia"/>
        </w:rPr>
        <w:t xml:space="preserve">代替的な現金水準の例示的な年間影響</w:t>
      </w:r>
    </w:p>
    <w:tbl>
      <w:tblPr>
        <w:tblStyle w:val="Table"/>
        <w:tblW w:type="pct" w:w="4912"/>
        <w:tblLayout w:type="fixed"/>
        <w:tblLook w:firstRow="1" w:lastRow="0" w:firstColumn="0" w:lastColumn="0" w:noHBand="0" w:noVBand="0" w:val="0020"/>
      </w:tblPr>
      <w:tblGrid>
        <w:gridCol w:w="1458"/>
        <w:gridCol w:w="2362"/>
        <w:gridCol w:w="1736"/>
        <w:gridCol w:w="2223"/>
      </w:tblGrid>
      <w:tr>
        <w:trPr>
          <w:tblHeader w:val="on"/>
        </w:trPr>
        <w:tc>
          <w:tcPr/>
          <w:p>
            <w:pPr>
              <w:pStyle w:val="Compact"/>
            </w:pPr>
            <w:r>
              <w:rPr>
                <w:rFonts w:hint="eastAsia"/>
              </w:rPr>
              <w:t xml:space="preserve">平均現金水準</w:t>
            </w:r>
            <w:r>
              <w:t xml:space="preserve"> </w:t>
            </w:r>
            <w:r>
              <w:rPr>
                <w:rFonts w:hint="eastAsia"/>
              </w:rPr>
              <w:t xml:space="preserve">現</w:t>
            </w:r>
          </w:p>
        </w:tc>
        <w:tc>
          <w:tcPr/>
          <w:p>
            <w:pPr>
              <w:pStyle w:val="Compact"/>
              <w:jc w:val="left"/>
            </w:pPr>
            <w:r>
              <w:rPr>
                <w:rFonts w:hint="eastAsia"/>
              </w:rPr>
              <w:t xml:space="preserve">金に対する株式のアウトパフォーム</w:t>
            </w:r>
          </w:p>
        </w:tc>
        <w:tc>
          <w:tcPr/>
          <w:p>
            <w:pPr>
              <w:pStyle w:val="Compact"/>
              <w:jc w:val="right"/>
            </w:pPr>
            <w:r>
              <w:rPr>
                <w:rFonts w:hint="eastAsia"/>
              </w:rPr>
              <w:t xml:space="preserve">推定リターンの押し下げ幅</w:t>
            </w:r>
          </w:p>
        </w:tc>
        <w:tc>
          <w:tcPr/>
          <w:p>
            <w:pPr>
              <w:pStyle w:val="Compact"/>
              <w:jc w:val="right"/>
            </w:pPr>
            <w:r>
              <w:rPr>
                <w:rFonts w:hint="eastAsia"/>
              </w:rPr>
              <w:t xml:space="preserve">85億ドルファンドでの現金額</w:t>
            </w:r>
          </w:p>
        </w:tc>
      </w:tr>
      <w:tr>
        <w:tc>
          <w:tcPr/>
          <w:p>
            <w:pPr>
              <w:pStyle w:val="Compact"/>
            </w:pPr>
            <w:r>
              <w:t xml:space="preserve">2%</w:t>
            </w:r>
          </w:p>
        </w:tc>
        <w:tc>
          <w:tcPr/>
          <w:p>
            <w:pPr>
              <w:pStyle w:val="Compact"/>
              <w:jc w:val="left"/>
            </w:pPr>
            <w:r>
              <w:t xml:space="preserve">4パーセントポイント</w:t>
            </w:r>
          </w:p>
        </w:tc>
        <w:tc>
          <w:tcPr/>
          <w:p>
            <w:pPr>
              <w:pStyle w:val="Compact"/>
              <w:jc w:val="right"/>
            </w:pPr>
            <w:r>
              <w:t xml:space="preserve">0.08パーセントポイント</w:t>
            </w:r>
          </w:p>
        </w:tc>
        <w:tc>
          <w:tcPr/>
          <w:p>
            <w:pPr>
              <w:pStyle w:val="Compact"/>
              <w:jc w:val="right"/>
            </w:pPr>
            <w:r>
              <w:rPr>
                <w:rFonts w:hint="eastAsia"/>
              </w:rPr>
              <w:t xml:space="preserve">1億7000万ドル</w:t>
            </w:r>
          </w:p>
        </w:tc>
      </w:tr>
      <w:tr>
        <w:tc>
          <w:tcPr/>
          <w:p>
            <w:pPr>
              <w:pStyle w:val="Compact"/>
            </w:pPr>
            <w:r>
              <w:t xml:space="preserve">3%</w:t>
            </w:r>
          </w:p>
        </w:tc>
        <w:tc>
          <w:tcPr/>
          <w:p>
            <w:pPr>
              <w:pStyle w:val="Compact"/>
              <w:jc w:val="left"/>
            </w:pPr>
            <w:r>
              <w:t xml:space="preserve">6パーセントポイント</w:t>
            </w:r>
          </w:p>
        </w:tc>
        <w:tc>
          <w:tcPr/>
          <w:p>
            <w:pPr>
              <w:pStyle w:val="Compact"/>
              <w:jc w:val="right"/>
            </w:pPr>
            <w:r>
              <w:t xml:space="preserve">0.18パーセントポイント</w:t>
            </w:r>
          </w:p>
        </w:tc>
        <w:tc>
          <w:tcPr/>
          <w:p>
            <w:pPr>
              <w:pStyle w:val="Compact"/>
              <w:jc w:val="right"/>
            </w:pPr>
            <w:r>
              <w:rPr>
                <w:rFonts w:hint="eastAsia"/>
              </w:rPr>
              <w:t xml:space="preserve">2億5500万ドル</w:t>
            </w:r>
          </w:p>
        </w:tc>
      </w:tr>
      <w:tr>
        <w:tc>
          <w:tcPr/>
          <w:p>
            <w:pPr>
              <w:pStyle w:val="Compact"/>
            </w:pPr>
            <w:r>
              <w:t xml:space="preserve">4%</w:t>
            </w:r>
          </w:p>
        </w:tc>
        <w:tc>
          <w:tcPr/>
          <w:p>
            <w:pPr>
              <w:pStyle w:val="Compact"/>
              <w:jc w:val="left"/>
            </w:pPr>
            <w:r>
              <w:t xml:space="preserve">8パーセントポイント</w:t>
            </w:r>
          </w:p>
        </w:tc>
        <w:tc>
          <w:tcPr/>
          <w:p>
            <w:pPr>
              <w:pStyle w:val="Compact"/>
              <w:jc w:val="right"/>
            </w:pPr>
            <w:r>
              <w:t xml:space="preserve">0.32パーセントポイント</w:t>
            </w:r>
          </w:p>
        </w:tc>
        <w:tc>
          <w:tcPr/>
          <w:p>
            <w:pPr>
              <w:pStyle w:val="Compact"/>
              <w:jc w:val="right"/>
            </w:pPr>
            <w:r>
              <w:rPr>
                <w:rFonts w:hint="eastAsia"/>
              </w:rPr>
              <w:t xml:space="preserve">3億4000万ドル</w:t>
            </w:r>
          </w:p>
        </w:tc>
      </w:tr>
      <w:tr>
        <w:tc>
          <w:tcPr/>
          <w:p>
            <w:pPr>
              <w:pStyle w:val="Compact"/>
            </w:pPr>
            <w:r>
              <w:t xml:space="preserve">5%</w:t>
            </w:r>
          </w:p>
        </w:tc>
        <w:tc>
          <w:tcPr/>
          <w:p>
            <w:pPr>
              <w:pStyle w:val="Compact"/>
              <w:jc w:val="left"/>
            </w:pPr>
            <w:r>
              <w:t xml:space="preserve">10パーセントポイント</w:t>
            </w:r>
          </w:p>
        </w:tc>
        <w:tc>
          <w:tcPr/>
          <w:p>
            <w:pPr>
              <w:pStyle w:val="Compact"/>
              <w:jc w:val="right"/>
            </w:pPr>
            <w:r>
              <w:t xml:space="preserve">0.50パーセントポイント</w:t>
            </w:r>
          </w:p>
        </w:tc>
        <w:tc>
          <w:tcPr/>
          <w:p>
            <w:pPr>
              <w:pStyle w:val="Compact"/>
              <w:jc w:val="right"/>
            </w:pPr>
            <w:r>
              <w:rPr>
                <w:rFonts w:hint="eastAsia"/>
              </w:rPr>
              <w:t xml:space="preserve">4億2500万ドル</w:t>
            </w:r>
          </w:p>
        </w:tc>
      </w:tr>
      <w:tr>
        <w:tc>
          <w:tcPr/>
          <w:p>
            <w:pPr>
              <w:pStyle w:val="Compact"/>
            </w:pPr>
            <w:r>
              <w:t xml:space="preserve">7%</w:t>
            </w:r>
          </w:p>
        </w:tc>
        <w:tc>
          <w:tcPr/>
          <w:p>
            <w:pPr>
              <w:pStyle w:val="Compact"/>
              <w:jc w:val="left"/>
            </w:pPr>
            <w:r>
              <w:t xml:space="preserve">12パーセントポイント</w:t>
            </w:r>
          </w:p>
        </w:tc>
        <w:tc>
          <w:tcPr/>
          <w:p>
            <w:pPr>
              <w:pStyle w:val="Compact"/>
              <w:jc w:val="right"/>
            </w:pPr>
            <w:r>
              <w:t xml:space="preserve">0.84パーセントポイント</w:t>
            </w:r>
          </w:p>
        </w:tc>
        <w:tc>
          <w:tcPr/>
          <w:p>
            <w:pPr>
              <w:pStyle w:val="Compact"/>
              <w:jc w:val="right"/>
            </w:pPr>
            <w:r>
              <w:rPr>
                <w:rFonts w:hint="eastAsia"/>
              </w:rPr>
              <w:t xml:space="preserve">5億9500万ドル</w:t>
            </w:r>
          </w:p>
        </w:tc>
      </w:tr>
    </w:tbl>
    <w:p>
      <w:pPr>
        <w:pStyle w:val="BodyText"/>
      </w:pPr>
      <w:r>
        <w:rPr>
          <w:rFonts w:hint="eastAsia"/>
        </w:rPr>
        <w:t xml:space="preserve">出典：例示的な計算。実際の結果は市場リターン、金利、タイミングに依存する。</w:t>
      </w:r>
    </w:p>
    <w:bookmarkEnd w:id="16"/>
    <w:bookmarkEnd w:id="17"/>
    <w:bookmarkStart w:id="19" w:name="予測と早期警告"/>
    <w:p>
      <w:pPr>
        <w:pStyle w:val="Heading1"/>
      </w:pPr>
      <w:r>
        <w:rPr>
          <w:rFonts w:hint="eastAsia"/>
        </w:rPr>
        <w:t xml:space="preserve">予測と早期警告</w:t>
      </w:r>
    </w:p>
    <w:p>
      <w:pPr>
        <w:pStyle w:val="FirstParagraph"/>
      </w:pPr>
      <w:r>
        <w:rPr>
          <w:rFonts w:hint="eastAsia"/>
        </w:rPr>
        <w:t xml:space="preserve">サミット・リッジのトレジャリーチームは、過去の投資家行動、仲介業者からの報告、月末の退職金拠出、税務期日、市場変動、既知の機関投資家の活動を用いて日次フロー予測を作成していた。このモデルは通常の市場環境下では比較的良好に機能したが、最大の誤差は、現金が最も価値を持つまさにその時期に生じた。平均的な日々の行動を基に設計された予測モデルは、年金基金がマネジャーを変更したり、コンサルタントがファンドをウォッチリストに載せたりすることを確実に予測することはできなかった。</w:t>
      </w:r>
    </w:p>
    <w:p>
      <w:pPr>
        <w:pStyle w:val="BodyText"/>
      </w:pPr>
      <w:r>
        <w:rPr>
          <w:rFonts w:hint="eastAsia"/>
        </w:rPr>
        <w:t xml:space="preserve">最高データ責任者ニーナ・シャーは、販売プラットフォームからより適時な情報を取得し、機関投資家クライアントに大規模な資金移動について非拘束的な事前指標を提供するよう求めることを提案した。一部のプラットフォームは日中の推定値を提供できたが、手数料を課しており、ファンドの一部しかカバーしていなかった。機関投資家は、自らの取引の扱われ方に影響を与えかねない意図を明かすことに消極的であった。コンプライアンスチームは、優遇クライアントに情報や待遇を与えることが他の株主を不利にする可能性があると警告した。</w:t>
      </w:r>
    </w:p>
    <w:p>
      <w:pPr>
        <w:pStyle w:val="BodyText"/>
      </w:pPr>
      <w:r>
        <w:rPr>
          <w:rFonts w:hint="eastAsia"/>
        </w:rPr>
        <w:t xml:space="preserve">最高財務責任者アーロン・ベルは、最近のフローの変動性とポートフォリオの流動性に連動した正式な流動性準備金を提案した。ヘイルは、固定ルールは平穏な市場では過剰な現金を保有することになり、それでも本物の取り付け騒ぎの際には不十分になると反論した。彼は、シナリオ分析とクレジットラインに裏付けられたマネジャーの判断を好んだ。独立ファンド取締役は、事後に理解し、監督し、正当化できるプロセスを求めていた。</w:t>
      </w:r>
    </w:p>
    <w:bookmarkStart w:id="18" w:name="図-5.-経営上の代替案"/>
    <w:p>
      <w:pPr>
        <w:pStyle w:val="Heading2"/>
      </w:pPr>
      <w:r>
        <w:rPr>
          <w:rFonts w:hint="eastAsia"/>
        </w:rPr>
        <w:t xml:space="preserve">図</w:t>
      </w:r>
      <w:r>
        <w:t xml:space="preserve"> 5. </w:t>
      </w:r>
      <w:r>
        <w:rPr>
          <w:rFonts w:hint="eastAsia"/>
        </w:rPr>
        <w:t xml:space="preserve">経営上の代替案</w:t>
      </w:r>
    </w:p>
    <w:tbl>
      <w:tblPr>
        <w:tblStyle w:val="Table"/>
        <w:tblW w:type="pct" w:w="4925"/>
        <w:tblLayout w:type="fixed"/>
        <w:tblLook w:firstRow="1" w:lastRow="0" w:firstColumn="0" w:lastColumn="0" w:noHBand="0" w:noVBand="0" w:val="0020"/>
      </w:tblPr>
      <w:tblGrid>
        <w:gridCol w:w="2381"/>
        <w:gridCol w:w="2560"/>
        <w:gridCol w:w="2858"/>
      </w:tblGrid>
      <w:tr>
        <w:trPr>
          <w:tblHeader w:val="on"/>
        </w:trPr>
        <w:tc>
          <w:tcPr/>
          <w:p>
            <w:pPr>
              <w:pStyle w:val="Compact"/>
              <w:jc w:val="left"/>
            </w:pPr>
            <w:r>
              <w:rPr>
                <w:rFonts w:hint="eastAsia"/>
              </w:rPr>
              <w:t xml:space="preserve">代替案</w:t>
            </w:r>
          </w:p>
        </w:tc>
        <w:tc>
          <w:tcPr/>
          <w:p>
            <w:pPr>
              <w:pStyle w:val="Compact"/>
              <w:jc w:val="center"/>
            </w:pPr>
            <w:r>
              <w:rPr>
                <w:rFonts w:hint="eastAsia"/>
              </w:rPr>
              <w:t xml:space="preserve">潜在的な利点</w:t>
            </w:r>
          </w:p>
        </w:tc>
        <w:tc>
          <w:tcPr/>
          <w:p>
            <w:pPr>
              <w:pStyle w:val="Compact"/>
              <w:jc w:val="center"/>
            </w:pPr>
            <w:r>
              <w:rPr>
                <w:rFonts w:hint="eastAsia"/>
              </w:rPr>
              <w:t xml:space="preserve">主なリスクまたはトレードオフ</w:t>
            </w:r>
          </w:p>
        </w:tc>
      </w:tr>
      <w:tr>
        <w:tc>
          <w:tcPr/>
          <w:p>
            <w:pPr>
              <w:pStyle w:val="Compact"/>
              <w:jc w:val="left"/>
            </w:pPr>
            <w:r>
              <w:rPr>
                <w:rFonts w:hint="eastAsia"/>
              </w:rPr>
              <w:t xml:space="preserve">目標現金比率を3%から5%に引き上げる</w:t>
            </w:r>
          </w:p>
        </w:tc>
        <w:tc>
          <w:tcPr/>
          <w:p>
            <w:pPr>
              <w:pStyle w:val="Compact"/>
              <w:jc w:val="center"/>
            </w:pPr>
            <w:r>
              <w:rPr>
                <w:rFonts w:hint="eastAsia"/>
              </w:rPr>
              <w:t xml:space="preserve">突然の引き出しに対する保護の強化</w:t>
            </w:r>
          </w:p>
        </w:tc>
        <w:tc>
          <w:tcPr/>
          <w:p>
            <w:pPr>
              <w:pStyle w:val="Compact"/>
              <w:jc w:val="center"/>
            </w:pPr>
            <w:r>
              <w:rPr>
                <w:rFonts w:hint="eastAsia"/>
              </w:rPr>
              <w:t xml:space="preserve">恒常的なパフォーマンスの押し下げ</w:t>
            </w:r>
          </w:p>
        </w:tc>
      </w:tr>
      <w:tr>
        <w:tc>
          <w:tcPr/>
          <w:p>
            <w:pPr>
              <w:pStyle w:val="Compact"/>
              <w:jc w:val="left"/>
            </w:pPr>
            <w:r>
              <w:rPr>
                <w:rFonts w:hint="eastAsia"/>
              </w:rPr>
              <w:t xml:space="preserve">3%の現金にクレジット・ファシリティを併用</w:t>
            </w:r>
          </w:p>
        </w:tc>
        <w:tc>
          <w:tcPr/>
          <w:p>
            <w:pPr>
              <w:pStyle w:val="Compact"/>
              <w:jc w:val="center"/>
            </w:pPr>
            <w:r>
              <w:rPr>
                <w:rFonts w:hint="eastAsia"/>
              </w:rPr>
              <w:t xml:space="preserve">恒久的な現金なしで流動性を確保</w:t>
            </w:r>
          </w:p>
        </w:tc>
        <w:tc>
          <w:tcPr/>
          <w:p>
            <w:pPr>
              <w:pStyle w:val="Compact"/>
              <w:jc w:val="center"/>
            </w:pPr>
            <w:r>
              <w:rPr>
                <w:rFonts w:hint="eastAsia"/>
              </w:rPr>
              <w:t xml:space="preserve">借入コストと市場ストレス時の利用可能性</w:t>
            </w:r>
          </w:p>
        </w:tc>
      </w:tr>
      <w:tr>
        <w:tc>
          <w:tcPr/>
          <w:p>
            <w:pPr>
              <w:pStyle w:val="Compact"/>
              <w:jc w:val="left"/>
            </w:pPr>
            <w:r>
              <w:rPr>
                <w:rFonts w:hint="eastAsia"/>
              </w:rPr>
              <w:t xml:space="preserve">動的な現金目標を用いる</w:t>
            </w:r>
          </w:p>
        </w:tc>
        <w:tc>
          <w:tcPr/>
          <w:p>
            <w:pPr>
              <w:pStyle w:val="Compact"/>
              <w:jc w:val="center"/>
            </w:pPr>
            <w:r>
              <w:rPr>
                <w:rFonts w:hint="eastAsia"/>
              </w:rPr>
              <w:t xml:space="preserve">フローと市場環境に応じて対応</w:t>
            </w:r>
          </w:p>
        </w:tc>
        <w:tc>
          <w:tcPr/>
          <w:p>
            <w:pPr>
              <w:pStyle w:val="Compact"/>
              <w:jc w:val="center"/>
            </w:pPr>
            <w:r>
              <w:rPr>
                <w:rFonts w:hint="eastAsia"/>
              </w:rPr>
              <w:t xml:space="preserve">モデル誤差と頻繁な取引</w:t>
            </w:r>
          </w:p>
        </w:tc>
      </w:tr>
      <w:tr>
        <w:tc>
          <w:tcPr/>
          <w:p>
            <w:pPr>
              <w:pStyle w:val="Compact"/>
              <w:jc w:val="left"/>
            </w:pPr>
            <w:r>
              <w:rPr>
                <w:rFonts w:hint="eastAsia"/>
              </w:rPr>
              <w:t xml:space="preserve">より大きな財務省短期証券のラダーを保有</w:t>
            </w:r>
          </w:p>
        </w:tc>
        <w:tc>
          <w:tcPr/>
          <w:p>
            <w:pPr>
              <w:pStyle w:val="Compact"/>
              <w:jc w:val="center"/>
            </w:pPr>
            <w:r>
              <w:rPr>
                <w:rFonts w:hint="eastAsia"/>
              </w:rPr>
              <w:t xml:space="preserve">予測可能な満期と収入</w:t>
            </w:r>
          </w:p>
        </w:tc>
        <w:tc>
          <w:tcPr/>
          <w:p>
            <w:pPr>
              <w:pStyle w:val="Compact"/>
              <w:jc w:val="center"/>
            </w:pPr>
            <w:r>
              <w:rPr>
                <w:rFonts w:hint="eastAsia"/>
              </w:rPr>
              <w:t xml:space="preserve">当日の解約に合わない可能性</w:t>
            </w:r>
          </w:p>
        </w:tc>
      </w:tr>
      <w:tr>
        <w:tc>
          <w:tcPr/>
          <w:p>
            <w:pPr>
              <w:pStyle w:val="Compact"/>
              <w:jc w:val="left"/>
            </w:pPr>
            <w:r>
              <w:rPr>
                <w:rFonts w:hint="eastAsia"/>
              </w:rPr>
              <w:t xml:space="preserve">株価指数先物の使用を拡大</w:t>
            </w:r>
          </w:p>
        </w:tc>
        <w:tc>
          <w:tcPr/>
          <w:p>
            <w:pPr>
              <w:pStyle w:val="Compact"/>
              <w:jc w:val="center"/>
            </w:pPr>
            <w:r>
              <w:rPr>
                <w:rFonts w:hint="eastAsia"/>
              </w:rPr>
              <w:t xml:space="preserve">現金保有中も市場エクスポージャーを維持</w:t>
            </w:r>
          </w:p>
        </w:tc>
        <w:tc>
          <w:tcPr/>
          <w:p>
            <w:pPr>
              <w:pStyle w:val="Compact"/>
              <w:jc w:val="center"/>
            </w:pPr>
            <w:r>
              <w:rPr>
                <w:rFonts w:hint="eastAsia"/>
              </w:rPr>
              <w:t xml:space="preserve">ベーシス、証拠金、カウンターパーティリスク</w:t>
            </w:r>
          </w:p>
        </w:tc>
      </w:tr>
      <w:tr>
        <w:tc>
          <w:tcPr/>
          <w:p>
            <w:pPr>
              <w:pStyle w:val="Compact"/>
              <w:jc w:val="left"/>
            </w:pPr>
            <w:r>
              <w:rPr>
                <w:rFonts w:hint="eastAsia"/>
              </w:rPr>
              <w:t xml:space="preserve">投資家フローに関するより良い情報を求める</w:t>
            </w:r>
          </w:p>
        </w:tc>
        <w:tc>
          <w:tcPr/>
          <w:p>
            <w:pPr>
              <w:pStyle w:val="Compact"/>
              <w:jc w:val="center"/>
            </w:pPr>
            <w:r>
              <w:rPr>
                <w:rFonts w:hint="eastAsia"/>
              </w:rPr>
              <w:t xml:space="preserve">予測誤差を減らせる可能性</w:t>
            </w:r>
          </w:p>
        </w:tc>
        <w:tc>
          <w:tcPr/>
          <w:p>
            <w:pPr>
              <w:pStyle w:val="Compact"/>
              <w:jc w:val="center"/>
            </w:pPr>
            <w:r>
              <w:rPr>
                <w:rFonts w:hint="eastAsia"/>
              </w:rPr>
              <w:t xml:space="preserve">コスト、不完全なカバレッジ、クライアントの抵抗</w:t>
            </w:r>
          </w:p>
        </w:tc>
      </w:tr>
      <w:tr>
        <w:tc>
          <w:tcPr/>
          <w:p>
            <w:pPr>
              <w:pStyle w:val="Compact"/>
              <w:jc w:val="left"/>
            </w:pPr>
            <w:r>
              <w:rPr>
                <w:rFonts w:hint="eastAsia"/>
              </w:rPr>
              <w:t xml:space="preserve">ポートフォリオを流動性重視に再設計</w:t>
            </w:r>
          </w:p>
        </w:tc>
        <w:tc>
          <w:tcPr/>
          <w:p>
            <w:pPr>
              <w:pStyle w:val="Compact"/>
              <w:jc w:val="center"/>
            </w:pPr>
            <w:r>
              <w:rPr>
                <w:rFonts w:hint="eastAsia"/>
              </w:rPr>
              <w:t xml:space="preserve">強制売却のコストが低下</w:t>
            </w:r>
          </w:p>
        </w:tc>
        <w:tc>
          <w:tcPr/>
          <w:p>
            <w:pPr>
              <w:pStyle w:val="Compact"/>
              <w:jc w:val="center"/>
            </w:pPr>
            <w:r>
              <w:rPr>
                <w:rFonts w:hint="eastAsia"/>
              </w:rPr>
              <w:t xml:space="preserve">投資戦略を制約する可能性</w:t>
            </w:r>
          </w:p>
        </w:tc>
      </w:tr>
    </w:tbl>
    <w:p>
      <w:pPr>
        <w:pStyle w:val="BodyText"/>
      </w:pPr>
      <w:r>
        <w:rPr>
          <w:rFonts w:hint="eastAsia"/>
        </w:rPr>
        <w:t xml:space="preserve">出典：サミット・リッジ経営陣の提案。架空のもの。</w:t>
      </w:r>
    </w:p>
    <w:bookmarkEnd w:id="18"/>
    <w:bookmarkEnd w:id="19"/>
    <w:bookmarkStart w:id="20" w:name="月曜午前8時30分"/>
    <w:p>
      <w:pPr>
        <w:pStyle w:val="Heading1"/>
      </w:pPr>
      <w:r>
        <w:rPr>
          <w:rFonts w:hint="eastAsia"/>
        </w:rPr>
        <w:t xml:space="preserve">月曜午前8時30分</w:t>
      </w:r>
    </w:p>
    <w:p>
      <w:pPr>
        <w:pStyle w:val="FirstParagraph"/>
      </w:pPr>
      <w:r>
        <w:rPr>
          <w:rFonts w:hint="eastAsia"/>
        </w:rPr>
        <w:t xml:space="preserve">午前8時20分までに、名義書換代理人は解約推定総額を3億4700万ドルに引き上げた。ある機関投資家クライアントは1億7800万ドルの引き出しを確定していた。第二の機関は決済情報を求めていたが、正式に注文を提出していなかった。個人投資家のフローはマイナスであったが、その推定値はまだ不安定であった。ファンドの取引銀行は、2億5000万ドルのコミットメント型クレジットラインが引き続き利用可能であることを確認したが、借入コストと担保要件が条件であった。</w:t>
      </w:r>
    </w:p>
    <w:p>
      <w:pPr>
        <w:pStyle w:val="BodyText"/>
      </w:pPr>
      <w:r>
        <w:rPr>
          <w:rFonts w:hint="eastAsia"/>
        </w:rPr>
        <w:t xml:space="preserve">マルケスは、市場が取引を開始する前に寄り付きの計画を承認しなければならなかった。ファンドの現金の大部分を使用する、流動性の高いコア保有銘柄の売却を開始する、確信度の低いポジションを売却する、クレジット・ファシリティに対して借り入れる、あるいはこれらの行動を組み合わせることができた。また、さらなる引き出しを見越して、既知の解約額を超えて追加の現金を調達すべきかどうかも決めなければならなかった。どの選択も、決定が下された後に展開する出来事に依存していた。</w:t>
      </w:r>
    </w:p>
    <w:p>
      <w:pPr>
        <w:pStyle w:val="BodyText"/>
      </w:pPr>
      <w:r>
        <w:rPr>
          <w:rFonts w:hint="eastAsia"/>
        </w:rPr>
        <w:t xml:space="preserve">より大きな問題は、月曜日の後も残るだろう。サミット・リッジは、通常の資金流入、予期せぬ機関投資家の解約、市場ショック、そして持続的な引き出しの期間に対応できる、再現可能なプロセスを必要としていた。しかし、危機の際にファンドを保護するプロセスは、通常の市場ではパフォーマンスを弱め、投資戦略を変化させ、あるいは異なる時期に出入りする株主間で取引コストを移転させる可能性があった。</w:t>
      </w:r>
    </w:p>
    <w:p>
      <w:pPr>
        <w:pStyle w:val="BodyText"/>
      </w:pPr>
      <w:r>
        <w:rPr>
          <w:rFonts w:hint="eastAsia"/>
        </w:rPr>
        <w:t xml:space="preserve">午前8時28分、先物はさらに0.5パーセントポイント下落した。マルケスは現金ダッシュボード、取引リスト、そして第二の機関からのメッセージを見つめた。市場はあと2分で開くところだった。</w:t>
      </w:r>
    </w:p>
    <w:bookmarkEnd w:id="20"/>
    <w:bookmarkStart w:id="21" w:name="議論の質問"/>
    <w:p>
      <w:pPr>
        <w:pStyle w:val="Heading1"/>
      </w:pPr>
      <w:r>
        <w:rPr>
          <w:rFonts w:hint="eastAsia"/>
        </w:rPr>
        <w:t xml:space="preserve">議論の質問</w:t>
      </w:r>
    </w:p>
    <w:p>
      <w:pPr>
        <w:numPr>
          <w:ilvl w:val="0"/>
          <w:numId w:val="1001"/>
        </w:numPr>
      </w:pPr>
      <w:r>
        <w:rPr>
          <w:rFonts w:hint="eastAsia"/>
        </w:rPr>
        <w:t xml:space="preserve">月曜朝にマルケスが直面している中心的な問題は何か。</w:t>
      </w:r>
    </w:p>
    <w:p>
      <w:pPr>
        <w:numPr>
          <w:ilvl w:val="0"/>
          <w:numId w:val="1001"/>
        </w:numPr>
      </w:pPr>
      <w:r>
        <w:rPr>
          <w:rFonts w:hint="eastAsia"/>
        </w:rPr>
        <w:t xml:space="preserve">サミット・リッジは、既知の解約と可能性のある追加引き出しにそれぞれどれだけの重みを置くべきか。</w:t>
      </w:r>
    </w:p>
    <w:p>
      <w:pPr>
        <w:numPr>
          <w:ilvl w:val="0"/>
          <w:numId w:val="1001"/>
        </w:numPr>
      </w:pPr>
      <w:r>
        <w:rPr>
          <w:rFonts w:hint="eastAsia"/>
        </w:rPr>
        <w:t xml:space="preserve">現金を少なく保有しすぎることの結果は何か。多く保有しすぎることの結果は何か。</w:t>
      </w:r>
    </w:p>
    <w:p>
      <w:pPr>
        <w:numPr>
          <w:ilvl w:val="0"/>
          <w:numId w:val="1001"/>
        </w:numPr>
      </w:pPr>
      <w:r>
        <w:rPr>
          <w:rFonts w:hint="eastAsia"/>
        </w:rPr>
        <w:t xml:space="preserve">ファンドが現金を調達しなければならない場合、どの証券を最初に売却すべきか。</w:t>
      </w:r>
    </w:p>
    <w:p>
      <w:pPr>
        <w:numPr>
          <w:ilvl w:val="0"/>
          <w:numId w:val="1001"/>
        </w:numPr>
      </w:pPr>
      <w:r>
        <w:rPr>
          <w:rFonts w:hint="eastAsia"/>
        </w:rPr>
        <w:t xml:space="preserve">どのような場合に、ファンドはポートフォリオ保有銘柄を売却するのではなく、クレジット・ファシリティを使用すべきか。</w:t>
      </w:r>
    </w:p>
    <w:p>
      <w:pPr>
        <w:numPr>
          <w:ilvl w:val="0"/>
          <w:numId w:val="1001"/>
        </w:numPr>
      </w:pPr>
      <w:r>
        <w:rPr>
          <w:rFonts w:hint="eastAsia"/>
        </w:rPr>
        <w:t xml:space="preserve">個人投資家と機関投資家の違いは、現金計画にどのように影響を与えるべきか。</w:t>
      </w:r>
    </w:p>
    <w:p>
      <w:pPr>
        <w:numPr>
          <w:ilvl w:val="0"/>
          <w:numId w:val="1001"/>
        </w:numPr>
      </w:pPr>
      <w:r>
        <w:rPr>
          <w:rFonts w:hint="eastAsia"/>
        </w:rPr>
        <w:t xml:space="preserve">サミット・リッジが投資家フローを予測する能力を最も改善する情報は何か。</w:t>
      </w:r>
    </w:p>
    <w:p>
      <w:pPr>
        <w:numPr>
          <w:ilvl w:val="0"/>
          <w:numId w:val="1001"/>
        </w:numPr>
      </w:pPr>
      <w:r>
        <w:rPr>
          <w:rFonts w:hint="eastAsia"/>
        </w:rPr>
        <w:t xml:space="preserve">固定現金目標、動的ルール、それともマネジャーの判断のうち、どれが最も強力なプロセスを提供するか。</w:t>
      </w:r>
    </w:p>
    <w:p>
      <w:pPr>
        <w:numPr>
          <w:ilvl w:val="0"/>
          <w:numId w:val="1001"/>
        </w:numPr>
      </w:pPr>
      <w:r>
        <w:rPr>
          <w:rFonts w:hint="eastAsia"/>
        </w:rPr>
        <w:t xml:space="preserve">流動性ポジションを設定する際、ファンドは市場環境と金利をどのように考慮すべきか。</w:t>
      </w:r>
    </w:p>
    <w:p>
      <w:pPr>
        <w:numPr>
          <w:ilvl w:val="0"/>
          <w:numId w:val="1001"/>
        </w:numPr>
      </w:pPr>
      <w:r>
        <w:rPr>
          <w:rFonts w:hint="eastAsia"/>
        </w:rPr>
        <w:t xml:space="preserve">サミット・リッジは、現金管理プロセスが残存株主を公正に保護しているかどうかをどのように評価すべきか。</w:t>
      </w:r>
    </w:p>
    <w:bookmarkEnd w:id="21"/>
    <w:bookmarkStart w:id="27" w:name="決定フレーミングの質問"/>
    <w:p>
      <w:pPr>
        <w:pStyle w:val="Heading1"/>
      </w:pPr>
      <w:r>
        <w:rPr>
          <w:rFonts w:hint="eastAsia"/>
        </w:rPr>
        <w:t xml:space="preserve">決定フレーミングの質問</w:t>
      </w:r>
    </w:p>
    <w:p>
      <w:pPr>
        <w:numPr>
          <w:ilvl w:val="0"/>
          <w:numId w:val="1002"/>
        </w:numPr>
      </w:pPr>
      <w:r>
        <w:rPr>
          <w:rFonts w:hint="eastAsia"/>
        </w:rPr>
        <w:t xml:space="preserve">意思決定者の責任を特定し、記述せよ。これにより問題の範囲が定まる。</w:t>
      </w:r>
    </w:p>
    <w:p>
      <w:pPr>
        <w:numPr>
          <w:ilvl w:val="0"/>
          <w:numId w:val="1002"/>
        </w:numPr>
      </w:pPr>
      <w:hyperlink r:id="rId22">
        <w:r>
          <w:rPr>
            <w:rStyle w:val="Hyperlink"/>
          </w:rPr>
          <w:t xml:space="preserve">メトリクス・ピラミッド・ツール</w:t>
        </w:r>
      </w:hyperlink>
      <w:r>
        <w:rPr>
          <w:rFonts w:hint="eastAsia"/>
        </w:rPr>
        <w:t xml:space="preserve">を使用して、さまざまなパフォーマンス指標を特定し、優先順位を付けよ。指標を保持する楕円をクリックして、それが最大化すべき指標（緑）、最小化すべき指標（赤）、下限となる目標（薄緑）、上限となる目標（薄赤）、あるいは目標（紫）のいずれであるかを示せ。</w:t>
      </w:r>
    </w:p>
    <w:p>
      <w:pPr>
        <w:numPr>
          <w:ilvl w:val="0"/>
          <w:numId w:val="1002"/>
        </w:numPr>
      </w:pPr>
      <w:hyperlink r:id="rId23">
        <w:r>
          <w:rPr>
            <w:rStyle w:val="Hyperlink"/>
            <w:rFonts w:hint="eastAsia"/>
          </w:rPr>
          <w:t xml:space="preserve">決定優先順位付けツール</w:t>
        </w:r>
      </w:hyperlink>
      <w:r>
        <w:rPr>
          <w:rFonts w:hint="eastAsia"/>
        </w:rPr>
        <w:t xml:space="preserve">を使用して、まずさまざまな種類の決定を列挙せよ（</w:t>
      </w:r>
      <w:hyperlink r:id="rId24">
        <w:r>
          <w:rPr>
            <w:rStyle w:val="Hyperlink"/>
            <w:rFonts w:hint="eastAsia"/>
          </w:rPr>
          <w:t xml:space="preserve">決定の種類</w:t>
        </w:r>
      </w:hyperlink>
      <w:r>
        <w:rPr>
          <w:rFonts w:hint="eastAsia"/>
        </w:rPr>
        <w:t xml:space="preserve">を参考にすること）。これらは右側のマトリクスの行を構成し、列は上記のピラミッドで示された優先順位に従って左から右にソートされたパフォーマンス指標となる。各セルをクリックして、その決定が各指標に与える影響が高い（赤）、中程度（オレンジ）、低い（黄）、あるいはなし（白）であるかを示せ。</w:t>
      </w:r>
    </w:p>
    <w:p>
      <w:pPr>
        <w:numPr>
          <w:ilvl w:val="0"/>
          <w:numId w:val="1002"/>
        </w:numPr>
      </w:pPr>
      <w:r>
        <w:rPr>
          <w:rFonts w:hint="eastAsia"/>
        </w:rPr>
        <w:t xml:space="preserve">各行の一番左にあるハンドル（三本線）をつかんで、上下に移動させることができる。最も重要な指標に最も大きな影響を与える決定が上位に来るよう行を並べ替えよ。左上隅のセルには、赤とオレンジのセルが最も集中しているべきである。この時点で、あなたの研究において最も注意を払うべき決定を特定せよ。最も重要な指標に中程度または高い影響を与える決定がない場合は、決定のリストを見直せ。</w:t>
      </w:r>
    </w:p>
    <w:p>
      <w:pPr>
        <w:numPr>
          <w:ilvl w:val="0"/>
          <w:numId w:val="1002"/>
        </w:numPr>
      </w:pPr>
      <w:hyperlink r:id="rId25">
        <w:r>
          <w:rPr>
            <w:rStyle w:val="Hyperlink"/>
            <w:rFonts w:hint="eastAsia"/>
          </w:rPr>
          <w:t xml:space="preserve">不確実性優先順位付けツール</w:t>
        </w:r>
      </w:hyperlink>
      <w:r>
        <w:rPr>
          <w:rFonts w:hint="eastAsia"/>
        </w:rPr>
        <w:t xml:space="preserve">を使用して、不確実性についても同様のプロセスを繰り返し、列挙し優先順位を付けよ。</w:t>
      </w:r>
      <w:hyperlink r:id="rId26">
        <w:r>
          <w:rPr>
            <w:rStyle w:val="Hyperlink"/>
            <w:rFonts w:hint="eastAsia"/>
          </w:rPr>
          <w:t xml:space="preserve">不確実性のカテゴリー</w:t>
        </w:r>
      </w:hyperlink>
      <w:r>
        <w:rPr>
          <w:rFonts w:hint="eastAsia"/>
        </w:rPr>
        <w:t xml:space="preserve">を参考にすること。</w:t>
      </w:r>
    </w:p>
    <w:p>
      <w:pPr>
        <w:numPr>
          <w:ilvl w:val="0"/>
          <w:numId w:val="1002"/>
        </w:numPr>
      </w:pPr>
      <w:r>
        <w:rPr>
          <w:rFonts w:hint="eastAsia"/>
        </w:rPr>
        <w:t xml:space="preserve">平均で評価できる不確実性と、リスク事象として評価すべき不確実性を区別することが重要である。</w:t>
      </w:r>
    </w:p>
    <w:p>
      <w:pPr>
        <w:numPr>
          <w:ilvl w:val="1"/>
          <w:numId w:val="1003"/>
        </w:numPr>
      </w:pPr>
      <w:r>
        <w:rPr>
          <w:rFonts w:hint="eastAsia"/>
        </w:rPr>
        <w:t xml:space="preserve">どの不確実性の源が、時間をかけた平均的なパフォーマンスによって捉えられるか。</w:t>
      </w:r>
    </w:p>
    <w:p>
      <w:pPr>
        <w:numPr>
          <w:ilvl w:val="1"/>
          <w:numId w:val="1003"/>
        </w:numPr>
      </w:pPr>
      <w:r>
        <w:rPr>
          <w:rFonts w:hint="eastAsia"/>
        </w:rPr>
        <w:t xml:space="preserve">どの不確実性の源が、平均では適切に捉えられないリスクの形態を表しているか。</w:t>
      </w:r>
    </w:p>
    <w:p>
      <w:pPr>
        <w:numPr>
          <w:ilvl w:val="0"/>
          <w:numId w:val="1002"/>
        </w:numPr>
      </w:pPr>
      <w:r>
        <w:rPr>
          <w:rFonts w:hint="eastAsia"/>
        </w:rPr>
        <w:t xml:space="preserve">最も重要な指標に最も大きな影響を与えると思われる単一の決定を選べ。</w:t>
      </w:r>
    </w:p>
    <w:p>
      <w:pPr>
        <w:numPr>
          <w:ilvl w:val="1"/>
          <w:numId w:val="1004"/>
        </w:numPr>
      </w:pPr>
      <w:r>
        <w:rPr>
          <w:rFonts w:hint="eastAsia"/>
        </w:rPr>
        <w:t xml:space="preserve">この決定を下すために、どのようなアプローチを使用すると考えるか。</w:t>
      </w:r>
    </w:p>
    <w:p>
      <w:pPr>
        <w:numPr>
          <w:ilvl w:val="1"/>
          <w:numId w:val="1004"/>
        </w:numPr>
      </w:pPr>
      <w:r>
        <w:rPr>
          <w:rFonts w:hint="eastAsia"/>
        </w:rPr>
        <w:t xml:space="preserve">この決定を下すために必要と思われるデータは何か。決定が高いまたは中程度の影響を与えるパフォーマンス指標の計算を含めて答えよ。</w:t>
      </w:r>
    </w:p>
    <w:p>
      <w:pPr>
        <w:numPr>
          <w:ilvl w:val="0"/>
          <w:numId w:val="1002"/>
        </w:numPr>
      </w:pPr>
      <w:r>
        <w:rPr>
          <w:rFonts w:hint="eastAsia"/>
        </w:rPr>
        <w:t xml:space="preserve">(7)で特定したのと同じ決定を用いて、その決定を実行するために協力する必要がある人々、部門、グループ、あるいは組織を特定せよ。</w:t>
      </w:r>
    </w:p>
    <w:bookmarkEnd w:id="27"/>
    <w:bookmarkStart w:id="30" w:name="chatgptのノート"/>
    <w:p>
      <w:pPr>
        <w:pStyle w:val="Heading1"/>
      </w:pPr>
      <w:r>
        <w:t xml:space="preserve">ChatGPTのノート</w:t>
      </w:r>
    </w:p>
    <w:bookmarkStart w:id="28" w:name="プロンプト"/>
    <w:p>
      <w:pPr>
        <w:pStyle w:val="Heading2"/>
      </w:pPr>
      <w:r>
        <w:t xml:space="preserve">プロンプト</w:t>
      </w:r>
    </w:p>
    <w:p>
      <w:pPr>
        <w:pStyle w:val="FirstParagraph"/>
      </w:pPr>
      <w:r>
        <w:t xml:space="preserve">https://warrenpowell.org/bridging-vol1/chapter-2/#mutual-fund-cash-management </w:t>
      </w:r>
      <w:r>
        <w:rPr>
          <w:rFonts w:hint="eastAsia"/>
        </w:rPr>
        <w:t xml:space="preserve">のセクションにある内容に基づいて、4〜6ページのケーススタディを執筆せよ。そのセクションにある指標、決定、不確実性に基づいた文脈を作成せよ。ただし、それらを明示的に取り上げることなく行うこと。データを用いてケースの問題に動機づけを与えよ。</w:t>
      </w:r>
    </w:p>
    <w:bookmarkEnd w:id="28"/>
    <w:bookmarkStart w:id="29" w:name="要約"/>
    <w:p>
      <w:pPr>
        <w:pStyle w:val="Heading2"/>
      </w:pPr>
      <w:r>
        <w:rPr>
          <w:rFonts w:hint="eastAsia"/>
        </w:rPr>
        <w:t xml:space="preserve">要約</w:t>
      </w:r>
    </w:p>
    <w:p>
      <w:pPr>
        <w:pStyle w:val="FirstParagraph"/>
      </w:pPr>
      <w:r>
        <w:rPr>
          <w:rFonts w:hint="eastAsia"/>
        </w:rPr>
        <w:t xml:space="preserve">このケースは、週末の市場ショックの後に大規模な機関投資家の解約に直面する架空の株式ミューチュアルファンドを描いている。経営陣は、どれだけの現金を保有すべきか、借り入れるべきか証券を売却すべきか、どの保有銘柄を取引すべきか、そして投資パフォーマンスへの恒常的な重石を生むことなく追加の引き出しにどう備えるべきかを決定しなければならない。</w:t>
      </w:r>
    </w:p>
    <w:p>
      <w:pPr>
        <w:pStyle w:val="BodyText"/>
      </w:pPr>
      <w:r>
        <w:rPr>
          <w:rFonts w:hint="eastAsia"/>
        </w:rPr>
        <w:t xml:space="preserve">この設定は、指定されたミューチュアルファンドの現金管理セクションを基にしており、余剰現金を保有することと、解約が到来した際に投資を強制的に清算しなければならないこととの間の緊張関係を含んでいる。2026年5月時点で米国の長期ミューチュアルファンド資産が約</w:t>
      </w:r>
      <w:r>
        <w:rPr>
          <w:rFonts w:hint="eastAsia"/>
          <w:b/>
          <w:bCs/>
        </w:rPr>
        <w:t xml:space="preserve">25.3兆ドル</w:t>
      </w:r>
      <w:r>
        <w:rPr>
          <w:rFonts w:hint="eastAsia"/>
        </w:rPr>
        <w:t xml:space="preserve">であったこと、2026年7月に推定週次ミューチュアルファンド純流出が</w:t>
      </w:r>
      <w:r>
        <w:rPr>
          <w:rFonts w:hint="eastAsia"/>
          <w:b/>
          <w:bCs/>
        </w:rPr>
        <w:t xml:space="preserve">154.3億ドル</w:t>
      </w:r>
      <w:r>
        <w:rPr>
          <w:rFonts w:hint="eastAsia"/>
        </w:rPr>
        <w:t xml:space="preserve">であったこと、そして2025年3月にマネー・マーケット資産が</w:t>
      </w:r>
      <w:r>
        <w:rPr>
          <w:rFonts w:hint="eastAsia"/>
          <w:b/>
          <w:bCs/>
        </w:rPr>
        <w:t xml:space="preserve">7兆ドル</w:t>
      </w:r>
      <w:r>
        <w:rPr>
          <w:rFonts w:hint="eastAsia"/>
        </w:rPr>
        <w:t xml:space="preserve">を超えたことを示す業界データによって動機づけられている。</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3" Target="https://warrenpowell.org/decision-framing-tool/#decision-prioritization-tool" TargetMode="External" /><Relationship Type="http://schemas.openxmlformats.org/officeDocument/2006/relationships/hyperlink" Id="rId22" Target="https://warrenpowell.org/decision-framing-tool/#metrics-pyramid-tool" TargetMode="External" /><Relationship Type="http://schemas.openxmlformats.org/officeDocument/2006/relationships/hyperlink" Id="rId25" Target="https://warrenpowell.org/decision-framing-tool/#uncertainty-prioritization-tool" TargetMode="External" /><Relationship Type="http://schemas.openxmlformats.org/officeDocument/2006/relationships/hyperlink" Id="rId24" Target="https://warrenpowell.org/decisionsdecisions/#types-of-decision-settings" TargetMode="External" /><Relationship Type="http://schemas.openxmlformats.org/officeDocument/2006/relationships/hyperlink" Id="rId26"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3" Target="https://warrenpowell.org/decision-framing-tool/#decision-prioritization-tool" TargetMode="External" /><Relationship Type="http://schemas.openxmlformats.org/officeDocument/2006/relationships/hyperlink" Id="rId22" Target="https://warrenpowell.org/decision-framing-tool/#metrics-pyramid-tool" TargetMode="External" /><Relationship Type="http://schemas.openxmlformats.org/officeDocument/2006/relationships/hyperlink" Id="rId25" Target="https://warrenpowell.org/decision-framing-tool/#uncertainty-prioritization-tool" TargetMode="External" /><Relationship Type="http://schemas.openxmlformats.org/officeDocument/2006/relationships/hyperlink" Id="rId24" Target="https://warrenpowell.org/decisionsdecisions/#types-of-decision-settings" TargetMode="External" /><Relationship Type="http://schemas.openxmlformats.org/officeDocument/2006/relationships/hyperlink" Id="rId26"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2026-09-11T18:02:42Z</dcterms:created>
  <dcterms:modified xsi:type="dcterms:W3CDTF">2026-09-11T18:02:42Z</dcterms:modified>
</cp:coreProperties>
</file>

<file path=docProps/custom.xml><?xml version="1.0" encoding="utf-8"?>
<Properties xmlns="http://schemas.openxmlformats.org/officeDocument/2006/custom-properties" xmlns:vt="http://schemas.openxmlformats.org/officeDocument/2006/docPropsVTypes"/>
</file>