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ASTERION THERAPEUTICS</w:t>
      </w:r>
    </w:p>
    <w:p>
      <w:pPr>
        <w:pStyle w:val="BodyText"/>
      </w:pPr>
      <w:r>
        <w:t xml:space="preserve">O Relógio do Recrutamento</w:t>
      </w:r>
    </w:p>
    <w:p>
      <w:pPr>
        <w:pStyle w:val="BodyText"/>
      </w:pPr>
      <w:r>
        <w:t xml:space="preserve">Um caso de desenvolvimento clínico sobre evidência, recrutamento, segurança e o custo da espera</w:t>
      </w:r>
    </w:p>
    <w:p>
      <w:pPr>
        <w:pStyle w:val="BodyText"/>
      </w:pPr>
      <w:r>
        <w:t xml:space="preserve">Este caso é fictício e destinado à discussão instrucional. Nomes, eventos, produtos e dados da empresa são inventados; estatísticas públicas são citadas na nota de origem.</w:t>
      </w:r>
    </w:p>
    <w:bookmarkStart w:id="10" w:name="Xf1ba13371c82caca6c7cdf98eedf662873ac3aa"/>
    <w:p>
      <w:pPr>
        <w:pStyle w:val="Heading1"/>
      </w:pPr>
      <w:r>
        <w:t xml:space="preserve">Uma Terapia Promissora Com uma Janela Estreita</w:t>
      </w:r>
    </w:p>
    <w:p>
      <w:pPr>
        <w:pStyle w:val="FirstParagraph"/>
      </w:pPr>
      <w:r>
        <w:t xml:space="preserve">Às 7h15 de uma terça-feira de março de 2027, Maya Chen, diretora de desenvolvimento da Asterion Therapeutics, abriu o relatório provisório do AST-417, uma terapia injetável para fibrose pulmonar progressiva. A empresa havia gasto seis anos e $214 milhões levando o composto do trabalho laboratorial até dois estudos clínicos iniciais. A Asterion agora tinha evidências suficientes para acreditar que a terapia poderia retardar a perda de função pulmonar, mas não evidências suficientes para saber se o benefício seria clinicamente persuasivo, duradouro ou amplo o bastante para sustentar a aprovação.</w:t>
      </w:r>
    </w:p>
    <w:p>
      <w:pPr>
        <w:pStyle w:val="BodyText"/>
      </w:pPr>
      <w:r>
        <w:t xml:space="preserve">A decisão não podia ser separada do tempo. A Asterion tinha 31 meses de caixa em sua taxa de gastos atual, mas um programa pivotal completo poderia consumir a maior parte desse fôlego financeiro. A proteção patentária já estava se corroendo, uma concorrente maior havia anunciado um estudo relacionado, e a fabricante contratada da empresa precisava de um compromisso de capacidade dentro de seis semanas. Adiar produziria mais informação, mas também custaria dinheiro, pacientes, opções de fabricação e talvez posição de mercado.</w:t>
      </w:r>
    </w:p>
    <w:bookmarkStart w:id="9" w:name="X9b0e5294b4d45022022756a8689e6a94ccd42d2"/>
    <w:p>
      <w:pPr>
        <w:pStyle w:val="Heading2"/>
      </w:pPr>
      <w:r>
        <w:t xml:space="preserve">Exhibit 1. Posição de Desenvolvimento do AST-417</w:t>
      </w:r>
    </w:p>
    <w:tbl>
      <w:tblPr>
        <w:tblStyle w:val="Table"/>
        <w:tblW w:type="pct" w:w="4919"/>
        <w:tblLayout w:type="fixed"/>
        <w:tblLook w:firstRow="1" w:lastRow="0" w:firstColumn="0" w:lastColumn="0" w:noHBand="0" w:noVBand="0" w:val="0020"/>
      </w:tblPr>
      <w:tblGrid>
        <w:gridCol w:w="1674"/>
        <w:gridCol w:w="2124"/>
        <w:gridCol w:w="3992"/>
      </w:tblGrid>
      <w:tr>
        <w:trPr>
          <w:tblHeader w:val="on"/>
        </w:trPr>
        <w:tc>
          <w:tcPr/>
          <w:p>
            <w:pPr>
              <w:pStyle w:val="Compact"/>
              <w:jc w:val="left"/>
            </w:pPr>
            <w:r>
              <w:t xml:space="preserve">Item</w:t>
            </w:r>
          </w:p>
        </w:tc>
        <w:tc>
          <w:tcPr/>
          <w:p>
            <w:pPr>
              <w:pStyle w:val="Compact"/>
              <w:jc w:val="left"/>
            </w:pPr>
            <w:r>
              <w:t xml:space="preserve">Posição atual</w:t>
            </w:r>
          </w:p>
        </w:tc>
        <w:tc>
          <w:tcPr/>
          <w:p>
            <w:pPr>
              <w:pStyle w:val="Compact"/>
              <w:jc w:val="center"/>
            </w:pPr>
            <w:r>
              <w:t xml:space="preserve">Preocupação da gestão</w:t>
            </w:r>
          </w:p>
        </w:tc>
      </w:tr>
      <w:tr>
        <w:tc>
          <w:tcPr/>
          <w:p>
            <w:pPr>
              <w:pStyle w:val="Compact"/>
              <w:jc w:val="left"/>
            </w:pPr>
            <w:r>
              <w:t xml:space="preserve">Estágio de desenvolvimento</w:t>
            </w:r>
          </w:p>
        </w:tc>
        <w:tc>
          <w:tcPr/>
          <w:p>
            <w:pPr>
              <w:pStyle w:val="Compact"/>
              <w:jc w:val="left"/>
            </w:pPr>
            <w:r>
              <w:t xml:space="preserve">Revisão provisória da Fase IIb</w:t>
            </w:r>
          </w:p>
        </w:tc>
        <w:tc>
          <w:tcPr/>
          <w:p>
            <w:pPr>
              <w:pStyle w:val="Compact"/>
              <w:jc w:val="center"/>
            </w:pPr>
            <w:r>
              <w:t xml:space="preserve">Se a evidência é forte o bastante para desenhar um estudo pivotal</w:t>
            </w:r>
          </w:p>
        </w:tc>
      </w:tr>
      <w:tr>
        <w:tc>
          <w:tcPr/>
          <w:p>
            <w:pPr>
              <w:pStyle w:val="Compact"/>
              <w:jc w:val="left"/>
            </w:pPr>
            <w:r>
              <w:t xml:space="preserve">Pacientes randomizados</w:t>
            </w:r>
          </w:p>
        </w:tc>
        <w:tc>
          <w:tcPr/>
          <w:p>
            <w:pPr>
              <w:pStyle w:val="Compact"/>
              <w:jc w:val="left"/>
            </w:pPr>
            <w:r>
              <w:t xml:space="preserve">186 de 240 planejados</w:t>
            </w:r>
          </w:p>
        </w:tc>
        <w:tc>
          <w:tcPr/>
          <w:p>
            <w:pPr>
              <w:pStyle w:val="Compact"/>
              <w:jc w:val="center"/>
            </w:pPr>
            <w:r>
              <w:t xml:space="preserve">O recrutamento está 7 meses atrasado em relação ao plano</w:t>
            </w:r>
          </w:p>
        </w:tc>
      </w:tr>
      <w:tr>
        <w:tc>
          <w:tcPr/>
          <w:p>
            <w:pPr>
              <w:pStyle w:val="Compact"/>
              <w:jc w:val="left"/>
            </w:pPr>
            <w:r>
              <w:t xml:space="preserve">Braços de tratamento</w:t>
            </w:r>
          </w:p>
        </w:tc>
        <w:tc>
          <w:tcPr/>
          <w:p>
            <w:pPr>
              <w:pStyle w:val="Compact"/>
              <w:jc w:val="left"/>
            </w:pPr>
            <w:r>
              <w:t xml:space="preserve">Alta dose, baixa dose, placebo</w:t>
            </w:r>
          </w:p>
        </w:tc>
        <w:tc>
          <w:tcPr/>
          <w:p>
            <w:pPr>
              <w:pStyle w:val="Compact"/>
              <w:jc w:val="center"/>
            </w:pPr>
            <w:r>
              <w:t xml:space="preserve">O padrão de dose-resposta ainda não está claro</w:t>
            </w:r>
          </w:p>
        </w:tc>
      </w:tr>
      <w:tr>
        <w:tc>
          <w:tcPr/>
          <w:p>
            <w:pPr>
              <w:pStyle w:val="Compact"/>
              <w:jc w:val="left"/>
            </w:pPr>
            <w:r>
              <w:t xml:space="preserve">Caixa e investimentos</w:t>
            </w:r>
          </w:p>
        </w:tc>
        <w:tc>
          <w:tcPr/>
          <w:p>
            <w:pPr>
              <w:pStyle w:val="Compact"/>
              <w:jc w:val="left"/>
            </w:pPr>
            <w:r>
              <w:t xml:space="preserve">$318 milhões</w:t>
            </w:r>
          </w:p>
        </w:tc>
        <w:tc>
          <w:tcPr/>
          <w:p>
            <w:pPr>
              <w:pStyle w:val="Compact"/>
              <w:jc w:val="center"/>
            </w:pPr>
            <w:r>
              <w:t xml:space="preserve">Múltiplos desenhos de estudo podem exigir financiamento adicional</w:t>
            </w:r>
          </w:p>
        </w:tc>
      </w:tr>
      <w:tr>
        <w:tc>
          <w:tcPr/>
          <w:p>
            <w:pPr>
              <w:pStyle w:val="Compact"/>
              <w:jc w:val="left"/>
            </w:pPr>
            <w:r>
              <w:t xml:space="preserve">Expiração estimada da pate</w:t>
            </w:r>
          </w:p>
        </w:tc>
        <w:tc>
          <w:tcPr/>
          <w:p>
            <w:pPr>
              <w:pStyle w:val="Compact"/>
              <w:jc w:val="left"/>
            </w:pPr>
            <w:r>
              <w:t xml:space="preserve">nte 2034</w:t>
            </w:r>
          </w:p>
        </w:tc>
        <w:tc>
          <w:tcPr/>
          <w:p>
            <w:pPr>
              <w:pStyle w:val="Compact"/>
              <w:jc w:val="center"/>
            </w:pPr>
            <w:r>
              <w:t xml:space="preserve">A vida comercial diminui a cada atraso</w:t>
            </w:r>
          </w:p>
        </w:tc>
      </w:tr>
      <w:tr>
        <w:tc>
          <w:tcPr/>
          <w:p>
            <w:pPr>
              <w:pStyle w:val="Compact"/>
              <w:jc w:val="left"/>
            </w:pPr>
            <w:r>
              <w:t xml:space="preserve">Programas concorrentes</w:t>
            </w:r>
          </w:p>
        </w:tc>
        <w:tc>
          <w:tcPr/>
          <w:p>
            <w:pPr>
              <w:pStyle w:val="Compact"/>
              <w:jc w:val="left"/>
            </w:pPr>
            <w:r>
              <w:t xml:space="preserve">Três, incluindo um de Fase III</w:t>
            </w:r>
          </w:p>
        </w:tc>
        <w:tc>
          <w:tcPr/>
          <w:p>
            <w:pPr>
              <w:pStyle w:val="Compact"/>
              <w:jc w:val="center"/>
            </w:pPr>
            <w:r>
              <w:t xml:space="preserve">A atenção de médicos e investigadores pode mudar de foco</w:t>
            </w:r>
          </w:p>
        </w:tc>
      </w:tr>
    </w:tbl>
    <w:p/>
    <w:tbl>
      <w:tblPr>
        <w:tblStyle w:val="Table"/>
        <w:tblW w:type="auto" w:w="0"/>
        <w:tblLook w:firstRow="0" w:lastRow="0" w:firstColumn="0" w:lastColumn="0" w:noHBand="0" w:noVBand="0" w:val="0000"/>
      </w:tblPr>
      <w:tblGrid>
        <w:gridCol w:w="7920"/>
      </w:tblGrid>
      <w:tr>
        <w:tc>
          <w:tcPr/>
          <w:p>
            <w:pPr>
              <w:pStyle w:val="Compact"/>
            </w:pPr>
            <w:r>
              <w:t xml:space="preserve">A Asterion precisava decidir não apenas se o AST-417 deveria continuar, mas qual evidência coletar em seguida, onde coletá-la, quantos pacientes buscar e quanto da empresa colocar em risco antes que a resposta fosse conhecida.</w:t>
            </w:r>
          </w:p>
        </w:tc>
      </w:tr>
    </w:tbl>
    <w:p>
      <w:r>
        <w:pict>
          <v:rect style="width:0;height:1.5pt" o:hralign="center" o:hrstd="t" o:hr="t"/>
        </w:pict>
      </w:r>
    </w:p>
    <w:bookmarkEnd w:id="9"/>
    <w:bookmarkEnd w:id="10"/>
    <w:bookmarkStart w:id="12" w:name="a-evidência-provisória"/>
    <w:p>
      <w:pPr>
        <w:pStyle w:val="Heading1"/>
      </w:pPr>
      <w:r>
        <w:t xml:space="preserve">A Evidência Provisória</w:t>
      </w:r>
    </w:p>
    <w:p>
      <w:pPr>
        <w:pStyle w:val="FirstParagraph"/>
      </w:pPr>
      <w:r>
        <w:t xml:space="preserve">O AST-417 foi concebido para pacientes cuja doença continuava a progredir apesar da terapia existente. O protocolo da Fase IIb mediu a mudança na capacidade vital forçada após 24 semanas, junto com tolerância ao exercício, dificuldade respiratória relatada pelo paciente, hospitalizações, marcadores laboratoriais e eventos adversos. Os investigadores esperavam que a alta dose mostrasse o benefício mais claro. Em vez disso, o grupo de baixa dose havia produzido o resultado médio mais forte, enquanto o grupo de alta dose incluía tanto respondedores dramáticos quanto vários pacientes que descontinuaram o tratamento.</w:t>
      </w:r>
    </w:p>
    <w:p>
      <w:pPr>
        <w:pStyle w:val="BodyText"/>
      </w:pPr>
      <w:r>
        <w:t xml:space="preserve">As médias ocultavam diferenças importantes. Pacientes diagnosticados nos dois anos anteriores pareciam melhorar mais do que pacientes com doença avançada. Os resultados também variavam por região e conforme os pacientes permanecessem ou não em terapia de base. Os achados de subgrupo eram cientificamente plausíveis, mas o estudo não havia sido desenhado para prová-los. Restringir o próximo estudo aos aparentes respondedores poderia elevar a probabilidade de um resultado positivo, mas também poderia reduzir o mercado potencial e tornar o recrutamento mais difícil.</w:t>
      </w:r>
    </w:p>
    <w:bookmarkStart w:id="11" w:name="Xa2f615df224986b90436ca4611413aeeef59dfb"/>
    <w:p>
      <w:pPr>
        <w:pStyle w:val="Heading2"/>
      </w:pPr>
      <w:r>
        <w:t xml:space="preserve">Exhibit 2. Resultados Provisórios da Semana 24</w:t>
      </w:r>
    </w:p>
    <w:tbl>
      <w:tblPr>
        <w:tblStyle w:val="Table"/>
        <w:tblW w:type="pct" w:w="4890"/>
        <w:tblLayout w:type="fixed"/>
        <w:tblLook w:firstRow="1" w:lastRow="0" w:firstColumn="0" w:lastColumn="0" w:noHBand="0" w:noVBand="0" w:val="0020"/>
      </w:tblPr>
      <w:tblGrid>
        <w:gridCol w:w="4351"/>
        <w:gridCol w:w="1131"/>
        <w:gridCol w:w="1131"/>
        <w:gridCol w:w="1131"/>
      </w:tblGrid>
      <w:tr>
        <w:trPr>
          <w:tblHeader w:val="on"/>
        </w:trPr>
        <w:tc>
          <w:tcPr/>
          <w:p>
            <w:pPr>
              <w:pStyle w:val="Compact"/>
              <w:jc w:val="left"/>
            </w:pPr>
            <w:r>
              <w:t xml:space="preserve">Medida</w:t>
            </w:r>
          </w:p>
        </w:tc>
        <w:tc>
          <w:tcPr/>
          <w:p>
            <w:pPr>
              <w:pStyle w:val="Compact"/>
              <w:jc w:val="left"/>
            </w:pPr>
            <w:r>
              <w:t xml:space="preserve">Placebo</w:t>
            </w:r>
          </w:p>
        </w:tc>
        <w:tc>
          <w:tcPr/>
          <w:p>
            <w:pPr>
              <w:pStyle w:val="Compact"/>
              <w:jc w:val="left"/>
            </w:pPr>
            <w:r>
              <w:t xml:space="preserve">Baixa dose</w:t>
            </w:r>
          </w:p>
        </w:tc>
        <w:tc>
          <w:tcPr/>
          <w:p>
            <w:pPr>
              <w:pStyle w:val="Compact"/>
              <w:jc w:val="left"/>
            </w:pPr>
            <w:r>
              <w:t xml:space="preserve">Alta dose</w:t>
            </w:r>
          </w:p>
        </w:tc>
      </w:tr>
      <w:tr>
        <w:tc>
          <w:tcPr/>
          <w:p>
            <w:pPr>
              <w:pStyle w:val="Compact"/>
              <w:jc w:val="left"/>
            </w:pPr>
            <w:r>
              <w:t xml:space="preserve">Variação média na medida de função pulmonar</w:t>
            </w:r>
          </w:p>
        </w:tc>
        <w:tc>
          <w:tcPr/>
          <w:p>
            <w:pPr>
              <w:pStyle w:val="Compact"/>
              <w:jc w:val="left"/>
            </w:pPr>
            <w:r>
              <w:t xml:space="preserve">-126 mL</w:t>
            </w:r>
          </w:p>
        </w:tc>
        <w:tc>
          <w:tcPr/>
          <w:p>
            <w:pPr>
              <w:pStyle w:val="Compact"/>
              <w:jc w:val="left"/>
            </w:pPr>
            <w:r>
              <w:t xml:space="preserve">-71 mL</w:t>
            </w:r>
          </w:p>
        </w:tc>
        <w:tc>
          <w:tcPr/>
          <w:p>
            <w:pPr>
              <w:pStyle w:val="Compact"/>
              <w:jc w:val="left"/>
            </w:pPr>
            <w:r>
              <w:t xml:space="preserve">-82 mL</w:t>
            </w:r>
          </w:p>
        </w:tc>
      </w:tr>
      <w:tr>
        <w:tc>
          <w:tcPr/>
          <w:p>
            <w:pPr>
              <w:pStyle w:val="Compact"/>
              <w:jc w:val="left"/>
            </w:pPr>
            <w:r>
              <w:t xml:space="preserve">Pacientes com melhora clinicamente significativa</w:t>
            </w:r>
          </w:p>
        </w:tc>
        <w:tc>
          <w:tcPr/>
          <w:p>
            <w:pPr>
              <w:pStyle w:val="Compact"/>
              <w:jc w:val="left"/>
            </w:pPr>
            <w:r>
              <w:t xml:space="preserve">14%</w:t>
            </w:r>
          </w:p>
        </w:tc>
        <w:tc>
          <w:tcPr/>
          <w:p>
            <w:pPr>
              <w:pStyle w:val="Compact"/>
              <w:jc w:val="left"/>
            </w:pPr>
            <w:r>
              <w:t xml:space="preserve">28%</w:t>
            </w:r>
          </w:p>
        </w:tc>
        <w:tc>
          <w:tcPr/>
          <w:p>
            <w:pPr>
              <w:pStyle w:val="Compact"/>
              <w:jc w:val="left"/>
            </w:pPr>
            <w:r>
              <w:t xml:space="preserve">25%</w:t>
            </w:r>
          </w:p>
        </w:tc>
      </w:tr>
      <w:tr>
        <w:tc>
          <w:tcPr/>
          <w:p>
            <w:pPr>
              <w:pStyle w:val="Compact"/>
              <w:jc w:val="left"/>
            </w:pPr>
            <w:r>
              <w:t xml:space="preserve">Descontinuaram o tratamento do estudo</w:t>
            </w:r>
          </w:p>
        </w:tc>
        <w:tc>
          <w:tcPr/>
          <w:p>
            <w:pPr>
              <w:pStyle w:val="Compact"/>
              <w:jc w:val="left"/>
            </w:pPr>
            <w:r>
              <w:t xml:space="preserve">8%</w:t>
            </w:r>
          </w:p>
        </w:tc>
        <w:tc>
          <w:tcPr/>
          <w:p>
            <w:pPr>
              <w:pStyle w:val="Compact"/>
              <w:jc w:val="left"/>
            </w:pPr>
            <w:r>
              <w:t xml:space="preserve">11%</w:t>
            </w:r>
          </w:p>
        </w:tc>
        <w:tc>
          <w:tcPr/>
          <w:p>
            <w:pPr>
              <w:pStyle w:val="Compact"/>
              <w:jc w:val="left"/>
            </w:pPr>
            <w:r>
              <w:t xml:space="preserve">19%</w:t>
            </w:r>
          </w:p>
        </w:tc>
      </w:tr>
      <w:tr>
        <w:tc>
          <w:tcPr/>
          <w:p>
            <w:pPr>
              <w:pStyle w:val="Compact"/>
              <w:jc w:val="left"/>
            </w:pPr>
            <w:r>
              <w:t xml:space="preserve">Eventos adversos graves</w:t>
            </w:r>
          </w:p>
        </w:tc>
        <w:tc>
          <w:tcPr/>
          <w:p>
            <w:pPr>
              <w:pStyle w:val="Compact"/>
              <w:jc w:val="left"/>
            </w:pPr>
            <w:r>
              <w:t xml:space="preserve">7%</w:t>
            </w:r>
          </w:p>
        </w:tc>
        <w:tc>
          <w:tcPr/>
          <w:p>
            <w:pPr>
              <w:pStyle w:val="Compact"/>
              <w:jc w:val="left"/>
            </w:pPr>
            <w:r>
              <w:t xml:space="preserve">8%</w:t>
            </w:r>
          </w:p>
        </w:tc>
        <w:tc>
          <w:tcPr/>
          <w:p>
            <w:pPr>
              <w:pStyle w:val="Compact"/>
              <w:jc w:val="left"/>
            </w:pPr>
            <w:r>
              <w:t xml:space="preserve">12%</w:t>
            </w:r>
          </w:p>
        </w:tc>
      </w:tr>
      <w:tr>
        <w:tc>
          <w:tcPr/>
          <w:p>
            <w:pPr>
              <w:pStyle w:val="Compact"/>
              <w:jc w:val="left"/>
            </w:pPr>
            <w:r>
              <w:t xml:space="preserve">Tempo médio de infusão</w:t>
            </w:r>
          </w:p>
        </w:tc>
        <w:tc>
          <w:tcPr/>
          <w:p>
            <w:pPr>
              <w:pStyle w:val="Compact"/>
              <w:jc w:val="left"/>
            </w:pPr>
            <w:r>
              <w:t xml:space="preserve">—</w:t>
            </w:r>
          </w:p>
        </w:tc>
        <w:tc>
          <w:tcPr/>
          <w:p>
            <w:pPr>
              <w:pStyle w:val="Compact"/>
              <w:jc w:val="left"/>
            </w:pPr>
            <w:r>
              <w:t xml:space="preserve">52 minutos</w:t>
            </w:r>
          </w:p>
        </w:tc>
        <w:tc>
          <w:tcPr/>
          <w:p>
            <w:pPr>
              <w:pStyle w:val="Compact"/>
              <w:jc w:val="left"/>
            </w:pPr>
            <w:r>
              <w:t xml:space="preserve">54 minutos</w:t>
            </w:r>
          </w:p>
        </w:tc>
      </w:tr>
    </w:tbl>
    <w:p>
      <w:pPr>
        <w:pStyle w:val="BodyText"/>
      </w:pPr>
      <w:r>
        <w:t xml:space="preserve">O comitê independente de segurança não havia recomendado a interrupção do estudo. Contudo, solicitou monitoramento mais rigoroso das enzimas hepáticas e das reações à infusão. Sete pacientes de alta dose haviam apresentado anormalidades laboratoriais temporárias, e dois foram hospitalizados após reações graves. Os investigadores discordavam sobre se os eventos refletiam o medicamento, a doença subjacente dos pacientes, ou a interação com outros medicamentos.</w:t>
      </w:r>
    </w:p>
    <w:bookmarkEnd w:id="11"/>
    <w:bookmarkEnd w:id="12"/>
    <w:bookmarkStart w:id="14" w:name="o-problema-do-recrutamento"/>
    <w:p>
      <w:pPr>
        <w:pStyle w:val="Heading1"/>
      </w:pPr>
      <w:r>
        <w:t xml:space="preserve">O Problema do Recrutamento</w:t>
      </w:r>
    </w:p>
    <w:p>
      <w:pPr>
        <w:pStyle w:val="FirstParagraph"/>
      </w:pPr>
      <w:r>
        <w:t xml:space="preserve">O plano original presumia que cada centro ativo recrutaria 0,55 pacientes por mês. A taxa real era de 0,31. Alguns hospitais rastreavam muitos pacientes, mas recrutavam poucos porque as regras de elegibilidade excluíam pessoas com doença renal, infecções recentes, medicação de base instável, ou doença que fosse leve ou avançada demais. Pneumologistas comunitários relutavam em encaminhar pacientes para centros acadêmicos, temendo perder o relacionamento de longo prazo. Os pacientes enfrentavam viagens repetidas, testes invasivos, e uma chance de um em três de receber placebo.</w:t>
      </w:r>
    </w:p>
    <w:p>
      <w:pPr>
        <w:pStyle w:val="BodyText"/>
      </w:pPr>
      <w:r>
        <w:t xml:space="preserve">A equipe de operações clínicas da Asterion propôs abrir 28 centros hospitalares adicionais e oito centros de pesquisa dedicados em espaço ambulatorial alugado. A equipe médica preferia menos centros, porém mais experientes. Um grupo de defesa de pacientes argumentou a favor de enfermagem domiciliar, assistência com transporte, e avaliações remotas. Cada abordagem alterava a taxa esperada de recrutamento, a consistência dos dados, e o custo do estudo.</w:t>
      </w:r>
    </w:p>
    <w:bookmarkStart w:id="13" w:name="X5ad5fb7c6ace4391a9de75eb9a0e879ffa02c0a"/>
    <w:p>
      <w:pPr>
        <w:pStyle w:val="Heading2"/>
      </w:pPr>
      <w:r>
        <w:t xml:space="preserve">Exhibit 3. Funil de Recrutamento e Desempenho dos Centros</w:t>
      </w:r>
    </w:p>
    <w:tbl>
      <w:tblPr>
        <w:tblStyle w:val="Table"/>
        <w:tblW w:type="pct" w:w="4882"/>
        <w:tblLayout w:type="fixed"/>
        <w:tblLook w:firstRow="1" w:lastRow="0" w:firstColumn="0" w:lastColumn="0" w:noHBand="0" w:noVBand="0" w:val="0020"/>
      </w:tblPr>
      <w:tblGrid>
        <w:gridCol w:w="4006"/>
        <w:gridCol w:w="1490"/>
        <w:gridCol w:w="2236"/>
      </w:tblGrid>
      <w:tr>
        <w:trPr>
          <w:tblHeader w:val="on"/>
        </w:trPr>
        <w:tc>
          <w:tcPr/>
          <w:p>
            <w:pPr>
              <w:pStyle w:val="Compact"/>
              <w:jc w:val="left"/>
            </w:pPr>
            <w:r>
              <w:t xml:space="preserve">Atividade</w:t>
            </w:r>
          </w:p>
        </w:tc>
        <w:tc>
          <w:tcPr/>
          <w:p>
            <w:pPr>
              <w:pStyle w:val="Compact"/>
            </w:pPr>
            <w:r>
              <w:t xml:space="preserve">Desde o lançamen</w:t>
            </w:r>
          </w:p>
        </w:tc>
        <w:tc>
          <w:tcPr/>
          <w:p>
            <w:pPr>
              <w:pStyle w:val="Compact"/>
            </w:pPr>
            <w:r>
              <w:t xml:space="preserve">to Percentual da etapa anterior</w:t>
            </w:r>
          </w:p>
        </w:tc>
      </w:tr>
      <w:tr>
        <w:tc>
          <w:tcPr/>
          <w:p>
            <w:pPr>
              <w:pStyle w:val="Compact"/>
              <w:jc w:val="left"/>
            </w:pPr>
            <w:r>
              <w:t xml:space="preserve">Registros de pacientes identificados prelim</w:t>
            </w:r>
          </w:p>
        </w:tc>
        <w:tc>
          <w:tcPr/>
          <w:p>
            <w:pPr>
              <w:pStyle w:val="Compact"/>
            </w:pPr>
            <w:r>
              <w:t xml:space="preserve">inarmente 4.86</w:t>
            </w:r>
          </w:p>
        </w:tc>
        <w:tc>
          <w:tcPr/>
          <w:p>
            <w:pPr>
              <w:pStyle w:val="Compact"/>
            </w:pPr>
            <w:r>
              <w:t xml:space="preserve">0 —</w:t>
            </w:r>
          </w:p>
        </w:tc>
      </w:tr>
      <w:tr>
        <w:tc>
          <w:tcPr/>
          <w:p>
            <w:pPr>
              <w:pStyle w:val="Compact"/>
              <w:jc w:val="left"/>
            </w:pPr>
            <w:r>
              <w:t xml:space="preserve">Pacientes contatados ou encaminhados</w:t>
            </w:r>
          </w:p>
        </w:tc>
        <w:tc>
          <w:tcPr/>
          <w:p>
            <w:pPr>
              <w:pStyle w:val="Compact"/>
            </w:pPr>
            <w:r>
              <w:t xml:space="preserve">1.940</w:t>
            </w:r>
          </w:p>
        </w:tc>
        <w:tc>
          <w:tcPr/>
          <w:p>
            <w:pPr>
              <w:pStyle w:val="Compact"/>
            </w:pPr>
            <w:r>
              <w:t xml:space="preserve">40%</w:t>
            </w:r>
          </w:p>
        </w:tc>
      </w:tr>
      <w:tr>
        <w:tc>
          <w:tcPr/>
          <w:p>
            <w:pPr>
              <w:pStyle w:val="Compact"/>
              <w:jc w:val="left"/>
            </w:pPr>
            <w:r>
              <w:t xml:space="preserve">Pacientes que consentiram com a triagem</w:t>
            </w:r>
          </w:p>
        </w:tc>
        <w:tc>
          <w:tcPr/>
          <w:p>
            <w:pPr>
              <w:pStyle w:val="Compact"/>
            </w:pPr>
            <w:r>
              <w:t xml:space="preserve">612</w:t>
            </w:r>
          </w:p>
        </w:tc>
        <w:tc>
          <w:tcPr/>
          <w:p>
            <w:pPr>
              <w:pStyle w:val="Compact"/>
            </w:pPr>
            <w:r>
              <w:t xml:space="preserve">32%</w:t>
            </w:r>
          </w:p>
        </w:tc>
      </w:tr>
      <w:tr>
        <w:tc>
          <w:tcPr/>
          <w:p>
            <w:pPr>
              <w:pStyle w:val="Compact"/>
              <w:jc w:val="left"/>
            </w:pPr>
            <w:r>
              <w:t xml:space="preserve">Pacientes que atenderam aos critérios de el</w:t>
            </w:r>
          </w:p>
        </w:tc>
        <w:tc>
          <w:tcPr/>
          <w:p>
            <w:pPr>
              <w:pStyle w:val="Compact"/>
            </w:pPr>
            <w:r>
              <w:t xml:space="preserve">egibilidade</w:t>
            </w:r>
          </w:p>
        </w:tc>
        <w:tc>
          <w:tcPr/>
          <w:p>
            <w:pPr>
              <w:pStyle w:val="Compact"/>
            </w:pPr>
            <w:r>
              <w:t xml:space="preserve">274 45%</w:t>
            </w:r>
          </w:p>
        </w:tc>
      </w:tr>
      <w:tr>
        <w:tc>
          <w:tcPr/>
          <w:p>
            <w:pPr>
              <w:pStyle w:val="Compact"/>
              <w:jc w:val="left"/>
            </w:pPr>
            <w:r>
              <w:t xml:space="preserve">Pacientes randomizados</w:t>
            </w:r>
          </w:p>
        </w:tc>
        <w:tc>
          <w:tcPr/>
          <w:p>
            <w:pPr>
              <w:pStyle w:val="Compact"/>
            </w:pPr>
            <w:r>
              <w:t xml:space="preserve">186</w:t>
            </w:r>
          </w:p>
        </w:tc>
        <w:tc>
          <w:tcPr/>
          <w:p>
            <w:pPr>
              <w:pStyle w:val="Compact"/>
            </w:pPr>
            <w:r>
              <w:t xml:space="preserve">68%</w:t>
            </w:r>
          </w:p>
        </w:tc>
      </w:tr>
      <w:tr>
        <w:tc>
          <w:tcPr/>
          <w:p>
            <w:pPr>
              <w:pStyle w:val="Compact"/>
              <w:jc w:val="left"/>
            </w:pPr>
            <w:r>
              <w:t xml:space="preserve">Pacientes que completaram 24 semanas</w:t>
            </w:r>
          </w:p>
        </w:tc>
        <w:tc>
          <w:tcPr/>
          <w:p>
            <w:pPr>
              <w:pStyle w:val="Compact"/>
            </w:pPr>
            <w:r>
              <w:t xml:space="preserve">151</w:t>
            </w:r>
          </w:p>
        </w:tc>
        <w:tc>
          <w:tcPr/>
          <w:p>
            <w:pPr>
              <w:pStyle w:val="Compact"/>
            </w:pPr>
            <w:r>
              <w:t xml:space="preserve">81% dos randomizados</w:t>
            </w:r>
          </w:p>
        </w:tc>
      </w:tr>
    </w:tbl>
    <w:p>
      <w:pPr>
        <w:pStyle w:val="BodyText"/>
      </w:pPr>
      <w:r>
        <w:t xml:space="preserve">Os dados da empresa em nível de centro eram igualmente desiguais. Seis centros não haviam recrutado nenhum paciente, enquanto quatro grandes centros respondiam por 38 por cento do estudo. Expandir a rede poderia aumentar o acesso, mas novos centros exigiriam contratos, revisão ética, treinamento, envios de medicamento, certificação laboratorial e monitoramento antes que o primeiro paciente pudesse entrar.</w:t>
      </w:r>
    </w:p>
    <w:bookmarkEnd w:id="13"/>
    <w:bookmarkEnd w:id="14"/>
    <w:bookmarkStart w:id="16" w:name="quatro-caminhos-a-seguir"/>
    <w:p>
      <w:pPr>
        <w:pStyle w:val="Heading1"/>
      </w:pPr>
      <w:r>
        <w:t xml:space="preserve">Quatro Caminhos a Seguir</w:t>
      </w:r>
    </w:p>
    <w:p>
      <w:pPr>
        <w:pStyle w:val="FirstParagraph"/>
      </w:pPr>
      <w:r>
        <w:t xml:space="preserve">A equipe de Chen desenvolveu quatro amplos caminhos. O primeiro era completar o estudo de Fase IIb existente sem mudanças importantes, usando os pacientes remanescentes para esclarecer o padrão de dose e segurança. Esta era a opção menos onerosa no curto prazo, mas adiaria a decisão pivotal em aproximadamente nove meses.</w:t>
      </w:r>
    </w:p>
    <w:p>
      <w:pPr>
        <w:pStyle w:val="BodyText"/>
      </w:pPr>
      <w:r>
        <w:t xml:space="preserve">O segundo caminho era iniciar imediatamente um grande programa de Fase III usando a baixa dose e uma população de pacientes ampla. A velocidade poderia preservar a vida da patente e a capacidade de fabricação, mas a Asterion comprometeria capital substancial antes que os resultados finais da Fase IIb estivessem disponíveis.</w:t>
      </w:r>
    </w:p>
    <w:p>
      <w:pPr>
        <w:pStyle w:val="BodyText"/>
      </w:pPr>
      <w:r>
        <w:t xml:space="preserve">O terceiro caminho era um estudo pivotal adaptativo que poderia alterar o recrutamento entre grupos de pacientes pré-especificados após uma revisão provisória. O desenho poderia aprender enquanto progredia, mas seria mais complexo de explicar a investigadores, reguladores e investidores. Erros estatísticos ou inconsistência operacional poderiam prejudicar o valor da flexibilidade.</w:t>
      </w:r>
    </w:p>
    <w:p>
      <w:pPr>
        <w:pStyle w:val="BodyText"/>
      </w:pPr>
      <w:r>
        <w:t xml:space="preserve">O quarto caminho era um estudo confirmatório menor, focado em pacientes recentemente diagnosticados, combinado com a busca por um parceiro farmacêutico. Isso poderia reduzir a exposição financeira da Asterion, mas um parceiro poderia exigir controle, atrasar o programa durante a due diligence, ou valorizar o ativo menos após ver os dados ambíguos de segurança da alta dose.</w:t>
      </w:r>
    </w:p>
    <w:bookmarkStart w:id="15" w:name="X7d9d90db3834e60df61d26b6a6f203629511ae4"/>
    <w:p>
      <w:pPr>
        <w:pStyle w:val="Heading2"/>
      </w:pPr>
      <w:r>
        <w:t xml:space="preserve">Exhibit 4. Alternativas de Desenvolvimento Apresentadas ao Conselho</w:t>
      </w:r>
    </w:p>
    <w:tbl>
      <w:tblPr>
        <w:tblStyle w:val="Table"/>
        <w:tblW w:type="pct" w:w="4936"/>
        <w:tblLayout w:type="fixed"/>
        <w:tblLook w:firstRow="1" w:lastRow="0" w:firstColumn="0" w:lastColumn="0" w:noHBand="0" w:noVBand="0" w:val="0020"/>
      </w:tblPr>
      <w:tblGrid>
        <w:gridCol w:w="1816"/>
        <w:gridCol w:w="2270"/>
        <w:gridCol w:w="1513"/>
        <w:gridCol w:w="2219"/>
      </w:tblGrid>
      <w:tr>
        <w:trPr>
          <w:tblHeader w:val="on"/>
        </w:trPr>
        <w:tc>
          <w:tcPr/>
          <w:p>
            <w:pPr>
              <w:pStyle w:val="Compact"/>
              <w:jc w:val="left"/>
            </w:pPr>
            <w:r>
              <w:t xml:space="preserve">Alternativa</w:t>
            </w:r>
          </w:p>
        </w:tc>
        <w:tc>
          <w:tcPr/>
          <w:p>
            <w:pPr>
              <w:pStyle w:val="Compact"/>
            </w:pPr>
            <w:r>
              <w:t xml:space="preserve">Custo adicional antes da próxima decisão impo</w:t>
            </w:r>
          </w:p>
        </w:tc>
        <w:tc>
          <w:tcPr/>
          <w:p>
            <w:pPr>
              <w:pStyle w:val="Compact"/>
            </w:pPr>
            <w:r>
              <w:t xml:space="preserve">rtante Tempo até a próxima d</w:t>
            </w:r>
          </w:p>
        </w:tc>
        <w:tc>
          <w:tcPr/>
          <w:p>
            <w:pPr>
              <w:pStyle w:val="Compact"/>
              <w:jc w:val="left"/>
            </w:pPr>
            <w:r>
              <w:t xml:space="preserve">ecisão importante Exposição selecionada</w:t>
            </w:r>
          </w:p>
        </w:tc>
      </w:tr>
      <w:tr>
        <w:tc>
          <w:tcPr/>
          <w:p>
            <w:pPr>
              <w:pStyle w:val="Compact"/>
              <w:jc w:val="left"/>
            </w:pPr>
            <w:r>
              <w:t xml:space="preserve">Concluir a Fase IIb conforme planeja</w:t>
            </w:r>
          </w:p>
        </w:tc>
        <w:tc>
          <w:tcPr/>
          <w:p>
            <w:pPr>
              <w:pStyle w:val="Compact"/>
            </w:pPr>
            <w:r>
              <w:t xml:space="preserve">do $38 milhões</w:t>
            </w:r>
          </w:p>
        </w:tc>
        <w:tc>
          <w:tcPr/>
          <w:p>
            <w:pPr>
              <w:pStyle w:val="Compact"/>
            </w:pPr>
            <w:r>
              <w:t xml:space="preserve">9 meses</w:t>
            </w:r>
          </w:p>
        </w:tc>
        <w:tc>
          <w:tcPr/>
          <w:p>
            <w:pPr>
              <w:pStyle w:val="Compact"/>
              <w:jc w:val="left"/>
            </w:pPr>
            <w:r>
              <w:t xml:space="preserve">Atraso do concorrente e da patente</w:t>
            </w:r>
          </w:p>
        </w:tc>
      </w:tr>
      <w:tr>
        <w:tc>
          <w:tcPr/>
          <w:p>
            <w:pPr>
              <w:pStyle w:val="Compact"/>
              <w:jc w:val="left"/>
            </w:pPr>
            <w:r>
              <w:t xml:space="preserve">Lançar Fase III ampla</w:t>
            </w:r>
          </w:p>
        </w:tc>
        <w:tc>
          <w:tcPr/>
          <w:p>
            <w:pPr>
              <w:pStyle w:val="Compact"/>
            </w:pPr>
            <w:r>
              <w:t xml:space="preserve">$286 milhões</w:t>
            </w:r>
          </w:p>
        </w:tc>
        <w:tc>
          <w:tcPr/>
          <w:p>
            <w:pPr>
              <w:pStyle w:val="Compact"/>
            </w:pPr>
            <w:r>
              <w:t xml:space="preserve">30–38 meses G</w:t>
            </w:r>
          </w:p>
        </w:tc>
        <w:tc>
          <w:tcPr/>
          <w:p>
            <w:pPr>
              <w:pStyle w:val="Compact"/>
              <w:jc w:val="left"/>
            </w:pPr>
            <w:r>
              <w:t xml:space="preserve">rande compromisso com evidência incompleta</w:t>
            </w:r>
          </w:p>
        </w:tc>
      </w:tr>
      <w:tr>
        <w:tc>
          <w:tcPr/>
          <w:p>
            <w:pPr>
              <w:pStyle w:val="Compact"/>
              <w:jc w:val="left"/>
            </w:pPr>
            <w:r>
              <w:t xml:space="preserve">Programa pivotal adaptativo</w:t>
            </w:r>
          </w:p>
        </w:tc>
        <w:tc>
          <w:tcPr/>
          <w:p>
            <w:pPr>
              <w:pStyle w:val="Compact"/>
            </w:pPr>
            <w:r>
              <w:t xml:space="preserve">$244 milhões</w:t>
            </w:r>
          </w:p>
        </w:tc>
        <w:tc>
          <w:tcPr/>
          <w:p>
            <w:pPr>
              <w:pStyle w:val="Compact"/>
            </w:pPr>
            <w:r>
              <w:t xml:space="preserve">24–34 meses</w:t>
            </w:r>
          </w:p>
        </w:tc>
        <w:tc>
          <w:tcPr/>
          <w:p>
            <w:pPr>
              <w:pStyle w:val="Compact"/>
              <w:jc w:val="left"/>
            </w:pPr>
            <w:r>
              <w:t xml:space="preserve">Complexidade de desenho e regulatória</w:t>
            </w:r>
          </w:p>
        </w:tc>
      </w:tr>
      <w:tr>
        <w:tc>
          <w:tcPr/>
          <w:p>
            <w:pPr>
              <w:pStyle w:val="Compact"/>
              <w:jc w:val="left"/>
            </w:pPr>
            <w:r>
              <w:t xml:space="preserve">Estudo focado mais busca por parceir</w:t>
            </w:r>
          </w:p>
        </w:tc>
        <w:tc>
          <w:tcPr/>
          <w:p>
            <w:pPr>
              <w:pStyle w:val="Compact"/>
            </w:pPr>
            <w:r>
              <w:t xml:space="preserve">o $74 milhões</w:t>
            </w:r>
          </w:p>
        </w:tc>
        <w:tc>
          <w:tcPr/>
          <w:p>
            <w:pPr>
              <w:pStyle w:val="Compact"/>
            </w:pPr>
            <w:r>
              <w:t xml:space="preserve">12–18 meses</w:t>
            </w:r>
          </w:p>
        </w:tc>
        <w:tc>
          <w:tcPr/>
          <w:p>
            <w:pPr>
              <w:pStyle w:val="Compact"/>
              <w:jc w:val="left"/>
            </w:pPr>
            <w:r>
              <w:t xml:space="preserve">Mercado menor; perda de controle</w:t>
            </w:r>
          </w:p>
        </w:tc>
      </w:tr>
    </w:tbl>
    <w:bookmarkEnd w:id="15"/>
    <w:bookmarkEnd w:id="16"/>
    <w:bookmarkStart w:id="18" w:name="a-questão-comercial"/>
    <w:p>
      <w:pPr>
        <w:pStyle w:val="Heading1"/>
      </w:pPr>
      <w:r>
        <w:t xml:space="preserve">A Questão Comercial</w:t>
      </w:r>
    </w:p>
    <w:p>
      <w:pPr>
        <w:pStyle w:val="FirstParagraph"/>
      </w:pPr>
      <w:r>
        <w:t xml:space="preserve">Mesmo um estudo bem-sucedido não resolveria o problema de negócios. Os tratamentos existentes eram administrados por via oral, enquanto o AST-417 exigia uma infusão a cada quatro semanas e distribuição refrigerada. A Asterion estimou que a fabricação, embalagem, distribuição em cadeia de frio, e suporte à administração custariam $14.600 por paciente tratado por ano antes de vendas, descontos, assistência ao paciente, e estudos pós-aprovação. Médicos entrevistados pela empresa gostaram da possibilidade de retardar a progressão da doença, mas muitos disseram que reservariam uma infusão para pacientes que tivessem falhado em tratamentos mais simples.</w:t>
      </w:r>
    </w:p>
    <w:p>
      <w:pPr>
        <w:pStyle w:val="BodyText"/>
      </w:pPr>
      <w:r>
        <w:t xml:space="preserve">As previsões comerciais variavam de um pico conservador de $420 milhões em vendas anuais a mais de $1,8 bilhão. A variação dependia da população de pacientes aprovada, do preço, da aceitação médica, das restrições das seguradoras, dos resultados dos concorrentes, e se a terapia reduzia hospitalizações em vez de apenas melhorar uma medida laboratorial. O diretor financeiro da Asterion alertou que a empresa poderia gastar centenas de milhões provando um efeito estatisticamente significativo que o mercado não valorizaria muito.</w:t>
      </w:r>
    </w:p>
    <w:bookmarkStart w:id="17" w:name="X466b491fd27e2abc02d7ef01840994a58ea1734"/>
    <w:p>
      <w:pPr>
        <w:pStyle w:val="Heading2"/>
      </w:pPr>
      <w:r>
        <w:t xml:space="preserve">Exhibit 5. Fontes Selecionadas de Valor Comercial</w:t>
      </w:r>
    </w:p>
    <w:tbl>
      <w:tblPr>
        <w:tblStyle w:val="Table"/>
        <w:tblW w:type="pct" w:w="4875"/>
        <w:tblLayout w:type="fixed"/>
        <w:tblLook w:firstRow="1" w:lastRow="0" w:firstColumn="0" w:lastColumn="0" w:noHBand="0" w:noVBand="0" w:val="0020"/>
      </w:tblPr>
      <w:tblGrid>
        <w:gridCol w:w="3762"/>
        <w:gridCol w:w="1980"/>
        <w:gridCol w:w="1980"/>
      </w:tblGrid>
      <w:tr>
        <w:trPr>
          <w:tblHeader w:val="on"/>
        </w:trPr>
        <w:tc>
          <w:tcPr/>
          <w:p>
            <w:pPr>
              <w:pStyle w:val="Compact"/>
              <w:jc w:val="left"/>
            </w:pPr>
            <w:r>
              <w:t xml:space="preserve">Premissa</w:t>
            </w:r>
          </w:p>
        </w:tc>
        <w:tc>
          <w:tcPr/>
          <w:p>
            <w:pPr>
              <w:pStyle w:val="Compact"/>
              <w:jc w:val="center"/>
            </w:pPr>
            <w:r>
              <w:t xml:space="preserve">Caso conservador</w:t>
            </w:r>
          </w:p>
        </w:tc>
        <w:tc>
          <w:tcPr/>
          <w:p>
            <w:pPr>
              <w:pStyle w:val="Compact"/>
              <w:jc w:val="left"/>
            </w:pPr>
            <w:r>
              <w:t xml:space="preserve">Caso otimista</w:t>
            </w:r>
          </w:p>
        </w:tc>
      </w:tr>
      <w:tr>
        <w:tc>
          <w:tcPr/>
          <w:p>
            <w:pPr>
              <w:pStyle w:val="Compact"/>
              <w:jc w:val="left"/>
            </w:pPr>
            <w:r>
              <w:t xml:space="preserve">Pacientes endereçáveis nos EUA</w:t>
            </w:r>
          </w:p>
        </w:tc>
        <w:tc>
          <w:tcPr/>
          <w:p>
            <w:pPr>
              <w:pStyle w:val="Compact"/>
              <w:jc w:val="center"/>
            </w:pPr>
            <w:r>
              <w:t xml:space="preserve">24.000</w:t>
            </w:r>
          </w:p>
        </w:tc>
        <w:tc>
          <w:tcPr/>
          <w:p>
            <w:pPr>
              <w:pStyle w:val="Compact"/>
              <w:jc w:val="left"/>
            </w:pPr>
            <w:r>
              <w:t xml:space="preserve">68.000</w:t>
            </w:r>
          </w:p>
        </w:tc>
      </w:tr>
      <w:tr>
        <w:tc>
          <w:tcPr/>
          <w:p>
            <w:pPr>
              <w:pStyle w:val="Compact"/>
              <w:jc w:val="left"/>
            </w:pPr>
            <w:r>
              <w:t xml:space="preserve">Participação tratada no pico</w:t>
            </w:r>
          </w:p>
        </w:tc>
        <w:tc>
          <w:tcPr/>
          <w:p>
            <w:pPr>
              <w:pStyle w:val="Compact"/>
              <w:jc w:val="center"/>
            </w:pPr>
            <w:r>
              <w:t xml:space="preserve">12%</w:t>
            </w:r>
          </w:p>
        </w:tc>
        <w:tc>
          <w:tcPr/>
          <w:p>
            <w:pPr>
              <w:pStyle w:val="Compact"/>
              <w:jc w:val="left"/>
            </w:pPr>
            <w:r>
              <w:t xml:space="preserve">28%</w:t>
            </w:r>
          </w:p>
        </w:tc>
      </w:tr>
      <w:tr>
        <w:tc>
          <w:tcPr/>
          <w:p>
            <w:pPr>
              <w:pStyle w:val="Compact"/>
              <w:jc w:val="left"/>
            </w:pPr>
            <w:r>
              <w:t xml:space="preserve">Receita líquida anual por paciente</w:t>
            </w:r>
          </w:p>
        </w:tc>
        <w:tc>
          <w:tcPr/>
          <w:p>
            <w:pPr>
              <w:pStyle w:val="Compact"/>
              <w:jc w:val="center"/>
            </w:pPr>
            <w:r>
              <w:t xml:space="preserve">$72.000</w:t>
            </w:r>
          </w:p>
        </w:tc>
        <w:tc>
          <w:tcPr/>
          <w:p>
            <w:pPr>
              <w:pStyle w:val="Compact"/>
              <w:jc w:val="left"/>
            </w:pPr>
            <w:r>
              <w:t xml:space="preserve">$94.000</w:t>
            </w:r>
          </w:p>
        </w:tc>
      </w:tr>
      <w:tr>
        <w:tc>
          <w:tcPr/>
          <w:p>
            <w:pPr>
              <w:pStyle w:val="Compact"/>
              <w:jc w:val="left"/>
            </w:pPr>
            <w:r>
              <w:t xml:space="preserve">Descontinuação anual após o lançamento</w:t>
            </w:r>
          </w:p>
        </w:tc>
        <w:tc>
          <w:tcPr/>
          <w:p>
            <w:pPr>
              <w:pStyle w:val="Compact"/>
              <w:jc w:val="center"/>
            </w:pPr>
            <w:r>
              <w:t xml:space="preserve">29%</w:t>
            </w:r>
          </w:p>
        </w:tc>
        <w:tc>
          <w:tcPr/>
          <w:p>
            <w:pPr>
              <w:pStyle w:val="Compact"/>
              <w:jc w:val="left"/>
            </w:pPr>
            <w:r>
              <w:t xml:space="preserve">14%</w:t>
            </w:r>
          </w:p>
        </w:tc>
      </w:tr>
      <w:tr>
        <w:tc>
          <w:tcPr/>
          <w:p>
            <w:pPr>
              <w:pStyle w:val="Compact"/>
              <w:jc w:val="left"/>
            </w:pPr>
            <w:r>
              <w:t xml:space="preserve">Tempo do início pivotal até a aprovaçã</w:t>
            </w:r>
          </w:p>
        </w:tc>
        <w:tc>
          <w:tcPr/>
          <w:p>
            <w:pPr>
              <w:pStyle w:val="Compact"/>
              <w:jc w:val="center"/>
            </w:pPr>
            <w:r>
              <w:t xml:space="preserve">o 5,0 anos</w:t>
            </w:r>
          </w:p>
        </w:tc>
        <w:tc>
          <w:tcPr/>
          <w:p>
            <w:pPr>
              <w:pStyle w:val="Compact"/>
              <w:jc w:val="left"/>
            </w:pPr>
            <w:r>
              <w:t xml:space="preserve">3,6 anos</w:t>
            </w:r>
          </w:p>
        </w:tc>
      </w:tr>
      <w:tr>
        <w:tc>
          <w:tcPr/>
          <w:p>
            <w:pPr>
              <w:pStyle w:val="Compact"/>
              <w:jc w:val="left"/>
            </w:pPr>
            <w:r>
              <w:t xml:space="preserve">Estimativa de vendas anuais no pico</w:t>
            </w:r>
          </w:p>
        </w:tc>
        <w:tc>
          <w:tcPr/>
          <w:p>
            <w:pPr>
              <w:pStyle w:val="Compact"/>
              <w:jc w:val="center"/>
            </w:pPr>
            <w:r>
              <w:t xml:space="preserve">$420 milhões</w:t>
            </w:r>
          </w:p>
        </w:tc>
        <w:tc>
          <w:tcPr/>
          <w:p>
            <w:pPr>
              <w:pStyle w:val="Compact"/>
              <w:jc w:val="left"/>
            </w:pPr>
            <w:r>
              <w:t xml:space="preserve">$1,8 bilhão</w:t>
            </w:r>
          </w:p>
        </w:tc>
      </w:tr>
    </w:tbl>
    <w:bookmarkEnd w:id="17"/>
    <w:bookmarkEnd w:id="18"/>
    <w:bookmarkStart w:id="19" w:name="a-reunião-do-conselho-de-quinta-feira"/>
    <w:p>
      <w:pPr>
        <w:pStyle w:val="Heading1"/>
      </w:pPr>
      <w:r>
        <w:t xml:space="preserve">A Reunião do Conselho de Quinta-Feira</w:t>
      </w:r>
    </w:p>
    <w:p>
      <w:pPr>
        <w:pStyle w:val="FirstParagraph"/>
      </w:pPr>
      <w:r>
        <w:t xml:space="preserve">O material do conselho vencia na quinta-feira. Chen precisava recomendar um caminho de desenvolvimento, uma população de pacientes, uma dose, uma estratégia de centros, e uma postura de financiamento. Ela também precisava definir qual evidência levaria a Asterion a interromper, continuar, restringir ou acelerar o programa em revisões futuras. Vários diretores queriam uma resposta clara. Chen acreditava que a evidência sustentava várias respostas defensáveis, cada uma das quais expunha a empresa a uma forma diferente de fracasso.</w:t>
      </w:r>
    </w:p>
    <w:p>
      <w:pPr>
        <w:pStyle w:val="BodyText"/>
      </w:pPr>
      <w:r>
        <w:t xml:space="preserve">Concluir o estudo atual compraria informação, mas consumiria tempo. Iniciar a Fase III compraria velocidade, mas comprometeria capital. Restringir a população poderia melhorar o efeito de tratamento observado, ao mesmo tempo em que reduziria o acesso e o tamanho do mercado. Abrir mais centros poderia melhorar o recrutamento, ao mesmo tempo em que aumentaria a inconsistência. Uma parceria poderia proteger o balanço patrimonial, ao mesmo tempo em que abriria mão de grande parte do potencial de ganho. Na noite de quarta-feira, Chen ainda não havia decidido com qual incerteza a Asterion poderia mais se dar ao luxo de conviver.</w:t>
      </w:r>
    </w:p>
    <w:bookmarkEnd w:id="19"/>
    <w:bookmarkStart w:id="20" w:name="questões-de-discussão"/>
    <w:p>
      <w:pPr>
        <w:pStyle w:val="Heading1"/>
      </w:pPr>
      <w:r>
        <w:t xml:space="preserve">Questões de Discussão</w:t>
      </w:r>
    </w:p>
    <w:p>
      <w:pPr>
        <w:numPr>
          <w:ilvl w:val="0"/>
          <w:numId w:val="1001"/>
        </w:numPr>
      </w:pPr>
      <w:r>
        <w:t xml:space="preserve">O que Chen deveria recomendar na reunião do conselho de quinta-feira?</w:t>
      </w:r>
    </w:p>
    <w:p>
      <w:pPr>
        <w:numPr>
          <w:ilvl w:val="0"/>
          <w:numId w:val="1001"/>
        </w:numPr>
      </w:pPr>
      <w:r>
        <w:t xml:space="preserve">Como a Asterion deveria interpretar o resultado mais forte da baixa dose e a resposta desigual da alta dose?</w:t>
      </w:r>
    </w:p>
    <w:p>
      <w:pPr>
        <w:numPr>
          <w:ilvl w:val="0"/>
          <w:numId w:val="1001"/>
        </w:numPr>
      </w:pPr>
      <w:r>
        <w:t xml:space="preserve">O próximo estudo deveria usar uma população ampla ou focar em pacientes recentemente diagnosticados?</w:t>
      </w:r>
    </w:p>
    <w:p>
      <w:pPr>
        <w:numPr>
          <w:ilvl w:val="0"/>
          <w:numId w:val="1001"/>
        </w:numPr>
      </w:pPr>
      <w:r>
        <w:t xml:space="preserve">Como a empresa deveria equilibrar a velocidade de recrutamento contra a qualidade dos centros e a consistência dos dados?</w:t>
      </w:r>
    </w:p>
    <w:p>
      <w:pPr>
        <w:numPr>
          <w:ilvl w:val="0"/>
          <w:numId w:val="1001"/>
        </w:numPr>
      </w:pPr>
      <w:r>
        <w:t xml:space="preserve">Quais investimentos propostos em recrutamento têm maior probabilidade de produzir informação útil em vez de apenas mais atividade?</w:t>
      </w:r>
    </w:p>
    <w:p>
      <w:pPr>
        <w:numPr>
          <w:ilvl w:val="0"/>
          <w:numId w:val="1001"/>
        </w:numPr>
      </w:pPr>
      <w:r>
        <w:t xml:space="preserve">Qual evidência deveria acionar continuação, expansão, redesenho, parceria, ou encerramento?</w:t>
      </w:r>
    </w:p>
    <w:p>
      <w:pPr>
        <w:numPr>
          <w:ilvl w:val="0"/>
          <w:numId w:val="1001"/>
        </w:numPr>
      </w:pPr>
      <w:r>
        <w:t xml:space="preserve">Como os sinais de segurança deveriam ser incorporados quando o comitê independente não recomendou a interrupção?</w:t>
      </w:r>
    </w:p>
    <w:p>
      <w:pPr>
        <w:numPr>
          <w:ilvl w:val="0"/>
          <w:numId w:val="1001"/>
        </w:numPr>
      </w:pPr>
      <w:r>
        <w:t xml:space="preserve">Quanto as previsões comerciais deveriam influenciar o desenho e a continuação do programa clínico?</w:t>
      </w:r>
    </w:p>
    <w:p>
      <w:pPr>
        <w:numPr>
          <w:ilvl w:val="0"/>
          <w:numId w:val="1001"/>
        </w:numPr>
      </w:pPr>
      <w:r>
        <w:t xml:space="preserve">Qual informação teria o maior valor antes que a Asterion se comprometa com um estudo pivotal?</w:t>
      </w:r>
    </w:p>
    <w:p>
      <w:pPr>
        <w:numPr>
          <w:ilvl w:val="0"/>
          <w:numId w:val="1001"/>
        </w:numPr>
      </w:pPr>
      <w:r>
        <w:t xml:space="preserve">Como a gestão deveria comunicar uma decisão ambígua a pacientes, investigadores, funcionários, e investidores?</w:t>
      </w:r>
    </w:p>
    <w:bookmarkEnd w:id="20"/>
    <w:bookmarkStart w:id="27" w:name="questões-de-enquadramento-da-decisão"/>
    <w:p>
      <w:pPr>
        <w:pStyle w:val="Heading1"/>
      </w:pPr>
      <w:r>
        <w:t xml:space="preserve">Questões de Enquadramento da Decisão</w:t>
      </w:r>
    </w:p>
    <w:p>
      <w:pPr>
        <w:numPr>
          <w:ilvl w:val="0"/>
          <w:numId w:val="1002"/>
        </w:numPr>
      </w:pPr>
      <w:r>
        <w:t xml:space="preserve">Identifique e descreva as responsabilidades do tomador de decisão. Isso deve definir o escopo do problema.</w:t>
      </w:r>
    </w:p>
    <w:p>
      <w:pPr>
        <w:numPr>
          <w:ilvl w:val="0"/>
          <w:numId w:val="1002"/>
        </w:numPr>
      </w:pPr>
      <w:r>
        <w:t xml:space="preserve">Use a</w:t>
      </w:r>
      <w:r>
        <w:t xml:space="preserve"> </w:t>
      </w:r>
      <w:hyperlink r:id="rId21">
        <w:r>
          <w:rPr>
            <w:rStyle w:val="Hyperlink"/>
          </w:rPr>
          <w:t xml:space="preserve">ferramenta da pirâmide de métricas</w:t>
        </w:r>
      </w:hyperlink>
      <w:r>
        <w:t xml:space="preserve"> </w:t>
      </w:r>
      <w:r>
        <w:t xml:space="preserve">para identificar e priorizar as diferentes métricas de desempenho. Clique na oval que contém a métrica para identificar se ela é uma métrica a ser maximizada (verde), minimizada (vermelho), uma meta que é um piso (verde claro) ou um teto (vermelho claro), ou finalmente um alvo (roxo).</w:t>
      </w:r>
    </w:p>
    <w:p>
      <w:pPr>
        <w:numPr>
          <w:ilvl w:val="0"/>
          <w:numId w:val="1002"/>
        </w:numPr>
      </w:pPr>
      <w:r>
        <w:t xml:space="preserve">Use a</w:t>
      </w:r>
      <w:r>
        <w:t xml:space="preserve"> </w:t>
      </w:r>
      <w:hyperlink r:id="rId22">
        <w:r>
          <w:rPr>
            <w:rStyle w:val="Hyperlink"/>
          </w:rPr>
          <w:t xml:space="preserve">ferramenta de priorização de decisões</w:t>
        </w:r>
      </w:hyperlink>
      <w:r>
        <w:t xml:space="preserve"> </w:t>
      </w:r>
      <w:r>
        <w:t xml:space="preserve">para primeiro listar os diferentes tipos de decisões (use os</w:t>
      </w:r>
      <w:r>
        <w:t xml:space="preserve"> </w:t>
      </w:r>
      <w:hyperlink r:id="rId23">
        <w:r>
          <w:rPr>
            <w:rStyle w:val="Hyperlink"/>
          </w:rPr>
          <w:t xml:space="preserve">tipos de decisões</w:t>
        </w:r>
      </w:hyperlink>
      <w:r>
        <w:t xml:space="preserve"> </w:t>
      </w:r>
      <w:r>
        <w:t xml:space="preserve">como guia). Estes irão então preencher as linhas da matriz à direita, onde as colunas são as métricas de desempenho ordenadas da esquerda para a direita pela prioridade na pirâmide acima. Clique em cada célula para indicar se o impacto da decisão em cada métrica é alto (vermelho), médio (laranja), baixo (amarelo) ou nenhum (branco).</w:t>
      </w:r>
    </w:p>
    <w:p>
      <w:pPr>
        <w:numPr>
          <w:ilvl w:val="0"/>
          <w:numId w:val="1002"/>
        </w:numPr>
      </w:pPr>
      <w:r>
        <w:t xml:space="preserve">Você pode segurar a alça (três barras) mais à esquerda em cada linha para movê-la para cima ou para baixo. Ordene as linhas de modo que as decisões com maior impacto nas métricas mais importantes fiquem no topo. As células no canto superior esquerdo devem ter a maior concentração de células vermelhas e laranjas. Neste ponto, identifique as decisões que devem receber mais atenção em seu estudo. Se você não tiver nenhuma decisão com impacto médio ou alto nas métricas mais importantes, revise sua lista de decisões.</w:t>
      </w:r>
    </w:p>
    <w:p>
      <w:pPr>
        <w:numPr>
          <w:ilvl w:val="0"/>
          <w:numId w:val="1002"/>
        </w:numPr>
      </w:pPr>
      <w:r>
        <w:t xml:space="preserve">Repita o processo para listar e priorizar as incertezas usando a</w:t>
      </w:r>
      <w:r>
        <w:t xml:space="preserve"> </w:t>
      </w:r>
      <w:hyperlink r:id="rId24">
        <w:r>
          <w:rPr>
            <w:rStyle w:val="Hyperlink"/>
          </w:rPr>
          <w:t xml:space="preserve">ferramenta de priorização de incertezas</w:t>
        </w:r>
      </w:hyperlink>
      <w:r>
        <w:t xml:space="preserve">. Use as</w:t>
      </w:r>
      <w:r>
        <w:t xml:space="preserve"> </w:t>
      </w:r>
      <w:hyperlink r:id="rId25">
        <w:r>
          <w:rPr>
            <w:rStyle w:val="Hyperlink"/>
          </w:rPr>
          <w:t xml:space="preserve">categorias de incerteza</w:t>
        </w:r>
      </w:hyperlink>
      <w:r>
        <w:t xml:space="preserve"> </w:t>
      </w:r>
      <w:r>
        <w:t xml:space="preserve">para ajudá-lo a identificá-las.</w:t>
      </w:r>
    </w:p>
    <w:p>
      <w:pPr>
        <w:numPr>
          <w:ilvl w:val="0"/>
          <w:numId w:val="1002"/>
        </w:numPr>
      </w:pPr>
      <w:r>
        <w:t xml:space="preserve">É importante diferenciar as incertezas que podem ser avaliadas em média, ou como eventos de risco:</w:t>
      </w:r>
    </w:p>
    <w:p>
      <w:pPr>
        <w:numPr>
          <w:ilvl w:val="1"/>
          <w:numId w:val="1003"/>
        </w:numPr>
      </w:pPr>
      <w:r>
        <w:t xml:space="preserve">Quais fontes de incerteza seriam capturadas usando o desempenho médio ao longo do tempo?</w:t>
      </w:r>
    </w:p>
    <w:p>
      <w:pPr>
        <w:numPr>
          <w:ilvl w:val="1"/>
          <w:numId w:val="1003"/>
        </w:numPr>
      </w:pPr>
      <w:r>
        <w:t xml:space="preserve">Quais fontes de incerteza representam formas de risco que não são adequadamente capturadas usando médias?</w:t>
      </w:r>
    </w:p>
    <w:p>
      <w:pPr>
        <w:numPr>
          <w:ilvl w:val="0"/>
          <w:numId w:val="1002"/>
        </w:numPr>
      </w:pPr>
      <w:r>
        <w:t xml:space="preserve">Escolha a única decisão que parece ter o maior impacto sobre a métrica mais importante.</w:t>
      </w:r>
    </w:p>
    <w:p>
      <w:pPr>
        <w:numPr>
          <w:ilvl w:val="1"/>
          <w:numId w:val="1004"/>
        </w:numPr>
      </w:pPr>
      <w:r>
        <w:t xml:space="preserve">Que abordagem você acha que usaria para tomar essa decisão?</w:t>
      </w:r>
    </w:p>
    <w:p>
      <w:pPr>
        <w:numPr>
          <w:ilvl w:val="1"/>
          <w:numId w:val="1004"/>
        </w:numPr>
      </w:pPr>
      <w:r>
        <w:t xml:space="preserve">Quais dados parecem ser necessários para tomar essa decisão, incluindo o cálculo de quaisquer métricas de desempenho em que a decisão teria um impacto alto ou médio.</w:t>
      </w:r>
    </w:p>
    <w:p>
      <w:pPr>
        <w:numPr>
          <w:ilvl w:val="0"/>
          <w:numId w:val="1002"/>
        </w:numPr>
      </w:pPr>
      <w:r>
        <w:t xml:space="preserve">Usando a mesma decisão identificada em (7), identifique as pessoas, departamentos, grupos ou organizações com os quais você precisaria trabalhar para implementar a decisão.</w:t>
      </w:r>
    </w:p>
    <w:bookmarkStart w:id="26" w:name="nota-de-origem"/>
    <w:p>
      <w:pPr>
        <w:pStyle w:val="Heading2"/>
      </w:pPr>
      <w:r>
        <w:t xml:space="preserve">Nota de Origem</w:t>
      </w:r>
    </w:p>
    <w:p>
      <w:pPr>
        <w:pStyle w:val="FirstParagraph"/>
      </w:pPr>
      <w:r>
        <w:t xml:space="preserve">Contexto público: o ClinicalTrials.gov relatou 595.847 estudos registrados até julho de 2026. A U.S. Food and Drug Administration descreve os estudos de Fase III como recrutando comumente de 300 a 3.000 participantes e durando de um a quatro anos. Uma análise publicada de estudos cirúrgicos randomizados encontrou um atraso mediano de conclusão de 12,2 meses entre os estudos concluídos com atraso, enquanto múltiplos estudos identificam o recrutamento inadequado como uma das principais razões pelas quais os estudos são descontinuados ou deixam de responder à sua questão primária. Fundamentação conceitual: Warren B. Powell, Bridging Decision Problems, Volume I, Capítulo 2, seção</w:t>
      </w:r>
      <w:r>
        <w:t xml:space="preserve"> </w:t>
      </w:r>
      <w:r>
        <w:t xml:space="preserve">“Running clinical trials for drug testing.”</w:t>
      </w:r>
      <w:r>
        <w:t xml:space="preserve"> </w:t>
      </w:r>
      <w:r>
        <w:t xml:space="preserve">Fontes acessadas em 30 de julho de 2026: ClinicalTrials.gov, Trends and Charts on Registered Studies; U.S. Food and Drug Administration, Step 3: Clinical Research; Shadbolt et al., JAMA Network Open (2023); Briel et al., Journal of Clinical Epidemiology (2017).</w:t>
      </w:r>
    </w:p>
    <w:bookmarkEnd w:id="26"/>
    <w:bookmarkEnd w:id="27"/>
    <w:bookmarkStart w:id="29" w:name="resumo-do-chatgpt"/>
    <w:p>
      <w:pPr>
        <w:pStyle w:val="Heading1"/>
      </w:pPr>
      <w:r>
        <w:t xml:space="preserve">Resumo do ChatGPT</w:t>
      </w:r>
    </w:p>
    <w:bookmarkStart w:id="28" w:name="prompt"/>
    <w:p>
      <w:pPr>
        <w:pStyle w:val="Heading2"/>
      </w:pPr>
      <w:r>
        <w:t xml:space="preserve">Prompt</w:t>
      </w:r>
    </w:p>
    <w:p>
      <w:pPr>
        <w:pStyle w:val="FirstParagraph"/>
      </w:pPr>
      <w:r>
        <w:t xml:space="preserve">Write a 4-6 page case study based on the material in the section at https://warrenpowell.org/bridging-vol1/chapter-2/#clinicaltrials. Create a context based on the metrics, decisions and uncertainties in the section, but without explicitly calling attention to them. motivate your case problem with data.</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https://warrenpowell.org/decision-framing-tool/#decision-prioritization-tool" TargetMode="External" /><Relationship Type="http://schemas.openxmlformats.org/officeDocument/2006/relationships/hyperlink" Id="rId21" Target="https://warrenpowell.org/decision-framing-tool/#metrics-pyramid-tool" TargetMode="External" /><Relationship Type="http://schemas.openxmlformats.org/officeDocument/2006/relationships/hyperlink" Id="rId24" Target="https://warrenpowell.org/decision-framing-tool/#uncertainty-prioritization-tool" TargetMode="External" /><Relationship Type="http://schemas.openxmlformats.org/officeDocument/2006/relationships/hyperlink" Id="rId23" Target="https://warrenpowell.org/decisionsdecisions/#types-of-decision-settings" TargetMode="External" /><Relationship Type="http://schemas.openxmlformats.org/officeDocument/2006/relationships/hyperlink" Id="rId25"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2" Target="https://warrenpowell.org/decision-framing-tool/#decision-prioritization-tool" TargetMode="External" /><Relationship Type="http://schemas.openxmlformats.org/officeDocument/2006/relationships/hyperlink" Id="rId21" Target="https://warrenpowell.org/decision-framing-tool/#metrics-pyramid-tool" TargetMode="External" /><Relationship Type="http://schemas.openxmlformats.org/officeDocument/2006/relationships/hyperlink" Id="rId24" Target="https://warrenpowell.org/decision-framing-tool/#uncertainty-prioritization-tool" TargetMode="External" /><Relationship Type="http://schemas.openxmlformats.org/officeDocument/2006/relationships/hyperlink" Id="rId23" Target="https://warrenpowell.org/decisionsdecisions/#types-of-decision-settings" TargetMode="External" /><Relationship Type="http://schemas.openxmlformats.org/officeDocument/2006/relationships/hyperlink" Id="rId25"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2026-09-11T16:32:23Z</dcterms:created>
  <dcterms:modified xsi:type="dcterms:W3CDTF">2026-09-11T16:32:23Z</dcterms:modified>
</cp:coreProperties>
</file>

<file path=docProps/custom.xml><?xml version="1.0" encoding="utf-8"?>
<Properties xmlns="http://schemas.openxmlformats.org/officeDocument/2006/custom-properties" xmlns:vt="http://schemas.openxmlformats.org/officeDocument/2006/docPropsVTypes"/>
</file>