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t xml:space="preserve">AURORA MOTORS</w:t>
      </w:r>
    </w:p>
    <w:p>
      <w:pPr>
        <w:pStyle w:val="BodyText"/>
      </w:pPr>
      <w:r>
        <w:t xml:space="preserve">O Dilema da Coordenação de Fluxo</w:t>
      </w:r>
    </w:p>
    <w:p>
      <w:pPr>
        <w:pStyle w:val="BodyText"/>
      </w:pPr>
      <w:r>
        <w:t xml:space="preserve">Um estudo de caso fictício sobre a sincronização de peças globais, produção e entregas a clientes</w:t>
      </w:r>
    </w:p>
    <w:p>
      <w:pPr>
        <w:pStyle w:val="BodyText"/>
      </w:pPr>
      <w:r>
        <w:t xml:space="preserve">+————————————————————————————————————————————————————————————————————————–+</w:t>
      </w:r>
      <w:r>
        <w:t xml:space="preserve"> </w:t>
      </w:r>
      <w:r>
        <w:t xml:space="preserve">| A DECISÃO |</w:t>
      </w:r>
      <w:r>
        <w:t xml:space="preserve"> </w:t>
      </w:r>
      <w:r>
        <w:t xml:space="preserve">| |</w:t>
      </w:r>
      <w:r>
        <w:t xml:space="preserve"> </w:t>
      </w:r>
      <w:r>
        <w:t xml:space="preserve">| Como a Aurora Motors deve coordenar suprimentos de entrada incertos com produção e entregas a clientes quando tarifas, incentivos federais, preços de gasolina e preferências de compradores podem mudar mais rápido do que sua cadeia de suprimentos? |</w:t>
      </w:r>
      <w:r>
        <w:t xml:space="preserve"> </w:t>
      </w:r>
      <w:r>
        <w:t xml:space="preserve">+==========================================================================================================================================================================================================================+</w:t>
      </w:r>
    </w:p>
    <w:p>
      <w:pPr>
        <w:pStyle w:val="BodyText"/>
      </w:pPr>
      <w:r>
        <w:t xml:space="preserve">Na segunda-feira, 6 de outubro de 2025, Maya Chen, diretora de operações (COO) da Aurora Motors, entrou em uma reunião de planejamento executivo carregando três previsões que não podiam estar todas corretas. A equipe de compras esperava que os custos de componentes importados aumentassem. A equipe de vendas esperava que a demanda pelo veículo utilitário esportivo híbrido da Aurora acelerasse após um novo salto nos preços da gasolina. O departamento financeiro alertou que o crédito federal para veículos limpos havia terminado para veículos adquiridos após 30 de setembro, eliminando um benefício que alguns concessionários haviam incorporado às estimativas de pagamento dos clientes. Enquanto isso, 3.800 pedidos de clientes concluídos aguardavam datas de produção.</w:t>
      </w:r>
    </w:p>
    <w:p>
      <w:pPr>
        <w:pStyle w:val="BodyText"/>
      </w:pPr>
      <w:r>
        <w:t xml:space="preserve">A Aurora montava veículos elétricos híbridos em uma fábrica nos EUA. Seu modelo mais importante, o Aurora Crosswind, combinava um motor a gasolina, um motor elétrico, eletrônica de potência e um pacote de bateria de 1,8 kWh. Embora a montagem final fosse doméstica, o veículo dependia de células de bateria e módulos semicondutores da Ásia, inversores especializados da Europa, e motores, painéis de carroceria e bancos da América do Norte. Um módulo de controle de $180 em falta poderia atrasar o envio de um veículo de $42.000.</w:t>
      </w:r>
    </w:p>
    <w:bookmarkStart w:id="9" w:name="X281e89e8a705f860a26a47dc234ec54e2f50c5f"/>
    <w:p>
      <w:pPr>
        <w:pStyle w:val="Heading1"/>
      </w:pPr>
      <w:r>
        <w:t xml:space="preserve">Uma Empresa Construída em Torno de Fluxo Coordenado</w:t>
      </w:r>
    </w:p>
    <w:p>
      <w:pPr>
        <w:pStyle w:val="FirstParagraph"/>
      </w:pPr>
      <w:r>
        <w:t xml:space="preserve">A Aurora havia crescido prometendo aos concessionários uma janela confiável de pedido-para-entrega de oito semanas. Seu sistema operacional convertia pedidos de concessionários em um cronograma de produção de 12 semanas e depois liberava ordens de compra, reservas de transporte marítimo, capacidade ferroviária e compromissos de entrega de veículos acabados. O sistema funcionava bem quando as previsões e os prazos de entrega eram estáveis. Ele enfrentava dificuldades quando a política comercial e os mercados de energia se moviam abruptamente.</w:t>
      </w:r>
    </w:p>
    <w:p>
      <w:pPr>
        <w:pStyle w:val="BodyText"/>
      </w:pPr>
      <w:r>
        <w:t xml:space="preserve">A fábrica podia construir 1.150 veículos por semana em dois turnos. A linha do motor híbrido era a restrição, mas escassez em outras áreas frequentemente impedia a linha de usar sua capacidade total. A Aurora podia substituir alguns componentes, mudar a sequência de modelos, reter veículos quase prontos para conclusão posterior, ou usar frete aéreo. Cada resposta transferia custos e atrasos para uma parte diferente do sistema.</w:t>
      </w:r>
    </w:p>
    <w:tbl>
      <w:tblPr>
        <w:tblStyle w:val="Table"/>
        <w:tblW w:type="pct" w:w="4921"/>
        <w:tblLayout w:type="fixed"/>
        <w:tblLook w:firstRow="1" w:lastRow="0" w:firstColumn="0" w:lastColumn="0" w:noHBand="0" w:noVBand="0" w:val="0020"/>
      </w:tblPr>
      <w:tblGrid>
        <w:gridCol w:w="1508"/>
        <w:gridCol w:w="1445"/>
        <w:gridCol w:w="1194"/>
        <w:gridCol w:w="1005"/>
        <w:gridCol w:w="2640"/>
      </w:tblGrid>
      <w:tr>
        <w:trPr>
          <w:tblHeader w:val="on"/>
        </w:trPr>
        <w:tc>
          <w:tcPr/>
          <w:p>
            <w:pPr>
              <w:pStyle w:val="Compact"/>
              <w:jc w:val="left"/>
            </w:pPr>
            <w:r>
              <w:t xml:space="preserve">Item de entrada</w:t>
            </w:r>
          </w:p>
        </w:tc>
        <w:tc>
          <w:tcPr/>
          <w:p>
            <w:pPr>
              <w:pStyle w:val="Compact"/>
              <w:jc w:val="center"/>
            </w:pPr>
            <w:r>
              <w:t xml:space="preserve">Fonte primária</w:t>
            </w:r>
          </w:p>
        </w:tc>
        <w:tc>
          <w:tcPr/>
          <w:p>
            <w:pPr>
              <w:pStyle w:val="Compact"/>
              <w:jc w:val="right"/>
            </w:pPr>
            <w:r>
              <w:t xml:space="preserve">Prazo de entrega n</w:t>
            </w:r>
          </w:p>
        </w:tc>
        <w:tc>
          <w:tcPr/>
          <w:p>
            <w:pPr>
              <w:pStyle w:val="Compact"/>
            </w:pPr>
            <w:r>
              <w:t xml:space="preserve">ormal Unidades</w:t>
            </w:r>
          </w:p>
        </w:tc>
        <w:tc>
          <w:tcPr/>
          <w:p>
            <w:pPr>
              <w:pStyle w:val="Compact"/>
              <w:jc w:val="center"/>
            </w:pPr>
            <w:r>
              <w:t xml:space="preserve">em mãos Exposição</w:t>
            </w:r>
          </w:p>
        </w:tc>
      </w:tr>
      <w:tr>
        <w:tc>
          <w:tcPr/>
          <w:p>
            <w:pPr>
              <w:pStyle w:val="Compact"/>
              <w:jc w:val="left"/>
            </w:pPr>
            <w:r>
              <w:t xml:space="preserve">Células de bateria</w:t>
            </w:r>
          </w:p>
        </w:tc>
        <w:tc>
          <w:tcPr/>
          <w:p>
            <w:pPr>
              <w:pStyle w:val="Compact"/>
              <w:jc w:val="center"/>
            </w:pPr>
            <w:r>
              <w:t xml:space="preserve">Ásia Oriental</w:t>
            </w:r>
          </w:p>
        </w:tc>
        <w:tc>
          <w:tcPr/>
          <w:p>
            <w:pPr>
              <w:pStyle w:val="Compact"/>
              <w:jc w:val="right"/>
            </w:pPr>
            <w:r>
              <w:t xml:space="preserve">11 semanas</w:t>
            </w:r>
          </w:p>
        </w:tc>
        <w:tc>
          <w:tcPr/>
          <w:p>
            <w:pPr>
              <w:pStyle w:val="Compact"/>
            </w:pPr>
            <w:r>
              <w:t xml:space="preserve">5,2 s</w:t>
            </w:r>
          </w:p>
        </w:tc>
        <w:tc>
          <w:tcPr/>
          <w:p>
            <w:pPr>
              <w:pStyle w:val="Compact"/>
              <w:jc w:val="center"/>
            </w:pPr>
            <w:r>
              <w:t xml:space="preserve">emanas Tarifa, atraso marítimo, liberação de qualidade</w:t>
            </w:r>
          </w:p>
        </w:tc>
      </w:tr>
      <w:tr>
        <w:tc>
          <w:tcPr/>
          <w:p>
            <w:pPr>
              <w:pStyle w:val="Compact"/>
              <w:jc w:val="left"/>
            </w:pPr>
            <w:r>
              <w:t xml:space="preserve">Módulos de controle de p</w:t>
            </w:r>
          </w:p>
        </w:tc>
        <w:tc>
          <w:tcPr/>
          <w:p>
            <w:pPr>
              <w:pStyle w:val="Compact"/>
              <w:jc w:val="center"/>
            </w:pPr>
            <w:r>
              <w:t xml:space="preserve">otência Ásia Oriental</w:t>
            </w:r>
          </w:p>
        </w:tc>
        <w:tc>
          <w:tcPr/>
          <w:p>
            <w:pPr>
              <w:pStyle w:val="Compact"/>
              <w:jc w:val="right"/>
            </w:pPr>
            <w:r>
              <w:t xml:space="preserve">8 sem</w:t>
            </w:r>
          </w:p>
        </w:tc>
        <w:tc>
          <w:tcPr/>
          <w:p>
            <w:pPr>
              <w:pStyle w:val="Compact"/>
            </w:pPr>
            <w:r>
              <w:t xml:space="preserve">anas</w:t>
            </w:r>
          </w:p>
        </w:tc>
        <w:tc>
          <w:tcPr/>
          <w:p>
            <w:pPr>
              <w:pStyle w:val="Compact"/>
              <w:jc w:val="center"/>
            </w:pPr>
            <w:r>
              <w:t xml:space="preserve">2,6 semanas Tarifa, alocação de semicondutores</w:t>
            </w:r>
          </w:p>
        </w:tc>
      </w:tr>
      <w:tr>
        <w:tc>
          <w:tcPr/>
          <w:p>
            <w:pPr>
              <w:pStyle w:val="Compact"/>
              <w:jc w:val="left"/>
            </w:pPr>
            <w:r>
              <w:t xml:space="preserve">Inversores</w:t>
            </w:r>
          </w:p>
        </w:tc>
        <w:tc>
          <w:tcPr/>
          <w:p>
            <w:pPr>
              <w:pStyle w:val="Compact"/>
              <w:jc w:val="center"/>
            </w:pPr>
            <w:r>
              <w:t xml:space="preserve">União Europeia</w:t>
            </w:r>
          </w:p>
        </w:tc>
        <w:tc>
          <w:tcPr/>
          <w:p>
            <w:pPr>
              <w:pStyle w:val="Compact"/>
              <w:jc w:val="right"/>
            </w:pPr>
            <w:r>
              <w:t xml:space="preserve">7 semanas</w:t>
            </w:r>
          </w:p>
        </w:tc>
        <w:tc>
          <w:tcPr/>
          <w:p>
            <w:pPr>
              <w:pStyle w:val="Compact"/>
            </w:pPr>
            <w:r>
              <w:t xml:space="preserve">3,1 semanas</w:t>
            </w:r>
          </w:p>
        </w:tc>
        <w:tc>
          <w:tcPr/>
          <w:p>
            <w:pPr>
              <w:pStyle w:val="Compact"/>
              <w:jc w:val="center"/>
            </w:pPr>
            <w:r>
              <w:t xml:space="preserve">Tarifa de autopeças, congestionamento portuário</w:t>
            </w:r>
          </w:p>
        </w:tc>
      </w:tr>
      <w:tr>
        <w:tc>
          <w:tcPr/>
          <w:p>
            <w:pPr>
              <w:pStyle w:val="Compact"/>
              <w:jc w:val="left"/>
            </w:pPr>
            <w:r>
              <w:t xml:space="preserve">Motores a gasolina</w:t>
            </w:r>
          </w:p>
        </w:tc>
        <w:tc>
          <w:tcPr/>
          <w:p>
            <w:pPr>
              <w:pStyle w:val="Compact"/>
              <w:jc w:val="center"/>
            </w:pPr>
            <w:r>
              <w:t xml:space="preserve">Estados Unidos/México</w:t>
            </w:r>
          </w:p>
        </w:tc>
        <w:tc>
          <w:tcPr/>
          <w:p>
            <w:pPr>
              <w:pStyle w:val="Compact"/>
              <w:jc w:val="right"/>
            </w:pPr>
            <w:r>
              <w:t xml:space="preserve">3 semanas</w:t>
            </w:r>
          </w:p>
        </w:tc>
        <w:tc>
          <w:tcPr/>
          <w:p>
            <w:pPr>
              <w:pStyle w:val="Compact"/>
            </w:pPr>
            <w:r>
              <w:t xml:space="preserve">1,8 semanas</w:t>
            </w:r>
          </w:p>
        </w:tc>
        <w:tc>
          <w:tcPr/>
          <w:p>
            <w:pPr>
              <w:pStyle w:val="Compact"/>
              <w:jc w:val="center"/>
            </w:pPr>
            <w:r>
              <w:t xml:space="preserve">Mudanças no mix de modelos</w:t>
            </w:r>
          </w:p>
        </w:tc>
      </w:tr>
      <w:tr>
        <w:tc>
          <w:tcPr/>
          <w:p>
            <w:pPr>
              <w:pStyle w:val="Compact"/>
              <w:jc w:val="left"/>
            </w:pPr>
            <w:r>
              <w:t xml:space="preserve">Bancos e interiores</w:t>
            </w:r>
          </w:p>
        </w:tc>
        <w:tc>
          <w:tcPr/>
          <w:p>
            <w:pPr>
              <w:pStyle w:val="Compact"/>
              <w:jc w:val="center"/>
            </w:pPr>
            <w:r>
              <w:t xml:space="preserve">Estados Unidos</w:t>
            </w:r>
          </w:p>
        </w:tc>
        <w:tc>
          <w:tcPr/>
          <w:p>
            <w:pPr>
              <w:pStyle w:val="Compact"/>
              <w:jc w:val="right"/>
            </w:pPr>
            <w:r>
              <w:t xml:space="preserve">2 semanas</w:t>
            </w:r>
          </w:p>
        </w:tc>
        <w:tc>
          <w:tcPr/>
          <w:p>
            <w:pPr>
              <w:pStyle w:val="Compact"/>
            </w:pPr>
            <w:r>
              <w:t xml:space="preserve">1,3 semanas</w:t>
            </w:r>
          </w:p>
        </w:tc>
        <w:tc>
          <w:tcPr/>
          <w:p>
            <w:pPr>
              <w:pStyle w:val="Compact"/>
              <w:jc w:val="center"/>
            </w:pPr>
            <w:r>
              <w:t xml:space="preserve">Específico da sequência, baixa substituibilidade</w:t>
            </w:r>
          </w:p>
        </w:tc>
      </w:tr>
    </w:tbl>
    <w:bookmarkEnd w:id="9"/>
    <w:bookmarkStart w:id="10" w:name="X4e1e958b7ec40c2548a54891319856d7711b107"/>
    <w:p>
      <w:pPr>
        <w:pStyle w:val="Heading1"/>
      </w:pPr>
      <w:r>
        <w:t xml:space="preserve">Sinais Externos Que Não se Moveram Juntos</w:t>
      </w:r>
    </w:p>
    <w:p>
      <w:pPr>
        <w:pStyle w:val="FirstParagraph"/>
      </w:pPr>
      <w:r>
        <w:t xml:space="preserve">A economia das baterias sugeria que os veículos eletrificados deveriam se tornar constantemente mais fáceis de produzir. Estimativas do Departamento de Energia dos EUA situaram o custo do pacote de bateria de veículo elétrico leve em $1.415 por kWh utilizável em 2008 e $139 em 2023, um declínio de cerca de 90 por cento em dólares constantes. Mas o pequeno pacote híbrido da Aurora representava apenas parte do custo total do trem de força, e o tratamento tarifário dependia da química, origem e classificação. Em 2024, os Estados Unidos elevaram a tarifa da Seção 301 sobre baterias de íon-lítio para veículos elétricos da China para 25 por cento. Em 2025, uma ação separada impôs uma tarifa de 25 por cento sobre automóveis importados especificados e peças-chave de automóveis, embora acordos subsequentes com países tenham criado taxas efetivas diferentes, incluindo um marco visando uma taxa combinada de 15 por cento para bens automotivos abrangidos da UE.</w:t>
      </w:r>
    </w:p>
    <w:p>
      <w:pPr>
        <w:pStyle w:val="BodyText"/>
      </w:pPr>
      <w:r>
        <w:t xml:space="preserve">Os preços de energia criaram uma incerteza diferente. O petróleo bruto WTI médio anual foi de cerca de $39 por barril em 2020, $68 em 2021, $95 em 2022, $78 em 2023, e $77 em 2024. A sequência lembrou os executivos de que guerras, sanções, decisões de produção e interrupções no transporte poderiam mudar rapidamente o valor que os clientes atribuíam à economia de combustível. No entanto, um alto preço do petróleo poderia recuar antes que a Aurora recebesse peças pedidas em resposta a ele.</w:t>
      </w:r>
    </w:p>
    <w:tbl>
      <w:tblPr>
        <w:tblStyle w:val="Table"/>
        <w:tblW w:type="pct" w:w="4928"/>
        <w:tblLayout w:type="fixed"/>
        <w:tblLook w:firstRow="1" w:lastRow="0" w:firstColumn="0" w:lastColumn="0" w:noHBand="0" w:noVBand="0" w:val="0020"/>
      </w:tblPr>
      <w:tblGrid>
        <w:gridCol w:w="401"/>
        <w:gridCol w:w="1606"/>
        <w:gridCol w:w="2295"/>
        <w:gridCol w:w="3500"/>
      </w:tblGrid>
      <w:tr>
        <w:trPr>
          <w:tblHeader w:val="on"/>
        </w:trPr>
        <w:tc>
          <w:tcPr/>
          <w:p>
            <w:pPr>
              <w:pStyle w:val="Compact"/>
            </w:pPr>
            <w:r>
              <w:t xml:space="preserve">Ano P</w:t>
            </w:r>
          </w:p>
        </w:tc>
        <w:tc>
          <w:tcPr/>
          <w:p>
            <w:pPr>
              <w:pStyle w:val="Compact"/>
            </w:pPr>
            <w:r>
              <w:t xml:space="preserve">etróleo bruto WTI ($/barril</w:t>
            </w:r>
          </w:p>
        </w:tc>
        <w:tc>
          <w:tcPr/>
          <w:p>
            <w:pPr>
              <w:pStyle w:val="Compact"/>
            </w:pPr>
            <w:r>
              <w:t xml:space="preserve">) Custo do pacote de bateria do DOE (\</w:t>
            </w:r>
          </w:p>
        </w:tc>
        <w:tc>
          <w:tcPr/>
          <w:p>
            <w:pPr>
              <w:pStyle w:val="Compact"/>
              <w:jc w:val="left"/>
            </w:pPr>
            <w:r>
              <w:t xml:space="preserve">$/kWh utilizável) Sinal de mercado/política selecionado</w:t>
            </w:r>
          </w:p>
        </w:tc>
      </w:tr>
      <w:tr>
        <w:tc>
          <w:tcPr/>
          <w:p>
            <w:pPr>
              <w:pStyle w:val="Compact"/>
            </w:pPr>
            <w:r>
              <w:t xml:space="preserve">2008</w:t>
            </w:r>
          </w:p>
        </w:tc>
        <w:tc>
          <w:tcPr/>
          <w:p>
            <w:pPr>
              <w:pStyle w:val="Compact"/>
            </w:pPr>
            <w:r>
              <w:t xml:space="preserve">99,67*</w:t>
            </w:r>
          </w:p>
        </w:tc>
        <w:tc>
          <w:tcPr/>
          <w:p>
            <w:pPr>
              <w:pStyle w:val="Compact"/>
            </w:pPr>
            <w:r>
              <w:t xml:space="preserve">1.415</w:t>
            </w:r>
          </w:p>
        </w:tc>
        <w:tc>
          <w:tcPr/>
          <w:p>
            <w:pPr>
              <w:pStyle w:val="Compact"/>
              <w:jc w:val="left"/>
            </w:pPr>
            <w:r>
              <w:t xml:space="preserve">Alta volatilidade do petróleo; investimento inicial em eletrificação</w:t>
            </w:r>
          </w:p>
        </w:tc>
      </w:tr>
      <w:tr>
        <w:tc>
          <w:tcPr/>
          <w:p>
            <w:pPr>
              <w:pStyle w:val="Compact"/>
            </w:pPr>
            <w:r>
              <w:t xml:space="preserve">2020</w:t>
            </w:r>
          </w:p>
        </w:tc>
        <w:tc>
          <w:tcPr/>
          <w:p>
            <w:pPr>
              <w:pStyle w:val="Compact"/>
            </w:pPr>
            <w:r>
              <w:t xml:space="preserve">39,16</w:t>
            </w:r>
          </w:p>
        </w:tc>
        <w:tc>
          <w:tcPr/>
          <w:p>
            <w:pPr>
              <w:pStyle w:val="Compact"/>
            </w:pPr>
            <w:r>
              <w:t xml:space="preserve">—</w:t>
            </w:r>
          </w:p>
        </w:tc>
        <w:tc>
          <w:tcPr/>
          <w:p>
            <w:pPr>
              <w:pStyle w:val="Compact"/>
              <w:jc w:val="left"/>
            </w:pPr>
            <w:r>
              <w:t xml:space="preserve">Choque de demanda da pandemia</w:t>
            </w:r>
          </w:p>
        </w:tc>
      </w:tr>
      <w:tr>
        <w:tc>
          <w:tcPr/>
          <w:p>
            <w:pPr>
              <w:pStyle w:val="Compact"/>
            </w:pPr>
            <w:r>
              <w:t xml:space="preserve">2021</w:t>
            </w:r>
          </w:p>
        </w:tc>
        <w:tc>
          <w:tcPr/>
          <w:p>
            <w:pPr>
              <w:pStyle w:val="Compact"/>
            </w:pPr>
            <w:r>
              <w:t xml:space="preserve">68,13</w:t>
            </w:r>
          </w:p>
        </w:tc>
        <w:tc>
          <w:tcPr/>
          <w:p>
            <w:pPr>
              <w:pStyle w:val="Compact"/>
            </w:pPr>
            <w:r>
              <w:t xml:space="preserve">157</w:t>
            </w:r>
          </w:p>
        </w:tc>
        <w:tc>
          <w:tcPr/>
          <w:p>
            <w:pPr>
              <w:pStyle w:val="Compact"/>
              <w:jc w:val="left"/>
            </w:pPr>
            <w:r>
              <w:t xml:space="preserve">Recuperação da demanda de combustível</w:t>
            </w:r>
          </w:p>
        </w:tc>
      </w:tr>
      <w:tr>
        <w:tc>
          <w:tcPr/>
          <w:p>
            <w:pPr>
              <w:pStyle w:val="Compact"/>
            </w:pPr>
            <w:r>
              <w:t xml:space="preserve">2022</w:t>
            </w:r>
          </w:p>
        </w:tc>
        <w:tc>
          <w:tcPr/>
          <w:p>
            <w:pPr>
              <w:pStyle w:val="Compact"/>
            </w:pPr>
            <w:r>
              <w:t xml:space="preserve">94,90</w:t>
            </w:r>
          </w:p>
        </w:tc>
        <w:tc>
          <w:tcPr/>
          <w:p>
            <w:pPr>
              <w:pStyle w:val="Compact"/>
            </w:pPr>
            <w:r>
              <w:t xml:space="preserve">153</w:t>
            </w:r>
          </w:p>
        </w:tc>
        <w:tc>
          <w:tcPr/>
          <w:p>
            <w:pPr>
              <w:pStyle w:val="Compact"/>
              <w:jc w:val="left"/>
            </w:pPr>
            <w:r>
              <w:t xml:space="preserve">Choque energético relacionado à guerra; IRA promulgado</w:t>
            </w:r>
          </w:p>
        </w:tc>
      </w:tr>
      <w:tr>
        <w:tc>
          <w:tcPr/>
          <w:p>
            <w:pPr>
              <w:pStyle w:val="Compact"/>
            </w:pPr>
            <w:r>
              <w:t xml:space="preserve">2023</w:t>
            </w:r>
          </w:p>
        </w:tc>
        <w:tc>
          <w:tcPr/>
          <w:p>
            <w:pPr>
              <w:pStyle w:val="Compact"/>
            </w:pPr>
            <w:r>
              <w:t xml:space="preserve">77,58</w:t>
            </w:r>
          </w:p>
        </w:tc>
        <w:tc>
          <w:tcPr/>
          <w:p>
            <w:pPr>
              <w:pStyle w:val="Compact"/>
            </w:pPr>
            <w:r>
              <w:t xml:space="preserve">139</w:t>
            </w:r>
          </w:p>
        </w:tc>
        <w:tc>
          <w:tcPr/>
          <w:p>
            <w:pPr>
              <w:pStyle w:val="Compact"/>
              <w:jc w:val="left"/>
            </w:pPr>
            <w:r>
              <w:t xml:space="preserve">Início de novas regras de minerais e componentes de bateria</w:t>
            </w:r>
          </w:p>
        </w:tc>
      </w:tr>
      <w:tr>
        <w:tc>
          <w:tcPr/>
          <w:p>
            <w:pPr>
              <w:pStyle w:val="Compact"/>
            </w:pPr>
            <w:r>
              <w:t xml:space="preserve">2024</w:t>
            </w:r>
          </w:p>
        </w:tc>
        <w:tc>
          <w:tcPr/>
          <w:p>
            <w:pPr>
              <w:pStyle w:val="Compact"/>
            </w:pPr>
            <w:r>
              <w:t xml:space="preserve">76,63</w:t>
            </w:r>
          </w:p>
        </w:tc>
        <w:tc>
          <w:tcPr/>
          <w:p>
            <w:pPr>
              <w:pStyle w:val="Compact"/>
            </w:pPr>
            <w:r>
              <w:t xml:space="preserve">—</w:t>
            </w:r>
          </w:p>
        </w:tc>
        <w:tc>
          <w:tcPr/>
          <w:p>
            <w:pPr>
              <w:pStyle w:val="Compact"/>
              <w:jc w:val="left"/>
            </w:pPr>
            <w:r>
              <w:t xml:space="preserve">Tarifa sobre baterias de VE da China elevada para 25%</w:t>
            </w:r>
          </w:p>
        </w:tc>
      </w:tr>
      <w:tr>
        <w:tc>
          <w:tcPr/>
          <w:p>
            <w:pPr>
              <w:pStyle w:val="Compact"/>
            </w:pPr>
            <w:r>
              <w:t xml:space="preserve">2025</w:t>
            </w:r>
          </w:p>
        </w:tc>
        <w:tc>
          <w:tcPr/>
          <w:p>
            <w:pPr>
              <w:pStyle w:val="Compact"/>
            </w:pPr>
            <w:r>
              <w:t xml:space="preserve">65,39</w:t>
            </w:r>
          </w:p>
        </w:tc>
        <w:tc>
          <w:tcPr/>
          <w:p>
            <w:pPr>
              <w:pStyle w:val="Compact"/>
            </w:pPr>
            <w:r>
              <w:t xml:space="preserve">—</w:t>
            </w:r>
          </w:p>
        </w:tc>
        <w:tc>
          <w:tcPr/>
          <w:p>
            <w:pPr>
              <w:pStyle w:val="Compact"/>
              <w:jc w:val="left"/>
            </w:pPr>
            <w:r>
              <w:t xml:space="preserve">Tarifas sobre automóveis/peças; novo crédito para veículos limpos termina em 30 de setembro</w:t>
            </w:r>
          </w:p>
        </w:tc>
      </w:tr>
    </w:tbl>
    <w:p>
      <w:pPr>
        <w:pStyle w:val="BodyText"/>
      </w:pPr>
      <w:r>
        <w:t xml:space="preserve">*O valor de 2008 é um valor da série de preços spot anuais WTI da EIA; os custos de bateria são estimativas do DOE em dólares constantes e não são diretamente comparáveis entre todas as publicações anuais.</w:t>
      </w:r>
    </w:p>
    <w:bookmarkEnd w:id="10"/>
    <w:bookmarkStart w:id="11" w:name="X101a53f99b812de6bac7420107a6fdef6da0cbb"/>
    <w:p>
      <w:pPr>
        <w:pStyle w:val="Heading1"/>
      </w:pPr>
      <w:r>
        <w:t xml:space="preserve">A Demanda Estava se Tornando Mais Atraente - e Menos Previsível</w:t>
      </w:r>
    </w:p>
    <w:p>
      <w:pPr>
        <w:pStyle w:val="FirstParagraph"/>
      </w:pPr>
      <w:r>
        <w:t xml:space="preserve">As atitudes dos consumidores complicaram o quadro. A AAA relatou em 2024 que 18 por cento dos adultos dos EUA tinham probabilidade de comprar um veículo totalmente elétrico, uma queda em relação a 23 por cento um ano antes, enquanto 31 por cento disseram ter probabilidade de comprar um híbrido. Em 2025, a probabilidade declarada de comprar um veículo totalmente elétrico caiu novamente para 16 por cento. Os concessionários da Aurora interpretaram os números como evidência de que os híbridos estavam se tornando uma tecnologia de ponte prática. A organização de vendas alertou, no entanto, que o interesse em pesquisas não se traduzia necessariamente em pedidos assinados nos pontos de preço da Aurora.</w:t>
      </w:r>
    </w:p>
    <w:p>
      <w:pPr>
        <w:pStyle w:val="BodyText"/>
      </w:pPr>
      <w:r>
        <w:t xml:space="preserve">Os incentivos federais adicionaram outra descontinuidade. O crédito revisado para veículos limpos exigia montagem final na América do Norte e, a partir de 2023, testes cada vez mais restritivos de fornecimento de minerais críticos e componentes de bateria. Híbridos plug-in com pelo menos 7 kWh poderiam se qualificar se atendessem às regras, mas o Crosswind híbrido convencional da Aurora não atendia. A Aurora, portanto, havia acelerado o desenvolvimento de uma versão plug-in. A economia desse programa mudou quando orientações federais declararam que o novo crédito para veículos limpos estava indisponível para veículos adquiridos após 30 de setembro de 2025. Os concessionários ainda tinham incentivos estaduais em alguns mercados, mas a disponibilidade e os valores diferiam.</w:t>
      </w:r>
    </w:p>
    <w:bookmarkEnd w:id="11"/>
    <w:bookmarkStart w:id="12" w:name="o-problema-de-planejamento-de-outubro"/>
    <w:p>
      <w:pPr>
        <w:pStyle w:val="Heading1"/>
      </w:pPr>
      <w:r>
        <w:t xml:space="preserve">O Problema de Planejamento de Outubro</w:t>
      </w:r>
    </w:p>
    <w:p>
      <w:pPr>
        <w:pStyle w:val="FirstParagraph"/>
      </w:pPr>
      <w:r>
        <w:t xml:space="preserve">A equipe de planejamento da Aurora preparou três cenários de demanda para as próximas 16 semanas. Os cenários não eram probabilidades; cada um representava uma história coerente que a alta administração considerava plausível.</w:t>
      </w:r>
    </w:p>
    <w:tbl>
      <w:tblPr>
        <w:tblStyle w:val="Table"/>
        <w:tblW w:type="pct" w:w="4937"/>
        <w:tblLayout w:type="fixed"/>
        <w:tblLook w:firstRow="1" w:lastRow="0" w:firstColumn="0" w:lastColumn="0" w:noHBand="0" w:noVBand="0" w:val="0020"/>
      </w:tblPr>
      <w:tblGrid>
        <w:gridCol w:w="902"/>
        <w:gridCol w:w="2456"/>
        <w:gridCol w:w="952"/>
        <w:gridCol w:w="852"/>
        <w:gridCol w:w="2656"/>
      </w:tblGrid>
      <w:tr>
        <w:trPr>
          <w:tblHeader w:val="on"/>
        </w:trPr>
        <w:tc>
          <w:tcPr/>
          <w:p>
            <w:pPr>
              <w:pStyle w:val="Compact"/>
            </w:pPr>
            <w:r>
              <w:t xml:space="preserve">Cenário G</w:t>
            </w:r>
          </w:p>
        </w:tc>
        <w:tc>
          <w:tcPr/>
          <w:p>
            <w:pPr>
              <w:pStyle w:val="Compact"/>
            </w:pPr>
            <w:r>
              <w:t xml:space="preserve">atilho D</w:t>
            </w:r>
          </w:p>
        </w:tc>
        <w:tc>
          <w:tcPr/>
          <w:p>
            <w:pPr>
              <w:pStyle w:val="Compact"/>
              <w:jc w:val="left"/>
            </w:pPr>
            <w:r>
              <w:t xml:space="preserve">emanda Crosswind</w:t>
            </w:r>
          </w:p>
        </w:tc>
        <w:tc>
          <w:tcPr/>
          <w:p>
            <w:pPr>
              <w:pStyle w:val="Compact"/>
              <w:jc w:val="left"/>
            </w:pPr>
            <w:r>
              <w:t xml:space="preserve">Demanda plug-in</w:t>
            </w:r>
          </w:p>
        </w:tc>
        <w:tc>
          <w:tcPr/>
          <w:p>
            <w:pPr>
              <w:pStyle w:val="Compact"/>
              <w:jc w:val="center"/>
            </w:pPr>
            <w:r>
              <w:t xml:space="preserve">Consequência operacional</w:t>
            </w:r>
          </w:p>
        </w:tc>
      </w:tr>
      <w:tr>
        <w:tc>
          <w:tcPr/>
          <w:p>
            <w:pPr>
              <w:pStyle w:val="Compact"/>
            </w:pPr>
            <w:r>
              <w:t xml:space="preserve">Choque de combustí</w:t>
            </w:r>
          </w:p>
        </w:tc>
        <w:tc>
          <w:tcPr/>
          <w:p>
            <w:pPr>
              <w:pStyle w:val="Compact"/>
            </w:pPr>
            <w:r>
              <w:t xml:space="preserve">vel Interrupção no fornecimento de petróle</w:t>
            </w:r>
          </w:p>
        </w:tc>
        <w:tc>
          <w:tcPr/>
          <w:p>
            <w:pPr>
              <w:pStyle w:val="Compact"/>
              <w:jc w:val="left"/>
            </w:pPr>
            <w:r>
              <w:t xml:space="preserve">o; gasolina sobe ac</w:t>
            </w:r>
          </w:p>
        </w:tc>
        <w:tc>
          <w:tcPr/>
          <w:p>
            <w:pPr>
              <w:pStyle w:val="Compact"/>
              <w:jc w:val="left"/>
            </w:pPr>
            <w:r>
              <w:t xml:space="preserve">entuadamente +</w:t>
            </w:r>
          </w:p>
        </w:tc>
        <w:tc>
          <w:tcPr/>
          <w:p>
            <w:pPr>
              <w:pStyle w:val="Compact"/>
              <w:jc w:val="center"/>
            </w:pPr>
            <w:r>
              <w:t xml:space="preserve">22% +35% Acelerar peças asiáticas; adiar modelos de menor margem</w:t>
            </w:r>
          </w:p>
        </w:tc>
      </w:tr>
      <w:tr>
        <w:tc>
          <w:tcPr/>
          <w:p>
            <w:pPr>
              <w:pStyle w:val="Compact"/>
            </w:pPr>
            <w:r>
              <w:t xml:space="preserve">Ressaca de polític</w:t>
            </w:r>
          </w:p>
        </w:tc>
        <w:tc>
          <w:tcPr/>
          <w:p>
            <w:pPr>
              <w:pStyle w:val="Compact"/>
            </w:pPr>
            <w:r>
              <w:t xml:space="preserve">a Retirada do crédito deprime a demanda por veí</w:t>
            </w:r>
          </w:p>
        </w:tc>
        <w:tc>
          <w:tcPr/>
          <w:p>
            <w:pPr>
              <w:pStyle w:val="Compact"/>
              <w:jc w:val="left"/>
            </w:pPr>
            <w:r>
              <w:t xml:space="preserve">culos eletrificados</w:t>
            </w:r>
          </w:p>
        </w:tc>
        <w:tc>
          <w:tcPr/>
          <w:p>
            <w:pPr>
              <w:pStyle w:val="Compact"/>
              <w:jc w:val="left"/>
            </w:pPr>
            <w:r>
              <w:t xml:space="preserve">-8%</w:t>
            </w:r>
          </w:p>
        </w:tc>
        <w:tc>
          <w:tcPr/>
          <w:p>
            <w:pPr>
              <w:pStyle w:val="Compact"/>
              <w:jc w:val="center"/>
            </w:pPr>
            <w:r>
              <w:t xml:space="preserve">-28% Excesso de componentes plug-in; cancelamentos de concessionários</w:t>
            </w:r>
          </w:p>
        </w:tc>
      </w:tr>
      <w:tr>
        <w:tc>
          <w:tcPr/>
          <w:p>
            <w:pPr>
              <w:pStyle w:val="Compact"/>
            </w:pPr>
            <w:r>
              <w:t xml:space="preserve">Guinada para híbri</w:t>
            </w:r>
          </w:p>
        </w:tc>
        <w:tc>
          <w:tcPr/>
          <w:p>
            <w:pPr>
              <w:pStyle w:val="Compact"/>
            </w:pPr>
            <w:r>
              <w:t xml:space="preserve">dos Compradores evitam VEs totais, mas busc</w:t>
            </w:r>
          </w:p>
        </w:tc>
        <w:tc>
          <w:tcPr/>
          <w:p>
            <w:pPr>
              <w:pStyle w:val="Compact"/>
              <w:jc w:val="left"/>
            </w:pPr>
            <w:r>
              <w:t xml:space="preserve">am economia de comb</w:t>
            </w:r>
          </w:p>
        </w:tc>
        <w:tc>
          <w:tcPr/>
          <w:p>
            <w:pPr>
              <w:pStyle w:val="Compact"/>
              <w:jc w:val="left"/>
            </w:pPr>
            <w:r>
              <w:t xml:space="preserve">ustível +15%</w:t>
            </w:r>
          </w:p>
        </w:tc>
        <w:tc>
          <w:tcPr/>
          <w:p>
            <w:pPr>
              <w:pStyle w:val="Compact"/>
              <w:jc w:val="center"/>
            </w:pPr>
            <w:r>
              <w:t xml:space="preserve">+5% Demanda por motores, inversores e baterias sobe em conjunto</w:t>
            </w:r>
          </w:p>
        </w:tc>
      </w:tr>
    </w:tbl>
    <w:p>
      <w:pPr>
        <w:pStyle w:val="BodyText"/>
      </w:pPr>
      <w:r>
        <w:t xml:space="preserve">O plano de produção atual previa 15.900 veículos ao longo do horizonte de 16 semanas. A disponibilidade confirmada de componentes suportava apenas 13.750 unidades sem intervenção. O departamento de compras propôs $18,6 milhões em pedidos acelerados e frete premium. A manufatura propôs reordenar a sequência de produção em torno das peças disponíveis, aceitando produção semanal menor, mas evitando logística de emergência. Vendas queria que a Aurora priorizasse pedidos de concessionários em regiões com preços altos de gasolina e prometesse datas de entrega imediatamente. O financeiro argumentou que a Aurora não deveria comprometer componentes escassos até entender melhor os cancelamentos após a mudança no crédito fiscal.</w:t>
      </w:r>
    </w:p>
    <w:tbl>
      <w:tblPr>
        <w:tblStyle w:val="Table"/>
        <w:tblW w:type="pct" w:w="4943"/>
        <w:tblLayout w:type="fixed"/>
        <w:tblLook w:firstRow="1" w:lastRow="0" w:firstColumn="0" w:lastColumn="0" w:noHBand="0" w:noVBand="0" w:val="0020"/>
      </w:tblPr>
      <w:tblGrid>
        <w:gridCol w:w="1855"/>
        <w:gridCol w:w="2036"/>
        <w:gridCol w:w="1855"/>
        <w:gridCol w:w="2081"/>
      </w:tblGrid>
      <w:tr>
        <w:trPr>
          <w:tblHeader w:val="on"/>
        </w:trPr>
        <w:tc>
          <w:tcPr/>
          <w:p>
            <w:pPr>
              <w:pStyle w:val="Compact"/>
              <w:jc w:val="left"/>
            </w:pPr>
            <w:r>
              <w:t xml:space="preserve">Resposta proposta</w:t>
            </w:r>
          </w:p>
        </w:tc>
        <w:tc>
          <w:tcPr/>
          <w:p>
            <w:pPr>
              <w:pStyle w:val="Compact"/>
              <w:jc w:val="left"/>
            </w:pPr>
            <w:r>
              <w:t xml:space="preserve">Caixa/custo imediato</w:t>
            </w:r>
          </w:p>
        </w:tc>
        <w:tc>
          <w:tcPr/>
          <w:p>
            <w:pPr>
              <w:pStyle w:val="Compact"/>
              <w:jc w:val="center"/>
            </w:pPr>
            <w:r>
              <w:t xml:space="preserve">Vantagem potencial</w:t>
            </w:r>
          </w:p>
        </w:tc>
        <w:tc>
          <w:tcPr/>
          <w:p>
            <w:pPr>
              <w:pStyle w:val="Compact"/>
              <w:jc w:val="left"/>
            </w:pPr>
            <w:r>
              <w:t xml:space="preserve">Preocupação principal</w:t>
            </w:r>
          </w:p>
        </w:tc>
      </w:tr>
      <w:tr>
        <w:tc>
          <w:tcPr/>
          <w:p>
            <w:pPr>
              <w:pStyle w:val="Compact"/>
              <w:jc w:val="left"/>
            </w:pPr>
            <w:r>
              <w:t xml:space="preserve">Comprar e acelerar componentes importados</w:t>
            </w:r>
          </w:p>
        </w:tc>
        <w:tc>
          <w:tcPr/>
          <w:p>
            <w:pPr>
              <w:pStyle w:val="Compact"/>
              <w:jc w:val="left"/>
            </w:pPr>
            <w:r>
              <w:t xml:space="preserve">$18,6M em compromisso; $3,4M em frete</w:t>
            </w:r>
          </w:p>
        </w:tc>
        <w:tc>
          <w:tcPr/>
          <w:p>
            <w:pPr>
              <w:pStyle w:val="Compact"/>
              <w:jc w:val="center"/>
            </w:pPr>
            <w:r>
              <w:t xml:space="preserve">premium Protege a produção e o atendime</w:t>
            </w:r>
          </w:p>
        </w:tc>
        <w:tc>
          <w:tcPr/>
          <w:p>
            <w:pPr>
              <w:pStyle w:val="Compact"/>
              <w:jc w:val="left"/>
            </w:pPr>
            <w:r>
              <w:t xml:space="preserve">nto aos concessionários Tarifas ou demanda podem mudar antes da chegada</w:t>
            </w:r>
          </w:p>
        </w:tc>
      </w:tr>
      <w:tr>
        <w:tc>
          <w:tcPr/>
          <w:p>
            <w:pPr>
              <w:pStyle w:val="Compact"/>
              <w:jc w:val="left"/>
            </w:pPr>
            <w:r>
              <w:t xml:space="preserve">Construir veículos incompletos</w:t>
            </w:r>
          </w:p>
        </w:tc>
        <w:tc>
          <w:tcPr/>
          <w:p>
            <w:pPr>
              <w:pStyle w:val="Compact"/>
              <w:jc w:val="left"/>
            </w:pPr>
            <w:r>
              <w:t xml:space="preserve">$6,2M em capital de giro temporário</w:t>
            </w:r>
          </w:p>
        </w:tc>
        <w:tc>
          <w:tcPr/>
          <w:p>
            <w:pPr>
              <w:pStyle w:val="Compact"/>
              <w:jc w:val="center"/>
            </w:pPr>
            <w:r>
              <w:t xml:space="preserve">Mantém mão de obra e oficina de carrocer</w:t>
            </w:r>
          </w:p>
        </w:tc>
        <w:tc>
          <w:tcPr/>
          <w:p>
            <w:pPr>
              <w:pStyle w:val="Compact"/>
              <w:jc w:val="left"/>
            </w:pPr>
            <w:r>
              <w:t xml:space="preserve">ia utilizadas Retrabalho, armazenamento e risco de qualidade</w:t>
            </w:r>
          </w:p>
        </w:tc>
      </w:tr>
      <w:tr>
        <w:tc>
          <w:tcPr/>
          <w:p>
            <w:pPr>
              <w:pStyle w:val="Compact"/>
              <w:jc w:val="left"/>
            </w:pPr>
            <w:r>
              <w:t xml:space="preserve">Realocar componentes por margem/região</w:t>
            </w:r>
          </w:p>
        </w:tc>
        <w:tc>
          <w:tcPr/>
          <w:p>
            <w:pPr>
              <w:pStyle w:val="Compact"/>
              <w:jc w:val="left"/>
            </w:pPr>
            <w:r>
              <w:t xml:space="preserve">Baixo custo direto</w:t>
            </w:r>
          </w:p>
        </w:tc>
        <w:tc>
          <w:tcPr/>
          <w:p>
            <w:pPr>
              <w:pStyle w:val="Compact"/>
              <w:jc w:val="center"/>
            </w:pPr>
            <w:r>
              <w:t xml:space="preserve">Combina o suprimento escasso ao valor</w:t>
            </w:r>
          </w:p>
        </w:tc>
        <w:tc>
          <w:tcPr/>
          <w:p>
            <w:pPr>
              <w:pStyle w:val="Compact"/>
              <w:jc w:val="left"/>
            </w:pPr>
            <w:r>
              <w:t xml:space="preserve">atual Equidade entre concessionários e erro de previsão</w:t>
            </w:r>
          </w:p>
        </w:tc>
      </w:tr>
      <w:tr>
        <w:tc>
          <w:tcPr/>
          <w:p>
            <w:pPr>
              <w:pStyle w:val="Compact"/>
              <w:jc w:val="left"/>
            </w:pPr>
            <w:r>
              <w:t xml:space="preserve">Reduzir o plano de produção</w:t>
            </w:r>
          </w:p>
        </w:tc>
        <w:tc>
          <w:tcPr/>
          <w:p>
            <w:pPr>
              <w:pStyle w:val="Compact"/>
              <w:jc w:val="left"/>
            </w:pPr>
            <w:r>
              <w:t xml:space="preserve">Margem de contribuição perdida</w:t>
            </w:r>
          </w:p>
        </w:tc>
        <w:tc>
          <w:tcPr/>
          <w:p>
            <w:pPr>
              <w:pStyle w:val="Compact"/>
              <w:jc w:val="center"/>
            </w:pPr>
            <w:r>
              <w:t xml:space="preserve">Limita estoque e exposição tarifária</w:t>
            </w:r>
          </w:p>
        </w:tc>
        <w:tc>
          <w:tcPr/>
          <w:p>
            <w:pPr>
              <w:pStyle w:val="Compact"/>
              <w:jc w:val="left"/>
            </w:pPr>
            <w:r>
              <w:t xml:space="preserve">Longas esperas de clientes; interrupção de fornecedores</w:t>
            </w:r>
          </w:p>
        </w:tc>
      </w:tr>
      <w:tr>
        <w:tc>
          <w:tcPr/>
          <w:p>
            <w:pPr>
              <w:pStyle w:val="Compact"/>
              <w:jc w:val="left"/>
            </w:pPr>
            <w:r>
              <w:t xml:space="preserve">Dupla fonte e redesenho A</w:t>
            </w:r>
          </w:p>
        </w:tc>
        <w:tc>
          <w:tcPr/>
          <w:p>
            <w:pPr>
              <w:pStyle w:val="Compact"/>
              <w:jc w:val="left"/>
            </w:pPr>
            <w:r>
              <w:t xml:space="preserve">té $42M ao longo de 18 meses</w:t>
            </w:r>
          </w:p>
        </w:tc>
        <w:tc>
          <w:tcPr/>
          <w:p>
            <w:pPr>
              <w:pStyle w:val="Compact"/>
              <w:jc w:val="center"/>
            </w:pPr>
            <w:r>
              <w:t xml:space="preserve">Resiliência de longo prazo e conteúdo l</w:t>
            </w:r>
          </w:p>
        </w:tc>
        <w:tc>
          <w:tcPr/>
          <w:p>
            <w:pPr>
              <w:pStyle w:val="Compact"/>
              <w:jc w:val="left"/>
            </w:pPr>
            <w:r>
              <w:t xml:space="preserve">ocal Muito lento para o backlog atual</w:t>
            </w:r>
          </w:p>
        </w:tc>
      </w:tr>
    </w:tbl>
    <w:bookmarkEnd w:id="12"/>
    <w:bookmarkStart w:id="13" w:name="Xfc2d634d29c3a6fec9afe57762d415b09080d9b"/>
    <w:p>
      <w:pPr>
        <w:pStyle w:val="Heading1"/>
      </w:pPr>
      <w:r>
        <w:t xml:space="preserve">Um Problema de Coordenação, Não Quatro Previsões Separadas</w:t>
      </w:r>
    </w:p>
    <w:p>
      <w:pPr>
        <w:pStyle w:val="FirstParagraph"/>
      </w:pPr>
      <w:r>
        <w:t xml:space="preserve">Chen acreditava que os departamentos da Aurora estavam otimizando versões diferentes do problema. Compras media a disponibilidade de peças e a variância do preço de compra. A manufatura media a utilização da linha e os veículos concluídos. A logística media o frete premium e o desempenho de entrega. Vendas media pedidos e taxas de atendimento aos concessionários. O financeiro media caixa, margem e estoque. Nenhum departamento era dono da decisão combinada, do comprometimento de componentes até a entrega ao cliente.</w:t>
      </w:r>
    </w:p>
    <w:p>
      <w:pPr>
        <w:pStyle w:val="BodyText"/>
      </w:pPr>
      <w:r>
        <w:t xml:space="preserve">Vários gerentes propuseram uma reunião semanal de</w:t>
      </w:r>
      <w:r>
        <w:t xml:space="preserve"> </w:t>
      </w:r>
      <w:r>
        <w:t xml:space="preserve">“torre de controle”</w:t>
      </w:r>
      <w:r>
        <w:t xml:space="preserve">. Outros argumentaram que uma reunião não resolveria o problema subjacente: a Aurora precisava de um modelo de decisão que representasse conjuntamente os prazos de entrada, tarifas, restrições de produção, cancelamentos incertos, demanda regional e capacidade de saída. As informações necessárias para tal modelo estavam incompletas. Os prazos de entrega dos fornecedores eram informados como números únicos, mesmo quando suas distribuições eram altamente assimétricas. Os pedidos de concessionários podiam ser cancelados sem penalidade. As classificações tarifárias eram às vezes contestadas após a entrada. As previsões de preço da gasolina não forneciam nenhum aviso confiável de choques geopolíticos.</w:t>
      </w:r>
    </w:p>
    <w:bookmarkEnd w:id="13"/>
    <w:bookmarkStart w:id="14" w:name="a-reunião"/>
    <w:p>
      <w:pPr>
        <w:pStyle w:val="Heading1"/>
      </w:pPr>
      <w:r>
        <w:t xml:space="preserve">A Reunião</w:t>
      </w:r>
    </w:p>
    <w:p>
      <w:pPr>
        <w:pStyle w:val="FirstParagraph"/>
      </w:pPr>
      <w:r>
        <w:t xml:space="preserve">Às 16h, Chen escreveu cinco números no quadro: 3.800 pedidos de clientes; 2,6 semanas de módulos de controle; $18,6 milhões em compromissos propostos; 16 semanas de demanda incerta; e uma promessa de entrega de oito semanas. O diretor executivo queria uma recomendação até sexta-feira. Ele não pediu uma previsão. Ele perguntou o que a Aurora deveria fazer agora, quais informações deveria coletar em seguida, e quais compromissos deveriam permanecer reversíveis.</w:t>
      </w:r>
    </w:p>
    <w:p>
      <w:pPr>
        <w:pStyle w:val="BodyText"/>
      </w:pPr>
      <w:r>
        <w:t xml:space="preserve">Chen não via uma separação limpa entre oferta e demanda. Pedir mais células de bateria poderia proteger as entregas em um pico de preço de combustível, mas também poderia criar estoque encalhado se as tarifas aumentassem ou a demanda por plug-in enfraquecesse. Cortar a produção poderia conservar caixa, mas poderia entregar o mercado justamente quando os compradores mudassem para híbridos. Alocar veículos escassos para as regiões de maior margem poderia melhorar o lucro de curto prazo enquanto prejudicava relacionamentos com concessionários em outros lugares. Redesenhar a cadeia de suprimentos poderia reduzir a exposição futura, mas não preencheria os pedidos já no sistema.</w:t>
      </w:r>
    </w:p>
    <w:p>
      <w:pPr>
        <w:pStyle w:val="BodyText"/>
      </w:pPr>
      <w:r>
        <w:t xml:space="preserve">A equipe executiva teria que escolher uma postura operacional antes de saber qual versão do mercado enfrentaria.</w:t>
      </w:r>
    </w:p>
    <w:bookmarkEnd w:id="14"/>
    <w:bookmarkStart w:id="15" w:name="questões-de-discussão"/>
    <w:p>
      <w:pPr>
        <w:pStyle w:val="Heading1"/>
      </w:pPr>
      <w:r>
        <w:t xml:space="preserve">Questões de Discussão</w:t>
      </w:r>
    </w:p>
    <w:p>
      <w:pPr>
        <w:numPr>
          <w:ilvl w:val="0"/>
          <w:numId w:val="1001"/>
        </w:numPr>
      </w:pPr>
      <w:r>
        <w:t xml:space="preserve">Quais são as principais métricas de desempenho neste caso? Quais métricas entram em conflito umas com as outras?</w:t>
      </w:r>
    </w:p>
    <w:p>
      <w:pPr>
        <w:numPr>
          <w:ilvl w:val="0"/>
          <w:numId w:val="1001"/>
        </w:numPr>
      </w:pPr>
      <w:r>
        <w:t xml:space="preserve">Quais decisões a Aurora deve tomar agora, e quais decisões podem ser adiadas até que mais informações cheguem?</w:t>
      </w:r>
    </w:p>
    <w:p>
      <w:pPr>
        <w:numPr>
          <w:ilvl w:val="0"/>
          <w:numId w:val="1001"/>
        </w:numPr>
      </w:pPr>
      <w:r>
        <w:t xml:space="preserve">Como a Aurora deve conectar compras de entrada, sequenciamento de produção, posicionamento de estoque, alocação a concessionários e promessas de entrega ao cliente?</w:t>
      </w:r>
    </w:p>
    <w:p>
      <w:pPr>
        <w:numPr>
          <w:ilvl w:val="0"/>
          <w:numId w:val="1001"/>
        </w:numPr>
      </w:pPr>
      <w:r>
        <w:t xml:space="preserve">Quais incertezas são exógenas, e quais a Aurora pode influenciar por meio de contratos, design de produto, coleta de informação ou políticas de clientes?</w:t>
      </w:r>
    </w:p>
    <w:p>
      <w:pPr>
        <w:numPr>
          <w:ilvl w:val="0"/>
          <w:numId w:val="1001"/>
        </w:numPr>
      </w:pPr>
      <w:r>
        <w:t xml:space="preserve">Quais dados seriam mais valiosos antes de sexta-feira? Quais informações seriam úteis, mas chegariam tarde demais?</w:t>
      </w:r>
    </w:p>
    <w:p>
      <w:pPr>
        <w:numPr>
          <w:ilvl w:val="0"/>
          <w:numId w:val="1001"/>
        </w:numPr>
      </w:pPr>
      <w:r>
        <w:t xml:space="preserve">Como a Aurora deveria avaliar as cinco respostas propostas quando nenhuma domina em todos os cenários?</w:t>
      </w:r>
    </w:p>
    <w:p>
      <w:pPr>
        <w:numPr>
          <w:ilvl w:val="0"/>
          <w:numId w:val="1001"/>
        </w:numPr>
      </w:pPr>
      <w:r>
        <w:t xml:space="preserve">Quais mudanças organizacionais podem ser necessárias mesmo que a Aurora desenvolva um modelo de planejamento sofisticado?</w:t>
      </w:r>
    </w:p>
    <w:bookmarkEnd w:id="15"/>
    <w:bookmarkStart w:id="21" w:name="questões-de-enquadramento-de-decisão"/>
    <w:p>
      <w:pPr>
        <w:pStyle w:val="Heading1"/>
      </w:pPr>
      <w:r>
        <w:t xml:space="preserve">Questões de Enquadramento de Decisão</w:t>
      </w:r>
    </w:p>
    <w:p>
      <w:pPr>
        <w:numPr>
          <w:ilvl w:val="0"/>
          <w:numId w:val="1002"/>
        </w:numPr>
      </w:pPr>
      <w:r>
        <w:t xml:space="preserve">Identifique e descreva as responsabilidades do tomador de decisão. Isso deve definir o escopo do problema.</w:t>
      </w:r>
    </w:p>
    <w:p>
      <w:pPr>
        <w:numPr>
          <w:ilvl w:val="0"/>
          <w:numId w:val="1002"/>
        </w:numPr>
      </w:pPr>
      <w:r>
        <w:t xml:space="preserve">Use a</w:t>
      </w:r>
      <w:r>
        <w:t xml:space="preserve"> </w:t>
      </w:r>
      <w:hyperlink r:id="rId16">
        <w:r>
          <w:rPr>
            <w:rStyle w:val="Hyperlink"/>
          </w:rPr>
          <w:t xml:space="preserve">ferramenta de pirâmide de métricas</w:t>
        </w:r>
      </w:hyperlink>
      <w:r>
        <w:t xml:space="preserve"> </w:t>
      </w:r>
      <w:r>
        <w:t xml:space="preserve">para identificar e priorizar as diferentes métricas de desempenho. Clique na oval que contém a métrica para identificar se é uma métrica a ser maximizada (verde), minimizada (vermelha), uma meta que é um piso (verde claro) ou um teto (vermelho claro), ou finalmente um alvo (roxo).</w:t>
      </w:r>
    </w:p>
    <w:p>
      <w:pPr>
        <w:numPr>
          <w:ilvl w:val="0"/>
          <w:numId w:val="1002"/>
        </w:numPr>
      </w:pPr>
      <w:r>
        <w:t xml:space="preserve">Use a</w:t>
      </w:r>
      <w:r>
        <w:t xml:space="preserve"> </w:t>
      </w:r>
      <w:hyperlink r:id="rId17">
        <w:r>
          <w:rPr>
            <w:rStyle w:val="Hyperlink"/>
          </w:rPr>
          <w:t xml:space="preserve">ferramenta de priorização de decisões</w:t>
        </w:r>
      </w:hyperlink>
      <w:r>
        <w:t xml:space="preserve"> </w:t>
      </w:r>
      <w:r>
        <w:t xml:space="preserve">para primeiro listar os diferentes tipos de decisões (use os</w:t>
      </w:r>
      <w:r>
        <w:t xml:space="preserve"> </w:t>
      </w:r>
      <w:hyperlink r:id="rId18">
        <w:r>
          <w:rPr>
            <w:rStyle w:val="Hyperlink"/>
          </w:rPr>
          <w:t xml:space="preserve">tipos de decisões</w:t>
        </w:r>
      </w:hyperlink>
      <w:r>
        <w:t xml:space="preserve"> </w:t>
      </w:r>
      <w:r>
        <w:t xml:space="preserve">como guia). Estes irão então preencher as linhas da matriz à direita, onde as colunas são as métricas de desempenho ordenadas da esquerda para a direita pela prioridade na pirâmide acima. Clique em cada célula para indicar se o impacto da decisão em cada métrica é alto (vermelho), médio (laranja), baixo (amarelo) ou nenhum (branco).</w:t>
      </w:r>
    </w:p>
    <w:p>
      <w:pPr>
        <w:numPr>
          <w:ilvl w:val="0"/>
          <w:numId w:val="1002"/>
        </w:numPr>
      </w:pPr>
      <w:r>
        <w:t xml:space="preserve">Você pode pegar a alça (três barras) mais à esquerda em cada linha para movê-la para cima ou para baixo. Ordene as linhas de forma que as decisões com o maior impacto nas métricas mais importantes fiquem em direção ao topo. As células no canto superior esquerdo devem ter a maior concentração de células vermelhas e laranjas. Neste ponto, identifique as decisões que devem receber mais atenção em seu estudo. Se você não tiver decisões com impacto médio ou alto nas métricas mais importantes, revise sua lista de decisões.</w:t>
      </w:r>
    </w:p>
    <w:p>
      <w:pPr>
        <w:numPr>
          <w:ilvl w:val="0"/>
          <w:numId w:val="1002"/>
        </w:numPr>
      </w:pPr>
      <w:r>
        <w:t xml:space="preserve">Repita o processo para listar e priorizar as incertezas usando a</w:t>
      </w:r>
      <w:r>
        <w:t xml:space="preserve"> </w:t>
      </w:r>
      <w:hyperlink r:id="rId19">
        <w:r>
          <w:rPr>
            <w:rStyle w:val="Hyperlink"/>
          </w:rPr>
          <w:t xml:space="preserve">ferramenta de priorização de incertezas</w:t>
        </w:r>
      </w:hyperlink>
      <w:r>
        <w:t xml:space="preserve">. Use as</w:t>
      </w:r>
      <w:r>
        <w:t xml:space="preserve"> </w:t>
      </w:r>
      <w:hyperlink r:id="rId20">
        <w:r>
          <w:rPr>
            <w:rStyle w:val="Hyperlink"/>
          </w:rPr>
          <w:t xml:space="preserve">categorias de incerteza</w:t>
        </w:r>
      </w:hyperlink>
      <w:r>
        <w:t xml:space="preserve"> </w:t>
      </w:r>
      <w:r>
        <w:t xml:space="preserve">para ajudá-lo a identificá-las.</w:t>
      </w:r>
    </w:p>
    <w:p>
      <w:pPr>
        <w:numPr>
          <w:ilvl w:val="0"/>
          <w:numId w:val="1002"/>
        </w:numPr>
      </w:pPr>
      <w:r>
        <w:t xml:space="preserve">É importante diferenciar incertezas que podem ser avaliadas em média, ou como eventos de risco:</w:t>
      </w:r>
    </w:p>
    <w:p>
      <w:pPr>
        <w:numPr>
          <w:ilvl w:val="1"/>
          <w:numId w:val="1003"/>
        </w:numPr>
      </w:pPr>
      <w:r>
        <w:t xml:space="preserve">Quais fontes de incerteza seriam capturadas usando o desempenho médio ao longo do tempo?</w:t>
      </w:r>
    </w:p>
    <w:p>
      <w:pPr>
        <w:numPr>
          <w:ilvl w:val="1"/>
          <w:numId w:val="1003"/>
        </w:numPr>
      </w:pPr>
      <w:r>
        <w:t xml:space="preserve">Quais fontes de incerteza representam formas de risco que não são adequadamente capturadas usando médias?</w:t>
      </w:r>
    </w:p>
    <w:p>
      <w:pPr>
        <w:numPr>
          <w:ilvl w:val="0"/>
          <w:numId w:val="1002"/>
        </w:numPr>
      </w:pPr>
      <w:r>
        <w:t xml:space="preserve">Escolha a única decisão que parece ter o maior impacto na métrica mais importante.</w:t>
      </w:r>
    </w:p>
    <w:p>
      <w:pPr>
        <w:numPr>
          <w:ilvl w:val="1"/>
          <w:numId w:val="1004"/>
        </w:numPr>
      </w:pPr>
      <w:r>
        <w:t xml:space="preserve">Que abordagem você acha que usaria para tomar essa decisão?</w:t>
      </w:r>
    </w:p>
    <w:p>
      <w:pPr>
        <w:numPr>
          <w:ilvl w:val="1"/>
          <w:numId w:val="1004"/>
        </w:numPr>
      </w:pPr>
      <w:r>
        <w:t xml:space="preserve">Quais dados parecem ser necessários para tomar essa decisão, incluindo o cálculo de quaisquer métricas de desempenho em que a decisão teria um impacto alto ou médio.</w:t>
      </w:r>
    </w:p>
    <w:p>
      <w:pPr>
        <w:numPr>
          <w:ilvl w:val="0"/>
          <w:numId w:val="1002"/>
        </w:numPr>
      </w:pPr>
      <w:r>
        <w:t xml:space="preserve">Usando a mesma decisão que você identificou em (7), identifique as pessoas, departamentos, grupos ou organizações com os quais você precisaria trabalhar para implementar a decisão.</w:t>
      </w:r>
    </w:p>
    <w:bookmarkEnd w:id="21"/>
    <w:bookmarkStart w:id="22" w:name="notas-de-fonte-para-contexto-histórico"/>
    <w:p>
      <w:pPr>
        <w:pStyle w:val="Heading1"/>
      </w:pPr>
      <w:r>
        <w:t xml:space="preserve">Notas de Fonte para Contexto Histórico</w:t>
      </w:r>
    </w:p>
    <w:p>
      <w:pPr>
        <w:pStyle w:val="FirstParagraph"/>
      </w:pPr>
      <w:r>
        <w:t xml:space="preserve">U.S. Energy Information Administration,</w:t>
      </w:r>
      <w:r>
        <w:t xml:space="preserve"> </w:t>
      </w:r>
      <w:r>
        <w:t xml:space="preserve">“Cushing, OK WTI Spot Price FOB,”</w:t>
      </w:r>
      <w:r>
        <w:t xml:space="preserve"> </w:t>
      </w:r>
      <w:r>
        <w:t xml:space="preserve">série anual (acessado em julho de 2026).</w:t>
      </w:r>
    </w:p>
    <w:p>
      <w:pPr>
        <w:pStyle w:val="BodyText"/>
      </w:pPr>
      <w:r>
        <w:t xml:space="preserve">U.S. Department of Energy, Vehicle Technologies Office,</w:t>
      </w:r>
      <w:r>
        <w:t xml:space="preserve"> </w:t>
      </w:r>
      <w:r>
        <w:t xml:space="preserve">“Electric Vehicle Battery Pack Costs for a Light-Duty Vehicle in 2023 Are 90% Lower than in 2008,”</w:t>
      </w:r>
      <w:r>
        <w:t xml:space="preserve"> </w:t>
      </w:r>
      <w:r>
        <w:t xml:space="preserve">5 de agosto de 2024.</w:t>
      </w:r>
    </w:p>
    <w:p>
      <w:pPr>
        <w:pStyle w:val="BodyText"/>
      </w:pPr>
      <w:r>
        <w:t xml:space="preserve">Office of the U.S. Trade Representative, modificações da tarifa da Seção 301, maio e setembro de 2024.</w:t>
      </w:r>
    </w:p>
    <w:p>
      <w:pPr>
        <w:pStyle w:val="BodyText"/>
      </w:pPr>
      <w:r>
        <w:t xml:space="preserve">Casa Branca, Proclamação 10908 e emendas relativas a importações de automóveis e peças de automóveis, março-abril de 2025; declarações do marco comercial EUA-UE, julho-agosto de 2025.</w:t>
      </w:r>
    </w:p>
    <w:p>
      <w:pPr>
        <w:pStyle w:val="BodyText"/>
      </w:pPr>
      <w:r>
        <w:t xml:space="preserve">Internal Revenue Service,</w:t>
      </w:r>
      <w:r>
        <w:t xml:space="preserve"> </w:t>
      </w:r>
      <w:r>
        <w:t xml:space="preserve">“Credits for New Clean Vehicles Purchased in 2023 or After”</w:t>
      </w:r>
      <w:r>
        <w:t xml:space="preserve"> </w:t>
      </w:r>
      <w:r>
        <w:t xml:space="preserve">e instruções do Formulário 8936 de 2025.</w:t>
      </w:r>
    </w:p>
    <w:p>
      <w:pPr>
        <w:pStyle w:val="BodyText"/>
      </w:pPr>
      <w:r>
        <w:t xml:space="preserve">AAA, pesquisas anuais de consumidores de veículos elétricos, 2024 e 2025.</w:t>
      </w:r>
    </w:p>
    <w:p>
      <w:pPr>
        <w:pStyle w:val="BodyText"/>
      </w:pPr>
      <w:r>
        <w:rPr>
          <w:b/>
          <w:bCs/>
        </w:rPr>
        <w:t xml:space="preserve">Nota do caso:</w:t>
      </w:r>
      <w:r>
        <w:t xml:space="preserve"> </w:t>
      </w:r>
      <w:r>
        <w:t xml:space="preserve">Aurora Motors, seus funcionários, produtos, fornecedores, concessionários, pedidos, custos, previsões e dados operacionais são fictícios. Dados históricos são incluídos exclusivamente para estabelecer um ambiente de decisão realista. O caso intencionalmente não prescreve uma solução.</w:t>
      </w:r>
    </w:p>
    <w:bookmarkEnd w:id="22"/>
    <w:bookmarkStart w:id="25" w:name="notas-do-chatgpt"/>
    <w:p>
      <w:pPr>
        <w:pStyle w:val="Heading1"/>
      </w:pPr>
      <w:r>
        <w:t xml:space="preserve">Notas do ChatGPT</w:t>
      </w:r>
    </w:p>
    <w:bookmarkStart w:id="23" w:name="prompt"/>
    <w:p>
      <w:pPr>
        <w:pStyle w:val="Heading2"/>
      </w:pPr>
      <w:r>
        <w:t xml:space="preserve">Prompt</w:t>
      </w:r>
    </w:p>
    <w:p>
      <w:pPr>
        <w:pStyle w:val="FirstParagraph"/>
      </w:pPr>
      <w:r>
        <w:t xml:space="preserve">gerar um estudo de caso em torno do tema de uma empresa de manufatura que está tentando coordenar fluxos de entrada com o processo de manufatura e entregas a clientes. O produto são veículos elétricos híbridos que estão sujeitos a tarifas sobre peças da Ásia e da Europa, bem como a mudanças em políticas de descontos fiscais que às vezes estão disponíveis do governo federal, mas que podem ser retiradas. Outro fator são as mudanças nos preços da gasolina, que também estão sujeitas a problemas internacionais, como escassez esporádica resultante de guerras com nações produtoras. Tente incluir alguns dados históricos sobre preços do petróleo, o custo das baterias e tarifas, bem como mudanças nas atitudes dos clientes.</w:t>
      </w:r>
    </w:p>
    <w:bookmarkEnd w:id="23"/>
    <w:bookmarkStart w:id="24" w:name="resumo"/>
    <w:p>
      <w:pPr>
        <w:pStyle w:val="Heading2"/>
      </w:pPr>
      <w:r>
        <w:t xml:space="preserve">Resumo</w:t>
      </w:r>
    </w:p>
    <w:p>
      <w:pPr>
        <w:pStyle w:val="FirstParagraph"/>
      </w:pPr>
      <w:r>
        <w:t xml:space="preserve">O caso examina como um fabricante fictício de veículos híbridos deve coordenar componentes importados, sequenciamento de produção, estoque, alocação a concessionários e promessas de entrega ao cliente em meio a:</w:t>
      </w:r>
    </w:p>
    <w:p>
      <w:pPr>
        <w:numPr>
          <w:ilvl w:val="0"/>
          <w:numId w:val="1005"/>
        </w:numPr>
      </w:pPr>
      <w:r>
        <w:t xml:space="preserve">Tarifas sobre baterias asiáticas e componentes eletrônicos e peças automotivas europeias</w:t>
      </w:r>
    </w:p>
    <w:p>
      <w:pPr>
        <w:numPr>
          <w:ilvl w:val="0"/>
          <w:numId w:val="1005"/>
        </w:numPr>
      </w:pPr>
      <w:r>
        <w:t xml:space="preserve">Mudanças nos incentivos fiscais federais para veículos limpos</w:t>
      </w:r>
    </w:p>
    <w:p>
      <w:pPr>
        <w:numPr>
          <w:ilvl w:val="0"/>
          <w:numId w:val="1005"/>
        </w:numPr>
      </w:pPr>
      <w:r>
        <w:t xml:space="preserve">Volatilidade nos preços do petróleo e da gasolina causada por interrupções geopolíticas</w:t>
      </w:r>
    </w:p>
    <w:p>
      <w:pPr>
        <w:numPr>
          <w:ilvl w:val="0"/>
          <w:numId w:val="1005"/>
        </w:numPr>
      </w:pPr>
      <w:r>
        <w:t xml:space="preserve">Queda nos custos das baterias</w:t>
      </w:r>
    </w:p>
    <w:p>
      <w:pPr>
        <w:numPr>
          <w:ilvl w:val="0"/>
          <w:numId w:val="1005"/>
        </w:numPr>
      </w:pPr>
      <w:r>
        <w:t xml:space="preserve">Mudanças no interesse do consumidor entre veículos a gasolina, híbridos, híbridos plug-in e totalmente elétricos</w:t>
      </w:r>
    </w:p>
    <w:p>
      <w:pPr>
        <w:numPr>
          <w:ilvl w:val="0"/>
          <w:numId w:val="1005"/>
        </w:numPr>
      </w:pPr>
      <w:r>
        <w:t xml:space="preserve">Longos prazos de entrega de entrada e cancelamentos incertos de clientes</w:t>
      </w:r>
    </w:p>
    <w:p>
      <w:pPr>
        <w:pStyle w:val="FirstParagraph"/>
      </w:pPr>
      <w:r>
        <w:t xml:space="preserve">Inclui dados históricos de preços do petróleo e custos de baterias, histórico de tarifas e incentivos, cenários alternativos de demanda, opções de resposta operacional, exibições quantitativas e questões de discussão. Nenhuma solução preferida é identificada. O contexto histórico é baseado em fontes da EIA, do Departamento de Energia, da USTR, do IRS, da Casa Branca e da AAA.</w:t>
      </w:r>
    </w:p>
    <w:bookmarkEnd w:id="24"/>
    <w:bookmarkEnd w:id="25"/>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711">
    <w:nsid w:val="00A99711"/>
    <w:multiLevelType w:val="multilevel"/>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Letter"/>
      <w:lvlText w:val="%3."/>
      <w:lvlJc w:val="left"/>
      <w:pPr>
        <w:ind w:left="2160" w:hanging="360"/>
      </w:pPr>
    </w:lvl>
    <w:lvl w:ilvl="3">
      <w:start w:val="1"/>
      <w:numFmt w:val="lowerLetter"/>
      <w:lvlText w:val="%4."/>
      <w:lvlJc w:val="left"/>
      <w:pPr>
        <w:ind w:left="2880" w:hanging="360"/>
      </w:pPr>
    </w:lvl>
    <w:lvl w:ilvl="4">
      <w:start w:val="1"/>
      <w:numFmt w:val="lowerLetter"/>
      <w:lvlText w:val="%5."/>
      <w:lvlJc w:val="left"/>
      <w:pPr>
        <w:ind w:left="3600" w:hanging="360"/>
      </w:pPr>
    </w:lvl>
    <w:lvl w:ilvl="5">
      <w:start w:val="1"/>
      <w:numFmt w:val="lowerLetter"/>
      <w:lvlText w:val="%6."/>
      <w:lvlJc w:val="left"/>
      <w:pPr>
        <w:ind w:left="4320" w:hanging="360"/>
      </w:pPr>
    </w:lvl>
    <w:lvl w:ilvl="6">
      <w:start w:val="1"/>
      <w:numFmt w:val="lowerLetter"/>
      <w:lvlText w:val="%7."/>
      <w:lvlJc w:val="left"/>
      <w:pPr>
        <w:ind w:left="5040" w:hanging="360"/>
      </w:pPr>
    </w:lvl>
    <w:lvl w:ilvl="7">
      <w:start w:val="1"/>
      <w:numFmt w:val="lowerLetter"/>
      <w:lvlText w:val="%8."/>
      <w:lvlJc w:val="left"/>
      <w:pPr>
        <w:ind w:left="5760" w:hanging="360"/>
      </w:pPr>
    </w:lvl>
    <w:lvl w:ilvl="8">
      <w:start w:val="1"/>
      <w:numFmt w:val="lowerLetter"/>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7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7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hyperlink" Id="rId17" Target="https://warrenpowell.org/decision-framing-tool/#decision-prioritization-tool" TargetMode="External" /><Relationship Type="http://schemas.openxmlformats.org/officeDocument/2006/relationships/hyperlink" Id="rId16" Target="https://warrenpowell.org/decision-framing-tool/#metrics-pyramid-tool" TargetMode="External" /><Relationship Type="http://schemas.openxmlformats.org/officeDocument/2006/relationships/hyperlink" Id="rId19" Target="https://warrenpowell.org/decision-framing-tool/#uncertainty-prioritization-tool" TargetMode="External" /><Relationship Type="http://schemas.openxmlformats.org/officeDocument/2006/relationships/hyperlink" Id="rId18" Target="https://warrenpowell.org/decisionsdecisions/#types-of-decision-settings" TargetMode="External" /><Relationship Type="http://schemas.openxmlformats.org/officeDocument/2006/relationships/hyperlink" Id="rId20" Target="https://warrenpowell.org/modeling-uncertainty/#categories" TargetMode="External" /></Relationships>
</file>

<file path=word/_rels/footnotes.xml.rels><?xml version="1.0" encoding="UTF-8"?><Relationships xmlns="http://schemas.openxmlformats.org/package/2006/relationships"><Relationship Type="http://schemas.openxmlformats.org/officeDocument/2006/relationships/hyperlink" Id="rId17" Target="https://warrenpowell.org/decision-framing-tool/#decision-prioritization-tool" TargetMode="External" /><Relationship Type="http://schemas.openxmlformats.org/officeDocument/2006/relationships/hyperlink" Id="rId16" Target="https://warrenpowell.org/decision-framing-tool/#metrics-pyramid-tool" TargetMode="External" /><Relationship Type="http://schemas.openxmlformats.org/officeDocument/2006/relationships/hyperlink" Id="rId19" Target="https://warrenpowell.org/decision-framing-tool/#uncertainty-prioritization-tool" TargetMode="External" /><Relationship Type="http://schemas.openxmlformats.org/officeDocument/2006/relationships/hyperlink" Id="rId18" Target="https://warrenpowell.org/decisionsdecisions/#types-of-decision-settings" TargetMode="External" /><Relationship Type="http://schemas.openxmlformats.org/officeDocument/2006/relationships/hyperlink" Id="rId20" Target="https://warrenpowell.org/modeling-uncertainty/#categories"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2026-09-11T16:33:34Z</dcterms:created>
  <dcterms:modified xsi:type="dcterms:W3CDTF">2026-09-11T16:33:34Z</dcterms:modified>
</cp:coreProperties>
</file>

<file path=docProps/custom.xml><?xml version="1.0" encoding="utf-8"?>
<Properties xmlns="http://schemas.openxmlformats.org/officeDocument/2006/custom-properties" xmlns:vt="http://schemas.openxmlformats.org/officeDocument/2006/docPropsVTypes"/>
</file>