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departamento-de-saúde-de-bellwether"/>
    <w:p>
      <w:pPr>
        <w:pStyle w:val="Heading1"/>
      </w:pPr>
      <w:r>
        <w:t xml:space="preserve">Departamento de Saúde de Bellwether</w:t>
      </w:r>
    </w:p>
    <w:p>
      <w:pPr>
        <w:pStyle w:val="FirstParagraph"/>
      </w:pPr>
      <w:r>
        <w:rPr>
          <w:b/>
          <w:bCs/>
        </w:rPr>
        <w:t xml:space="preserve">A Decisão dos 36.000 Kits</w:t>
      </w:r>
    </w:p>
    <w:p>
      <w:pPr>
        <w:pStyle w:val="BodyText"/>
      </w:pPr>
      <w:r>
        <w:rPr>
          <w:i/>
          <w:iCs/>
        </w:rPr>
        <w:t xml:space="preserve">Um caso de saúde pública sobre onde posicionar um suprimento limitado de reversão de overdose para que esteja mais provavelmente disponível, seja reconhecido e utilizado</w:t>
      </w:r>
    </w:p>
    <w:tbl>
      <w:tblPr>
        <w:tblStyle w:val="Table"/>
        <w:tblW w:type="auto" w:w="0"/>
        <w:tblLook w:firstRow="0" w:lastRow="0" w:firstColumn="0" w:lastColumn="0" w:noHBand="0" w:noVBand="0" w:val="0000"/>
      </w:tblPr>
      <w:tblGrid>
        <w:gridCol w:w="7920"/>
      </w:tblGrid>
      <w:tr>
        <w:tc>
          <w:tcPr/>
          <w:p>
            <w:pPr>
              <w:pStyle w:val="Compact"/>
            </w:pPr>
            <w:r>
              <w:t xml:space="preserve">Em setembro de 2026, o escritório de prevenção de overdose de Bellwether recebe menos kits de naloxona do que seus parceiros solicitaram. As mortes por overdose estão caindo em todo o estado, mas vários condados rurais e dois bairros urbanos estão se deteriorando. A agência deve alocar o carregamento, decidir quem treinar e determinar se deve reservar kits para pontos críticos emergentes que podem ainda não aparecer nos dados oficiais.</w:t>
            </w:r>
          </w:p>
        </w:tc>
      </w:tr>
    </w:tbl>
    <w:p>
      <w:r>
        <w:pict>
          <v:rect style="width:0;height:1.5pt" o:hralign="center" o:hrstd="t" o:hr="t"/>
        </w:pict>
      </w:r>
    </w:p>
    <w:p>
      <w:pPr>
        <w:pStyle w:val="FirstParagraph"/>
      </w:pPr>
      <w:r>
        <w:t xml:space="preserve">Este caso é fictício e destinado à discussão didática. Nomes, eventos e dados internos foram criados para o caso. Estatísticas públicas estão resumidas na nota de fonte.</w:t>
      </w:r>
    </w:p>
    <w:bookmarkEnd w:id="9"/>
    <w:bookmarkStart w:id="10" w:name="o-carregamento-de-sexta-feira"/>
    <w:p>
      <w:pPr>
        <w:pStyle w:val="Heading1"/>
      </w:pPr>
      <w:r>
        <w:t xml:space="preserve">O Carregamento de Sexta-feira</w:t>
      </w:r>
    </w:p>
    <w:p>
      <w:pPr>
        <w:pStyle w:val="FirstParagraph"/>
      </w:pPr>
      <w:r>
        <w:t xml:space="preserve">Às 8h10 de uma sexta-feira, a Dra. Maya Ortiz, diretora de prevenção de overdose do Departamento de Saúde de Bellwether, soube que o carregamento de outono de naloxona do estado conteria 36.000 kits de spray nasal de duas doses. Agências municipais, hospitais, serviços de emergência, programas de redução de danos, prisões, provedores de tratamento, farmácias, despensas de alimentos e organizações habitacionais haviam solicitado coletivamente 61.400 kits.</w:t>
      </w:r>
    </w:p>
    <w:p>
      <w:pPr>
        <w:pStyle w:val="BodyText"/>
      </w:pPr>
      <w:r>
        <w:t xml:space="preserve">A escassez não foi causada por uma falha de produção nacional. O financiamento federal de Bellwether havia chegado mais tarde do que o esperado, um contrato de compras estadual havia expirado durante a renovação da licitação, e a legislatura havia autorizado apenas três meses de financiamento-ponte. O departamento poderia solicitar mais kits posteriormente, mas ninguém conseguia dizer quando eles chegariam ou qual parte da fatura seria reembolsável no próximo período de subsídio.</w:t>
      </w:r>
    </w:p>
    <w:p>
      <w:pPr>
        <w:pStyle w:val="BodyText"/>
      </w:pPr>
      <w:r>
        <w:t xml:space="preserve">Ortiz precisava aprovar um plano de alocação antes do meio-dia de segunda-feira. O armazém precisava de tempo para rotular caixas, preparar materiais de treinamento e agendar entregas. Vários parceiros municipais já estavam racionando kits. Outros relataram estoque não utilizado, mas não conseguiam dizer se os kits estavam parados no armazenamento, sendo carregados por trabalhadores de campo, entregues a pessoas com maior probabilidade de testemunhar uma overdose, ou descartados após vencimento ou dano.</w:t>
      </w:r>
    </w:p>
    <w:bookmarkEnd w:id="10"/>
    <w:bookmarkStart w:id="12" w:name="X2764caf10a1650b65d25cd4b712801b22cc5cdc"/>
    <w:p>
      <w:pPr>
        <w:pStyle w:val="Heading1"/>
      </w:pPr>
      <w:r>
        <w:t xml:space="preserve">Uma Crise que Melhorava de Forma Desigual</w:t>
      </w:r>
    </w:p>
    <w:p>
      <w:pPr>
        <w:pStyle w:val="FirstParagraph"/>
      </w:pPr>
      <w:r>
        <w:t xml:space="preserve">Nacionalmente, a mortalidade por overdose havia começado a declinar após anos de crescimento devastador. Dados federais finais registraram 79.384 mortes por overdose de drogas nos EUA em 2024, uma redução de 26,2 por cento na taxa de mortalidade ajustada por idade em relação a 2023. Dados preliminares disponíveis em julho de 2026 previam 68.641 mortes para os doze meses encerrados em fevereiro de 2026, mais um declínio de 12,1 por cento em relação ao período anterior. A melhora foi substancial, mas o total permaneceu alto e o suprimento ilegal de drogas continuou a mudar.</w:t>
      </w:r>
    </w:p>
    <w:p>
      <w:pPr>
        <w:pStyle w:val="BodyText"/>
      </w:pPr>
      <w:r>
        <w:t xml:space="preserve">O acesso à naloxona também havia se expandido. Mais de 1,5 milhão de prescrições foram dispensadas por meio de farmácias de varejo nos EUA em 2024. No entanto, a taxa de dispensação em farmácias nacionalmente caiu de 0,6 prescrições por 100 pessoas em 2023 para 0,4 em 2024, e as taxas variaram amplamente entre jurisdições. Os dados de farmácia não incluíam todos os kits distribuídos por departamentos de saúde, socorristas, organizações comunitárias ou amigos e parentes.</w:t>
      </w:r>
    </w:p>
    <w:p>
      <w:pPr>
        <w:pStyle w:val="BodyText"/>
      </w:pPr>
      <w:r>
        <w:t xml:space="preserve">A contagem estadual de mortes de Bellwether havia caído 18 por cento no ano anterior. O declínio estava concentrado na região da capital e em três condados suburbanos. No corredor industrial do norte, as mortes estavam quase inalteradas. Em duas regiões rurais elas haviam aumentado, enquanto os departamentos de emergência relataram mais pacientes exigindo observação prolongada após suspeita de exposição a fentanil misturado com contaminantes sedativos.</w:t>
      </w:r>
    </w:p>
    <w:bookmarkStart w:id="11" w:name="X70a097335761969bfd6a1b68740b9c530318477"/>
    <w:p>
      <w:pPr>
        <w:pStyle w:val="Heading2"/>
      </w:pPr>
      <w:r>
        <w:t xml:space="preserve">Exhibit 1. Indicadores de Overdose de Bellwether</w:t>
      </w:r>
    </w:p>
    <w:tbl>
      <w:tblPr>
        <w:tblStyle w:val="Table"/>
        <w:tblW w:type="pct" w:w="4885"/>
        <w:tblLayout w:type="fixed"/>
        <w:tblLook w:firstRow="1" w:lastRow="0" w:firstColumn="0" w:lastColumn="0" w:noHBand="0" w:noVBand="0" w:val="0020"/>
      </w:tblPr>
      <w:tblGrid>
        <w:gridCol w:w="3368"/>
        <w:gridCol w:w="1092"/>
        <w:gridCol w:w="1092"/>
        <w:gridCol w:w="2184"/>
      </w:tblGrid>
      <w:tr>
        <w:trPr>
          <w:tblHeader w:val="on"/>
        </w:trPr>
        <w:tc>
          <w:tcPr/>
          <w:p>
            <w:pPr>
              <w:pStyle w:val="Compact"/>
              <w:jc w:val="left"/>
            </w:pPr>
            <w:r>
              <w:t xml:space="preserve">Indicador</w:t>
            </w:r>
          </w:p>
        </w:tc>
        <w:tc>
          <w:tcPr/>
          <w:p>
            <w:pPr>
              <w:pStyle w:val="Compact"/>
              <w:jc w:val="left"/>
            </w:pPr>
            <w:r>
              <w:t xml:space="preserve">2024</w:t>
            </w:r>
          </w:p>
        </w:tc>
        <w:tc>
          <w:tcPr/>
          <w:p>
            <w:pPr>
              <w:pStyle w:val="Compact"/>
              <w:jc w:val="left"/>
            </w:pPr>
            <w:r>
              <w:t xml:space="preserve">2025</w:t>
            </w:r>
          </w:p>
        </w:tc>
        <w:tc>
          <w:tcPr/>
          <w:p>
            <w:pPr>
              <w:pStyle w:val="Compact"/>
              <w:jc w:val="left"/>
            </w:pPr>
            <w:r>
              <w:t xml:space="preserve">Últimos 12 meses</w:t>
            </w:r>
          </w:p>
        </w:tc>
      </w:tr>
      <w:tr>
        <w:tc>
          <w:tcPr/>
          <w:p>
            <w:pPr>
              <w:pStyle w:val="Compact"/>
              <w:jc w:val="left"/>
            </w:pPr>
            <w:r>
              <w:t xml:space="preserve">Overdoses fatais suspeitas</w:t>
            </w:r>
          </w:p>
        </w:tc>
        <w:tc>
          <w:tcPr/>
          <w:p>
            <w:pPr>
              <w:pStyle w:val="Compact"/>
              <w:jc w:val="left"/>
            </w:pPr>
            <w:r>
              <w:t xml:space="preserve">1.184</w:t>
            </w:r>
          </w:p>
        </w:tc>
        <w:tc>
          <w:tcPr/>
          <w:p>
            <w:pPr>
              <w:pStyle w:val="Compact"/>
              <w:jc w:val="left"/>
            </w:pPr>
            <w:r>
              <w:t xml:space="preserve">971</w:t>
            </w:r>
          </w:p>
        </w:tc>
        <w:tc>
          <w:tcPr/>
          <w:p>
            <w:pPr>
              <w:pStyle w:val="Compact"/>
              <w:jc w:val="left"/>
            </w:pPr>
            <w:r>
              <w:t xml:space="preserve">906</w:t>
            </w:r>
          </w:p>
        </w:tc>
      </w:tr>
      <w:tr>
        <w:tc>
          <w:tcPr/>
          <w:p>
            <w:pPr>
              <w:pStyle w:val="Compact"/>
              <w:jc w:val="left"/>
            </w:pPr>
            <w:r>
              <w:t xml:space="preserve">Respostas de EMS a overdose</w:t>
            </w:r>
          </w:p>
        </w:tc>
        <w:tc>
          <w:tcPr/>
          <w:p>
            <w:pPr>
              <w:pStyle w:val="Compact"/>
              <w:jc w:val="left"/>
            </w:pPr>
            <w:r>
              <w:t xml:space="preserve">9.840</w:t>
            </w:r>
          </w:p>
        </w:tc>
        <w:tc>
          <w:tcPr/>
          <w:p>
            <w:pPr>
              <w:pStyle w:val="Compact"/>
              <w:jc w:val="left"/>
            </w:pPr>
            <w:r>
              <w:t xml:space="preserve">10.260</w:t>
            </w:r>
          </w:p>
        </w:tc>
        <w:tc>
          <w:tcPr/>
          <w:p>
            <w:pPr>
              <w:pStyle w:val="Compact"/>
              <w:jc w:val="left"/>
            </w:pPr>
            <w:r>
              <w:t xml:space="preserve">10.710</w:t>
            </w:r>
          </w:p>
        </w:tc>
      </w:tr>
      <w:tr>
        <w:tc>
          <w:tcPr/>
          <w:p>
            <w:pPr>
              <w:pStyle w:val="Compact"/>
              <w:jc w:val="left"/>
            </w:pPr>
            <w:r>
              <w:t xml:space="preserve">Administrações de naloxona pelo EMS</w:t>
            </w:r>
          </w:p>
        </w:tc>
        <w:tc>
          <w:tcPr/>
          <w:p>
            <w:pPr>
              <w:pStyle w:val="Compact"/>
              <w:jc w:val="left"/>
            </w:pPr>
            <w:r>
              <w:t xml:space="preserve">6.420</w:t>
            </w:r>
          </w:p>
        </w:tc>
        <w:tc>
          <w:tcPr/>
          <w:p>
            <w:pPr>
              <w:pStyle w:val="Compact"/>
              <w:jc w:val="left"/>
            </w:pPr>
            <w:r>
              <w:t xml:space="preserve">6.980</w:t>
            </w:r>
          </w:p>
        </w:tc>
        <w:tc>
          <w:tcPr/>
          <w:p>
            <w:pPr>
              <w:pStyle w:val="Compact"/>
              <w:jc w:val="left"/>
            </w:pPr>
            <w:r>
              <w:t xml:space="preserve">7.310</w:t>
            </w:r>
          </w:p>
        </w:tc>
      </w:tr>
      <w:tr>
        <w:tc>
          <w:tcPr/>
          <w:p>
            <w:pPr>
              <w:pStyle w:val="Compact"/>
              <w:jc w:val="left"/>
            </w:pPr>
            <w:r>
              <w:t xml:space="preserve">Transportes hospitalares após overdos</w:t>
            </w:r>
          </w:p>
        </w:tc>
        <w:tc>
          <w:tcPr/>
          <w:p>
            <w:pPr>
              <w:pStyle w:val="Compact"/>
              <w:jc w:val="left"/>
            </w:pPr>
            <w:r>
              <w:t xml:space="preserve">e 4.780</w:t>
            </w:r>
          </w:p>
        </w:tc>
        <w:tc>
          <w:tcPr/>
          <w:p>
            <w:pPr>
              <w:pStyle w:val="Compact"/>
              <w:jc w:val="left"/>
            </w:pPr>
            <w:r>
              <w:t xml:space="preserve">4.960</w:t>
            </w:r>
          </w:p>
        </w:tc>
        <w:tc>
          <w:tcPr/>
          <w:p>
            <w:pPr>
              <w:pStyle w:val="Compact"/>
              <w:jc w:val="left"/>
            </w:pPr>
            <w:r>
              <w:t xml:space="preserve">5.240</w:t>
            </w:r>
          </w:p>
        </w:tc>
      </w:tr>
      <w:tr>
        <w:tc>
          <w:tcPr/>
          <w:p>
            <w:pPr>
              <w:pStyle w:val="Compact"/>
              <w:jc w:val="left"/>
            </w:pPr>
            <w:r>
              <w:t xml:space="preserve">Reversões relatadas pela comunidade</w:t>
            </w:r>
          </w:p>
        </w:tc>
        <w:tc>
          <w:tcPr/>
          <w:p>
            <w:pPr>
              <w:pStyle w:val="Compact"/>
              <w:jc w:val="left"/>
            </w:pPr>
            <w:r>
              <w:t xml:space="preserve">2.940</w:t>
            </w:r>
          </w:p>
        </w:tc>
        <w:tc>
          <w:tcPr/>
          <w:p>
            <w:pPr>
              <w:pStyle w:val="Compact"/>
              <w:jc w:val="left"/>
            </w:pPr>
            <w:r>
              <w:t xml:space="preserve">3.880</w:t>
            </w:r>
          </w:p>
        </w:tc>
        <w:tc>
          <w:tcPr/>
          <w:p>
            <w:pPr>
              <w:pStyle w:val="Compact"/>
              <w:jc w:val="left"/>
            </w:pPr>
            <w:r>
              <w:t xml:space="preserve">4.210</w:t>
            </w:r>
          </w:p>
        </w:tc>
      </w:tr>
      <w:tr>
        <w:tc>
          <w:tcPr/>
          <w:p>
            <w:pPr>
              <w:pStyle w:val="Compact"/>
              <w:jc w:val="left"/>
            </w:pPr>
            <w:r>
              <w:t xml:space="preserve">Kits comprados pelo estado distribuíd</w:t>
            </w:r>
          </w:p>
        </w:tc>
        <w:tc>
          <w:tcPr/>
          <w:p>
            <w:pPr>
              <w:pStyle w:val="Compact"/>
              <w:jc w:val="left"/>
            </w:pPr>
            <w:r>
              <w:t xml:space="preserve">os 118.000</w:t>
            </w:r>
          </w:p>
        </w:tc>
        <w:tc>
          <w:tcPr/>
          <w:p>
            <w:pPr>
              <w:pStyle w:val="Compact"/>
              <w:jc w:val="left"/>
            </w:pPr>
            <w:r>
              <w:t xml:space="preserve">142.000</w:t>
            </w:r>
          </w:p>
        </w:tc>
        <w:tc>
          <w:tcPr/>
          <w:p>
            <w:pPr>
              <w:pStyle w:val="Compact"/>
              <w:jc w:val="left"/>
            </w:pPr>
            <w:r>
              <w:t xml:space="preserve">136.500</w:t>
            </w:r>
          </w:p>
        </w:tc>
      </w:tr>
      <w:tr>
        <w:tc>
          <w:tcPr/>
          <w:p>
            <w:pPr>
              <w:pStyle w:val="Compact"/>
              <w:jc w:val="left"/>
            </w:pPr>
            <w:r>
              <w:t xml:space="preserve">Condados relatando desabastecimento l</w:t>
            </w:r>
          </w:p>
        </w:tc>
        <w:tc>
          <w:tcPr/>
          <w:p>
            <w:pPr>
              <w:pStyle w:val="Compact"/>
              <w:jc w:val="left"/>
            </w:pPr>
            <w:r>
              <w:t xml:space="preserve">ocal 4</w:t>
            </w:r>
          </w:p>
        </w:tc>
        <w:tc>
          <w:tcPr/>
          <w:p>
            <w:pPr>
              <w:pStyle w:val="Compact"/>
              <w:jc w:val="left"/>
            </w:pPr>
            <w:r>
              <w:t xml:space="preserve">7</w:t>
            </w:r>
          </w:p>
        </w:tc>
        <w:tc>
          <w:tcPr/>
          <w:p>
            <w:pPr>
              <w:pStyle w:val="Compact"/>
              <w:jc w:val="left"/>
            </w:pPr>
            <w:r>
              <w:t xml:space="preserve">11</w:t>
            </w:r>
          </w:p>
        </w:tc>
      </w:tr>
    </w:tbl>
    <w:p>
      <w:pPr>
        <w:pStyle w:val="BodyText"/>
      </w:pPr>
      <w:r>
        <w:t xml:space="preserve">Ortiz alertou sua equipe contra tirar uma conclusão simples da queda no número de mortes. Mais naloxona poderia estar prevenindo mortes ao mesmo tempo em que o número de overdoses permanecia inalterado. As respostas de EMS e os transportes hospitalares ainda estavam aumentando. As reversões relatadas pela comunidade eram voluntárias e quase certamente incompletas. Um condado com poucas reversões relatadas poderia ter pouca necessidade, relatórios ruins, baixa conscientização, confiança comunitária fraca ou poucos kits em circulação.</w:t>
      </w:r>
    </w:p>
    <w:bookmarkEnd w:id="11"/>
    <w:bookmarkEnd w:id="12"/>
    <w:bookmarkStart w:id="14" w:name="para-onde-os-kits-poderiam-ir"/>
    <w:p>
      <w:pPr>
        <w:pStyle w:val="Heading1"/>
      </w:pPr>
      <w:r>
        <w:t xml:space="preserve">Para Onde os Kits Poderiam Ir</w:t>
      </w:r>
    </w:p>
    <w:p>
      <w:pPr>
        <w:pStyle w:val="FirstParagraph"/>
      </w:pPr>
      <w:r>
        <w:t xml:space="preserve">Bellwether havia distribuído naloxona por meio de seis canais amplos. Cada um alcançava uma população diferente e produzia informações diferentes. Os socorristas podiam posicionar kits em uma overdose rapidamente, mas geralmente chegavam apenas após alguém ligar para o 911. As organizações de redução de danos tinham contato direto com pessoas que usavam drogas e suas redes sociais, mas várias operavam com equipes pequenas e registros informais. As farmácias ofereciam ampla cobertura geográfica, mas frequentemente exigiam que o cliente solicitasse o produto ou interagisse com um farmacêutico.</w:t>
      </w:r>
    </w:p>
    <w:p>
      <w:pPr>
        <w:pStyle w:val="BodyText"/>
      </w:pPr>
      <w:r>
        <w:t xml:space="preserve">Hospitais e provedores de tratamento podiam entregar naloxona aos pacientes na alta, incluindo pessoas em risco elevado após um período de abstinência. As prisões podiam distribuir kits na soltura, quando a tolerância poderia estar reduzida, mas a participação variava entre os xerifes municipais. Despensas de alimentos, abrigos, bibliotecas, organizações religiosas e provedores de moradia alcançavam pessoas que talvez nunca visitassem um programa de tratamento, embora algumas organizações se preocupassem que oferecer naloxona de forma visível criaria controvérsia com doadores, conselhos ou vizinhos.</w:t>
      </w:r>
    </w:p>
    <w:bookmarkStart w:id="13" w:name="Xc225152eac26708052f0ca730bb895203ec448e"/>
    <w:p>
      <w:pPr>
        <w:pStyle w:val="Heading2"/>
      </w:pPr>
      <w:r>
        <w:t xml:space="preserve">Exhibit 2. Solicitações para o Carregamento de 36.000 Kits</w:t>
      </w:r>
    </w:p>
    <w:tbl>
      <w:tblPr>
        <w:tblStyle w:val="Table"/>
        <w:tblW w:type="pct" w:w="4920"/>
        <w:tblLayout w:type="fixed"/>
        <w:tblLook w:firstRow="1" w:lastRow="0" w:firstColumn="0" w:lastColumn="0" w:noHBand="0" w:noVBand="0" w:val="0020"/>
      </w:tblPr>
      <w:tblGrid>
        <w:gridCol w:w="3231"/>
        <w:gridCol w:w="1077"/>
        <w:gridCol w:w="2154"/>
        <w:gridCol w:w="1330"/>
      </w:tblGrid>
      <w:tr>
        <w:trPr>
          <w:tblHeader w:val="on"/>
        </w:trPr>
        <w:tc>
          <w:tcPr/>
          <w:p>
            <w:pPr>
              <w:pStyle w:val="Compact"/>
              <w:jc w:val="left"/>
            </w:pPr>
            <w:r>
              <w:t xml:space="preserve">Canal de distribuição</w:t>
            </w:r>
          </w:p>
        </w:tc>
        <w:tc>
          <w:tcPr/>
          <w:p>
            <w:pPr>
              <w:pStyle w:val="Compact"/>
            </w:pPr>
            <w:r>
              <w:t xml:space="preserve">Kits solicitados</w:t>
            </w:r>
          </w:p>
        </w:tc>
        <w:tc>
          <w:tcPr/>
          <w:p>
            <w:pPr>
              <w:pStyle w:val="Compact"/>
            </w:pPr>
            <w:r>
              <w:t xml:space="preserve">Kits distribuídos últimos 12 meses</w:t>
            </w:r>
          </w:p>
        </w:tc>
        <w:tc>
          <w:tcPr/>
          <w:p>
            <w:pPr>
              <w:pStyle w:val="Compact"/>
              <w:jc w:val="right"/>
            </w:pPr>
            <w:r>
              <w:t xml:space="preserve">Reversões relatadas</w:t>
            </w:r>
          </w:p>
        </w:tc>
      </w:tr>
      <w:tr>
        <w:tc>
          <w:tcPr/>
          <w:p>
            <w:pPr>
              <w:pStyle w:val="Compact"/>
              <w:jc w:val="left"/>
            </w:pPr>
            <w:r>
              <w:t xml:space="preserve">Programas de redução de danos e troca de seringas</w:t>
            </w:r>
          </w:p>
        </w:tc>
        <w:tc>
          <w:tcPr/>
          <w:p>
            <w:pPr>
              <w:pStyle w:val="Compact"/>
            </w:pPr>
            <w:r>
              <w:t xml:space="preserve">19.600</w:t>
            </w:r>
          </w:p>
        </w:tc>
        <w:tc>
          <w:tcPr/>
          <w:p>
            <w:pPr>
              <w:pStyle w:val="Compact"/>
            </w:pPr>
            <w:r>
              <w:t xml:space="preserve">45.200</w:t>
            </w:r>
          </w:p>
        </w:tc>
        <w:tc>
          <w:tcPr/>
          <w:p>
            <w:pPr>
              <w:pStyle w:val="Compact"/>
              <w:jc w:val="right"/>
            </w:pPr>
            <w:r>
              <w:t xml:space="preserve">2.540</w:t>
            </w:r>
          </w:p>
        </w:tc>
      </w:tr>
      <w:tr>
        <w:tc>
          <w:tcPr/>
          <w:p>
            <w:pPr>
              <w:pStyle w:val="Compact"/>
              <w:jc w:val="left"/>
            </w:pPr>
            <w:r>
              <w:t xml:space="preserve">EMS, bombeiros e polícia</w:t>
            </w:r>
          </w:p>
        </w:tc>
        <w:tc>
          <w:tcPr/>
          <w:p>
            <w:pPr>
              <w:pStyle w:val="Compact"/>
            </w:pPr>
            <w:r>
              <w:t xml:space="preserve">11.400</w:t>
            </w:r>
          </w:p>
        </w:tc>
        <w:tc>
          <w:tcPr/>
          <w:p>
            <w:pPr>
              <w:pStyle w:val="Compact"/>
            </w:pPr>
            <w:r>
              <w:t xml:space="preserve">28.600</w:t>
            </w:r>
          </w:p>
        </w:tc>
        <w:tc>
          <w:tcPr/>
          <w:p>
            <w:pPr>
              <w:pStyle w:val="Compact"/>
              <w:jc w:val="right"/>
            </w:pPr>
            <w:r>
              <w:t xml:space="preserve">1.020</w:t>
            </w:r>
          </w:p>
        </w:tc>
      </w:tr>
      <w:tr>
        <w:tc>
          <w:tcPr/>
          <w:p>
            <w:pPr>
              <w:pStyle w:val="Compact"/>
              <w:jc w:val="left"/>
            </w:pPr>
            <w:r>
              <w:t xml:space="preserve">Provedores de tratamento e hospitais</w:t>
            </w:r>
          </w:p>
        </w:tc>
        <w:tc>
          <w:tcPr/>
          <w:p>
            <w:pPr>
              <w:pStyle w:val="Compact"/>
            </w:pPr>
            <w:r>
              <w:t xml:space="preserve">9.800</w:t>
            </w:r>
          </w:p>
        </w:tc>
        <w:tc>
          <w:tcPr/>
          <w:p>
            <w:pPr>
              <w:pStyle w:val="Compact"/>
            </w:pPr>
            <w:r>
              <w:t xml:space="preserve">21.500</w:t>
            </w:r>
          </w:p>
        </w:tc>
        <w:tc>
          <w:tcPr/>
          <w:p>
            <w:pPr>
              <w:pStyle w:val="Compact"/>
              <w:jc w:val="right"/>
            </w:pPr>
            <w:r>
              <w:t xml:space="preserve">310</w:t>
            </w:r>
          </w:p>
        </w:tc>
      </w:tr>
      <w:tr>
        <w:tc>
          <w:tcPr/>
          <w:p>
            <w:pPr>
              <w:pStyle w:val="Compact"/>
              <w:jc w:val="left"/>
            </w:pPr>
            <w:r>
              <w:t xml:space="preserve">Farmácias</w:t>
            </w:r>
          </w:p>
        </w:tc>
        <w:tc>
          <w:tcPr/>
          <w:p>
            <w:pPr>
              <w:pStyle w:val="Compact"/>
            </w:pPr>
            <w:r>
              <w:t xml:space="preserve">7.200</w:t>
            </w:r>
          </w:p>
        </w:tc>
        <w:tc>
          <w:tcPr/>
          <w:p>
            <w:pPr>
              <w:pStyle w:val="Compact"/>
            </w:pPr>
            <w:r>
              <w:t xml:space="preserve">16.100</w:t>
            </w:r>
          </w:p>
        </w:tc>
        <w:tc>
          <w:tcPr/>
          <w:p>
            <w:pPr>
              <w:pStyle w:val="Compact"/>
              <w:jc w:val="right"/>
            </w:pPr>
            <w:r>
              <w:t xml:space="preserve">90</w:t>
            </w:r>
          </w:p>
        </w:tc>
      </w:tr>
      <w:tr>
        <w:tc>
          <w:tcPr/>
          <w:p>
            <w:pPr>
              <w:pStyle w:val="Compact"/>
              <w:jc w:val="left"/>
            </w:pPr>
            <w:r>
              <w:t xml:space="preserve">Prisões e programas de reintegração</w:t>
            </w:r>
          </w:p>
        </w:tc>
        <w:tc>
          <w:tcPr/>
          <w:p>
            <w:pPr>
              <w:pStyle w:val="Compact"/>
            </w:pPr>
            <w:r>
              <w:t xml:space="preserve">5.600</w:t>
            </w:r>
          </w:p>
        </w:tc>
        <w:tc>
          <w:tcPr/>
          <w:p>
            <w:pPr>
              <w:pStyle w:val="Compact"/>
            </w:pPr>
            <w:r>
              <w:t xml:space="preserve">10.400</w:t>
            </w:r>
          </w:p>
        </w:tc>
        <w:tc>
          <w:tcPr/>
          <w:p>
            <w:pPr>
              <w:pStyle w:val="Compact"/>
              <w:jc w:val="right"/>
            </w:pPr>
            <w:r>
              <w:t xml:space="preserve">120</w:t>
            </w:r>
          </w:p>
        </w:tc>
      </w:tr>
      <w:tr>
        <w:tc>
          <w:tcPr/>
          <w:p>
            <w:pPr>
              <w:pStyle w:val="Compact"/>
              <w:jc w:val="left"/>
            </w:pPr>
            <w:r>
              <w:t xml:space="preserve">Habitação, alimentos, fé e outros grupos comunitári</w:t>
            </w:r>
          </w:p>
        </w:tc>
        <w:tc>
          <w:tcPr/>
          <w:p>
            <w:pPr>
              <w:pStyle w:val="Compact"/>
            </w:pPr>
            <w:r>
              <w:t xml:space="preserve">os 7.800</w:t>
            </w:r>
          </w:p>
        </w:tc>
        <w:tc>
          <w:tcPr/>
          <w:p>
            <w:pPr>
              <w:pStyle w:val="Compact"/>
            </w:pPr>
            <w:r>
              <w:t xml:space="preserve">14.700</w:t>
            </w:r>
          </w:p>
        </w:tc>
        <w:tc>
          <w:tcPr/>
          <w:p>
            <w:pPr>
              <w:pStyle w:val="Compact"/>
              <w:jc w:val="right"/>
            </w:pPr>
            <w:r>
              <w:t xml:space="preserve">130</w:t>
            </w:r>
          </w:p>
        </w:tc>
      </w:tr>
    </w:tbl>
    <w:p>
      <w:pPr>
        <w:pStyle w:val="BodyText"/>
      </w:pPr>
      <w:r>
        <w:t xml:space="preserve">As contagens de reversões relatadas não podiam ser interpretadas como taxas de eficácia. Um kit poderia ser distribuído a alguém que nunca encontrou uma overdose, ser usado com sucesso sem ser relatado, perdido, transferido para outra pessoa ou mantido até vencer. Algumas organizações distribuíam agressivamente para pessoas com maior probabilidade de testemunhar uma overdose; outras mantinham armários para emergências. O estado não sabia quantos kits estavam imediatamente acessíveis no momento em que eram necessários.</w:t>
      </w:r>
    </w:p>
    <w:bookmarkEnd w:id="13"/>
    <w:bookmarkEnd w:id="14"/>
    <w:bookmarkStart w:id="16" w:name="geografia-e-acesso"/>
    <w:p>
      <w:pPr>
        <w:pStyle w:val="Heading1"/>
      </w:pPr>
      <w:r>
        <w:t xml:space="preserve">Geografia e Acesso</w:t>
      </w:r>
    </w:p>
    <w:p>
      <w:pPr>
        <w:pStyle w:val="FirstParagraph"/>
      </w:pPr>
      <w:r>
        <w:t xml:space="preserve">Os quarenta e dois condados do estado diferiam drasticamente. Distritos urbanos tinham atividade de overdose concentrada, equipes de campo estabelecidas, transporte público e múltiplas farmácias. Condados rurais cobriam grandes áreas com trânsito limitado e longos tempos de resposta do EMS. Várias comunidades tribais operavam seus próprios programas de saúde e segurança pública e queriam alocações diretas em vez de receber kits por meio dos governos municipais. Trabalhadores sazonais e pessoas vivendo em acampamentos temporários se moviam entre regiões, enfraquecendo comparações baseadas em residência.</w:t>
      </w:r>
    </w:p>
    <w:bookmarkStart w:id="15" w:name="X660285229444f57300ac4c25bcae32b61c9feca"/>
    <w:p>
      <w:pPr>
        <w:pStyle w:val="Heading2"/>
      </w:pPr>
      <w:r>
        <w:t xml:space="preserve">Exhibit 3. Condições Regionais Selecionadas</w:t>
      </w:r>
    </w:p>
    <w:tbl>
      <w:tblPr>
        <w:tblStyle w:val="Table"/>
        <w:tblW w:type="pct" w:w="4915"/>
        <w:tblLayout w:type="fixed"/>
        <w:tblLook w:firstRow="1" w:lastRow="0" w:firstColumn="0" w:lastColumn="0" w:noHBand="0" w:noVBand="0" w:val="0020"/>
      </w:tblPr>
      <w:tblGrid>
        <w:gridCol w:w="1946"/>
        <w:gridCol w:w="872"/>
        <w:gridCol w:w="2013"/>
        <w:gridCol w:w="1476"/>
        <w:gridCol w:w="1476"/>
      </w:tblGrid>
      <w:tr>
        <w:trPr>
          <w:tblHeader w:val="on"/>
        </w:trPr>
        <w:tc>
          <w:tcPr/>
          <w:p>
            <w:pPr>
              <w:pStyle w:val="Compact"/>
              <w:jc w:val="left"/>
            </w:pPr>
            <w:r>
              <w:t xml:space="preserve">Região</w:t>
            </w:r>
          </w:p>
        </w:tc>
        <w:tc>
          <w:tcPr/>
          <w:p>
            <w:pPr>
              <w:pStyle w:val="Compact"/>
              <w:jc w:val="left"/>
            </w:pPr>
            <w:r>
              <w:t xml:space="preserve">População</w:t>
            </w:r>
          </w:p>
        </w:tc>
        <w:tc>
          <w:tcPr/>
          <w:p>
            <w:pPr>
              <w:pStyle w:val="Compact"/>
              <w:jc w:val="left"/>
            </w:pPr>
            <w:r>
              <w:t xml:space="preserve">Overdoses fatais por 100.000</w:t>
            </w:r>
          </w:p>
        </w:tc>
        <w:tc>
          <w:tcPr/>
          <w:p>
            <w:pPr>
              <w:pStyle w:val="Compact"/>
            </w:pPr>
            <w:r>
              <w:t xml:space="preserve">Resposta mediana do EM</w:t>
            </w:r>
          </w:p>
        </w:tc>
        <w:tc>
          <w:tcPr/>
          <w:p>
            <w:pPr>
              <w:pStyle w:val="Compact"/>
            </w:pPr>
            <w:r>
              <w:t xml:space="preserve">S Estoque do parceiro</w:t>
            </w:r>
          </w:p>
        </w:tc>
      </w:tr>
      <w:tr>
        <w:tc>
          <w:tcPr/>
          <w:p>
            <w:pPr>
              <w:pStyle w:val="Compact"/>
              <w:jc w:val="left"/>
            </w:pPr>
            <w:r>
              <w:t xml:space="preserve">Núcleo da capital</w:t>
            </w:r>
          </w:p>
        </w:tc>
        <w:tc>
          <w:tcPr/>
          <w:p>
            <w:pPr>
              <w:pStyle w:val="Compact"/>
              <w:jc w:val="left"/>
            </w:pPr>
            <w:r>
              <w:t xml:space="preserve">740.000</w:t>
            </w:r>
          </w:p>
        </w:tc>
        <w:tc>
          <w:tcPr/>
          <w:p>
            <w:pPr>
              <w:pStyle w:val="Compact"/>
              <w:jc w:val="left"/>
            </w:pPr>
            <w:r>
              <w:t xml:space="preserve">31</w:t>
            </w:r>
          </w:p>
        </w:tc>
        <w:tc>
          <w:tcPr/>
          <w:p>
            <w:pPr>
              <w:pStyle w:val="Compact"/>
            </w:pPr>
            <w:r>
              <w:t xml:space="preserve">7 minutos</w:t>
            </w:r>
          </w:p>
        </w:tc>
        <w:tc>
          <w:tcPr/>
          <w:p>
            <w:pPr>
              <w:pStyle w:val="Compact"/>
            </w:pPr>
            <w:r>
              <w:t xml:space="preserve">18 dias</w:t>
            </w:r>
          </w:p>
        </w:tc>
      </w:tr>
      <w:tr>
        <w:tc>
          <w:tcPr/>
          <w:p>
            <w:pPr>
              <w:pStyle w:val="Compact"/>
              <w:jc w:val="left"/>
            </w:pPr>
            <w:r>
              <w:t xml:space="preserve">Corredor urbano leste</w:t>
            </w:r>
          </w:p>
        </w:tc>
        <w:tc>
          <w:tcPr/>
          <w:p>
            <w:pPr>
              <w:pStyle w:val="Compact"/>
              <w:jc w:val="left"/>
            </w:pPr>
            <w:r>
              <w:t xml:space="preserve">510.000</w:t>
            </w:r>
          </w:p>
        </w:tc>
        <w:tc>
          <w:tcPr/>
          <w:p>
            <w:pPr>
              <w:pStyle w:val="Compact"/>
              <w:jc w:val="left"/>
            </w:pPr>
            <w:r>
              <w:t xml:space="preserve">44</w:t>
            </w:r>
          </w:p>
        </w:tc>
        <w:tc>
          <w:tcPr/>
          <w:p>
            <w:pPr>
              <w:pStyle w:val="Compact"/>
            </w:pPr>
            <w:r>
              <w:t xml:space="preserve">9 minutos</w:t>
            </w:r>
          </w:p>
        </w:tc>
        <w:tc>
          <w:tcPr/>
          <w:p>
            <w:pPr>
              <w:pStyle w:val="Compact"/>
            </w:pPr>
            <w:r>
              <w:t xml:space="preserve">6 dias</w:t>
            </w:r>
          </w:p>
        </w:tc>
      </w:tr>
      <w:tr>
        <w:tc>
          <w:tcPr/>
          <w:p>
            <w:pPr>
              <w:pStyle w:val="Compact"/>
              <w:jc w:val="left"/>
            </w:pPr>
            <w:r>
              <w:t xml:space="preserve">Cinturão industrial norte</w:t>
            </w:r>
          </w:p>
        </w:tc>
        <w:tc>
          <w:tcPr/>
          <w:p>
            <w:pPr>
              <w:pStyle w:val="Compact"/>
              <w:jc w:val="left"/>
            </w:pPr>
            <w:r>
              <w:t xml:space="preserve">430.000</w:t>
            </w:r>
          </w:p>
        </w:tc>
        <w:tc>
          <w:tcPr/>
          <w:p>
            <w:pPr>
              <w:pStyle w:val="Compact"/>
              <w:jc w:val="left"/>
            </w:pPr>
            <w:r>
              <w:t xml:space="preserve">39</w:t>
            </w:r>
          </w:p>
        </w:tc>
        <w:tc>
          <w:tcPr/>
          <w:p>
            <w:pPr>
              <w:pStyle w:val="Compact"/>
            </w:pPr>
            <w:r>
              <w:t xml:space="preserve">12 minutos</w:t>
            </w:r>
          </w:p>
        </w:tc>
        <w:tc>
          <w:tcPr/>
          <w:p>
            <w:pPr>
              <w:pStyle w:val="Compact"/>
            </w:pPr>
            <w:r>
              <w:t xml:space="preserve">9 dias</w:t>
            </w:r>
          </w:p>
        </w:tc>
      </w:tr>
      <w:tr>
        <w:tc>
          <w:tcPr/>
          <w:p>
            <w:pPr>
              <w:pStyle w:val="Compact"/>
              <w:jc w:val="left"/>
            </w:pPr>
            <w:r>
              <w:t xml:space="preserve">Condados rurais ocidentais</w:t>
            </w:r>
          </w:p>
        </w:tc>
        <w:tc>
          <w:tcPr/>
          <w:p>
            <w:pPr>
              <w:pStyle w:val="Compact"/>
              <w:jc w:val="left"/>
            </w:pPr>
            <w:r>
              <w:t xml:space="preserve">265.000</w:t>
            </w:r>
          </w:p>
        </w:tc>
        <w:tc>
          <w:tcPr/>
          <w:p>
            <w:pPr>
              <w:pStyle w:val="Compact"/>
              <w:jc w:val="left"/>
            </w:pPr>
            <w:r>
              <w:t xml:space="preserve">36</w:t>
            </w:r>
          </w:p>
        </w:tc>
        <w:tc>
          <w:tcPr/>
          <w:p>
            <w:pPr>
              <w:pStyle w:val="Compact"/>
            </w:pPr>
            <w:r>
              <w:t xml:space="preserve">24 minutos</w:t>
            </w:r>
          </w:p>
        </w:tc>
        <w:tc>
          <w:tcPr/>
          <w:p>
            <w:pPr>
              <w:pStyle w:val="Compact"/>
            </w:pPr>
            <w:r>
              <w:t xml:space="preserve">3 dias</w:t>
            </w:r>
          </w:p>
        </w:tc>
      </w:tr>
      <w:tr>
        <w:tc>
          <w:tcPr/>
          <w:p>
            <w:pPr>
              <w:pStyle w:val="Compact"/>
              <w:jc w:val="left"/>
            </w:pPr>
            <w:r>
              <w:t xml:space="preserve">Região montanhosa e tribal</w:t>
            </w:r>
          </w:p>
        </w:tc>
        <w:tc>
          <w:tcPr/>
          <w:p>
            <w:pPr>
              <w:pStyle w:val="Compact"/>
              <w:jc w:val="left"/>
            </w:pPr>
            <w:r>
              <w:t xml:space="preserve">148.000</w:t>
            </w:r>
          </w:p>
        </w:tc>
        <w:tc>
          <w:tcPr/>
          <w:p>
            <w:pPr>
              <w:pStyle w:val="Compact"/>
              <w:jc w:val="left"/>
            </w:pPr>
            <w:r>
              <w:t xml:space="preserve">47</w:t>
            </w:r>
          </w:p>
        </w:tc>
        <w:tc>
          <w:tcPr/>
          <w:p>
            <w:pPr>
              <w:pStyle w:val="Compact"/>
            </w:pPr>
            <w:r>
              <w:t xml:space="preserve">31 minutos</w:t>
            </w:r>
          </w:p>
        </w:tc>
        <w:tc>
          <w:tcPr/>
          <w:p>
            <w:pPr>
              <w:pStyle w:val="Compact"/>
            </w:pPr>
            <w:r>
              <w:t xml:space="preserve">5 dias</w:t>
            </w:r>
          </w:p>
        </w:tc>
      </w:tr>
      <w:tr>
        <w:tc>
          <w:tcPr/>
          <w:p>
            <w:pPr>
              <w:pStyle w:val="Compact"/>
              <w:jc w:val="left"/>
            </w:pPr>
            <w:r>
              <w:t xml:space="preserve">Subúrbios ao sul</w:t>
            </w:r>
          </w:p>
        </w:tc>
        <w:tc>
          <w:tcPr/>
          <w:p>
            <w:pPr>
              <w:pStyle w:val="Compact"/>
              <w:jc w:val="left"/>
            </w:pPr>
            <w:r>
              <w:t xml:space="preserve">620.000</w:t>
            </w:r>
          </w:p>
        </w:tc>
        <w:tc>
          <w:tcPr/>
          <w:p>
            <w:pPr>
              <w:pStyle w:val="Compact"/>
              <w:jc w:val="left"/>
            </w:pPr>
            <w:r>
              <w:t xml:space="preserve">18</w:t>
            </w:r>
          </w:p>
        </w:tc>
        <w:tc>
          <w:tcPr/>
          <w:p>
            <w:pPr>
              <w:pStyle w:val="Compact"/>
            </w:pPr>
            <w:r>
              <w:t xml:space="preserve">10 minutos</w:t>
            </w:r>
          </w:p>
        </w:tc>
        <w:tc>
          <w:tcPr/>
          <w:p>
            <w:pPr>
              <w:pStyle w:val="Compact"/>
            </w:pPr>
            <w:r>
              <w:t xml:space="preserve">34 dias</w:t>
            </w:r>
          </w:p>
        </w:tc>
      </w:tr>
    </w:tbl>
    <w:p>
      <w:pPr>
        <w:pStyle w:val="BodyText"/>
      </w:pPr>
      <w:r>
        <w:t xml:space="preserve">A equipe de epidemiologia propôs alocar kits de acordo com mortes recentes por overdose, respostas de EMS não fatais e população. A equipe de saúde rural objetou que as contagens oficiais tinham defasagem e que longos tempos de deslocamento tornavam a posse comunitária especialmente importante. A coalizão de redução de danos da capital argumentou que programas de alto volume não deveriam ser penalizados por já terem distribuído seu estoque. Um condado suburbano ofereceu-se para devolver 2.000 kits, mas apenas se o estado garantisse reposição em sessenta dias.</w:t>
      </w:r>
    </w:p>
    <w:bookmarkEnd w:id="15"/>
    <w:bookmarkEnd w:id="16"/>
    <w:bookmarkStart w:id="17" w:name="treinamento-conscientização-e-confiança"/>
    <w:p>
      <w:pPr>
        <w:pStyle w:val="Heading1"/>
      </w:pPr>
      <w:r>
        <w:t xml:space="preserve">Treinamento, Conscientização e Confiança</w:t>
      </w:r>
    </w:p>
    <w:p>
      <w:pPr>
        <w:pStyle w:val="FirstParagraph"/>
      </w:pPr>
      <w:r>
        <w:t xml:space="preserve">A posse não garantia o uso. Alguns destinatários se preocupavam que administrar naloxona irritaria a pessoa reanimada. Outros temiam envolvimento policial ou não reconheciam respiração lenta como uma overdose. Novos contaminantes podiam produzir sintomas que a naloxona não reverteria completamente, mesmo quando opioides também estavam presentes. Autoridades de saúde enfatizaram que doses adicionais e atendimento médico de emergência ainda poderiam ser necessários.</w:t>
      </w:r>
    </w:p>
    <w:p>
      <w:pPr>
        <w:pStyle w:val="BodyText"/>
      </w:pPr>
      <w:r>
        <w:t xml:space="preserve">O treinamento padrão de Bellwether durava quarenta e cinco minutos. Parceiros de campo disseram que poderiam distribuir mais kits usando uma demonstração de dez minutos e um cartão com código QR. O diretor médico preferia treinamento mais longo que cobrisse respiração de resgate, redosagem e chamar o 911. A unidade de comunicações propôs uma campanha publicitária estadual, enquanto parceiros municipais queriam fundos para educadores de pares locais confiáveis para pessoas que usam drogas.</w:t>
      </w:r>
    </w:p>
    <w:bookmarkEnd w:id="17"/>
    <w:bookmarkStart w:id="19" w:name="a-restrição-de-financiamento"/>
    <w:p>
      <w:pPr>
        <w:pStyle w:val="Heading1"/>
      </w:pPr>
      <w:r>
        <w:t xml:space="preserve">A Restrição de Financiamento</w:t>
      </w:r>
    </w:p>
    <w:p>
      <w:pPr>
        <w:pStyle w:val="FirstParagraph"/>
      </w:pPr>
      <w:r>
        <w:t xml:space="preserve">O programa federal State Opioid Response permaneceu a maior fonte externa de apoio ao trabalho de overdose de Bellwether. Concessões nacionais de continuação anunciadas em setembro de 2025 incluíram $1,48 bilhão para resposta estadual a opioides e quase $63 milhões para resposta tribal a opioides. O financiamento de Bellwether apoiava naloxona, tratamento, prevenção, redução de danos e serviços de recuperação, mas os gastos precisavam se encaixar no plano aprovado e nas categorias de relatório.</w:t>
      </w:r>
    </w:p>
    <w:p>
      <w:pPr>
        <w:pStyle w:val="BodyText"/>
      </w:pPr>
      <w:r>
        <w:t xml:space="preserve">A legislatura estadual financiava a equipe do armazém, aquisições e partes do sistema de dados. Fundos de acordos judiciais sobre opioides apoiavam vários programas municipais, mas os usos permitidos e cronogramas de aprovação diferiam. Uma fundação hospitalar ofereceu $1 milhão para distribuição em farmácias e educação pública, mas não para programas de troca de seringas. Outro doador apoiaria o alcance móvel rural apenas se o estado documentasse o número de pessoas treinadas e kits entregues diretamente a residentes.</w:t>
      </w:r>
    </w:p>
    <w:bookmarkStart w:id="18" w:name="X3a5ed932b9f54c977e2002aa001a809b40eefd5"/>
    <w:p>
      <w:pPr>
        <w:pStyle w:val="Heading2"/>
      </w:pPr>
      <w:r>
        <w:t xml:space="preserve">Exhibit 4. Financiamento de Prevenção de Overdose em Análise</w:t>
      </w:r>
    </w:p>
    <w:tbl>
      <w:tblPr>
        <w:tblStyle w:val="Table"/>
        <w:tblW w:type="pct" w:w="4928"/>
        <w:tblLayout w:type="fixed"/>
        <w:tblLook w:firstRow="1" w:lastRow="0" w:firstColumn="0" w:lastColumn="0" w:noHBand="0" w:noVBand="0" w:val="0020"/>
      </w:tblPr>
      <w:tblGrid>
        <w:gridCol w:w="2108"/>
        <w:gridCol w:w="1025"/>
        <w:gridCol w:w="4672"/>
      </w:tblGrid>
      <w:tr>
        <w:trPr>
          <w:tblHeader w:val="on"/>
        </w:trPr>
        <w:tc>
          <w:tcPr/>
          <w:p>
            <w:pPr>
              <w:pStyle w:val="Compact"/>
              <w:jc w:val="left"/>
            </w:pPr>
            <w:r>
              <w:t xml:space="preserve">Fonte</w:t>
            </w:r>
          </w:p>
        </w:tc>
        <w:tc>
          <w:tcPr/>
          <w:p>
            <w:pPr>
              <w:pStyle w:val="Compact"/>
              <w:jc w:val="center"/>
            </w:pPr>
            <w:r>
              <w:t xml:space="preserve">Valor esperado</w:t>
            </w:r>
          </w:p>
        </w:tc>
        <w:tc>
          <w:tcPr/>
          <w:p>
            <w:pPr>
              <w:pStyle w:val="Compact"/>
              <w:jc w:val="center"/>
            </w:pPr>
            <w:r>
              <w:t xml:space="preserve">Cronograma / restrição</w:t>
            </w:r>
          </w:p>
        </w:tc>
      </w:tr>
      <w:tr>
        <w:tc>
          <w:tcPr/>
          <w:p>
            <w:pPr>
              <w:pStyle w:val="Compact"/>
              <w:jc w:val="left"/>
            </w:pPr>
            <w:r>
              <w:t xml:space="preserve">Subsídio federal de resposta a opioid</w:t>
            </w:r>
          </w:p>
        </w:tc>
        <w:tc>
          <w:tcPr/>
          <w:p>
            <w:pPr>
              <w:pStyle w:val="Compact"/>
              <w:jc w:val="center"/>
            </w:pPr>
            <w:r>
              <w:t xml:space="preserve">es $28,4 milhões</w:t>
            </w:r>
          </w:p>
        </w:tc>
        <w:tc>
          <w:tcPr/>
          <w:p>
            <w:pPr>
              <w:pStyle w:val="Compact"/>
              <w:jc w:val="center"/>
            </w:pPr>
            <w:r>
              <w:t xml:space="preserve">Concessão anual; plano aprovado de prevenção, tratamento, redução de danos e recuperação</w:t>
            </w:r>
          </w:p>
        </w:tc>
      </w:tr>
      <w:tr>
        <w:tc>
          <w:tcPr/>
          <w:p>
            <w:pPr>
              <w:pStyle w:val="Compact"/>
              <w:jc w:val="left"/>
            </w:pPr>
            <w:r>
              <w:t xml:space="preserve">Fundo geral estadual</w:t>
            </w:r>
          </w:p>
        </w:tc>
        <w:tc>
          <w:tcPr/>
          <w:p>
            <w:pPr>
              <w:pStyle w:val="Compact"/>
              <w:jc w:val="center"/>
            </w:pPr>
            <w:r>
              <w:t xml:space="preserve">$9,6 milhões</w:t>
            </w:r>
          </w:p>
        </w:tc>
        <w:tc>
          <w:tcPr/>
          <w:p>
            <w:pPr>
              <w:pStyle w:val="Compact"/>
              <w:jc w:val="center"/>
            </w:pPr>
            <w:r>
              <w:t xml:space="preserve">Financiamento-ponte de três meses promulgado; o restante sujeito a negociações orçamentárias</w:t>
            </w:r>
          </w:p>
        </w:tc>
      </w:tr>
      <w:tr>
        <w:tc>
          <w:tcPr/>
          <w:p>
            <w:pPr>
              <w:pStyle w:val="Compact"/>
              <w:jc w:val="left"/>
            </w:pPr>
            <w:r>
              <w:t xml:space="preserve">Alocações de acordos sobre opioides</w:t>
            </w:r>
          </w:p>
        </w:tc>
        <w:tc>
          <w:tcPr/>
          <w:p>
            <w:pPr>
              <w:pStyle w:val="Compact"/>
              <w:jc w:val="center"/>
            </w:pPr>
            <w:r>
              <w:t xml:space="preserve">$7,8 milhões</w:t>
            </w:r>
          </w:p>
        </w:tc>
        <w:tc>
          <w:tcPr/>
          <w:p>
            <w:pPr>
              <w:pStyle w:val="Compact"/>
              <w:jc w:val="center"/>
            </w:pPr>
            <w:r>
              <w:t xml:space="preserve">Aprovações municipais e estaduais; plurianual, mas cronogramas de liberação desiguais</w:t>
            </w:r>
          </w:p>
        </w:tc>
      </w:tr>
      <w:tr>
        <w:tc>
          <w:tcPr/>
          <w:p>
            <w:pPr>
              <w:pStyle w:val="Compact"/>
              <w:jc w:val="left"/>
            </w:pPr>
            <w:r>
              <w:t xml:space="preserve">Fundação hospitalar</w:t>
            </w:r>
          </w:p>
        </w:tc>
        <w:tc>
          <w:tcPr/>
          <w:p>
            <w:pPr>
              <w:pStyle w:val="Compact"/>
              <w:jc w:val="center"/>
            </w:pPr>
            <w:r>
              <w:t xml:space="preserve">$1,0 milhão</w:t>
            </w:r>
          </w:p>
        </w:tc>
        <w:tc>
          <w:tcPr/>
          <w:p>
            <w:pPr>
              <w:pStyle w:val="Compact"/>
              <w:jc w:val="center"/>
            </w:pPr>
            <w:r>
              <w:t xml:space="preserve">Apenas acesso em farmácias e educação pública</w:t>
            </w:r>
          </w:p>
        </w:tc>
      </w:tr>
      <w:tr>
        <w:tc>
          <w:tcPr/>
          <w:p>
            <w:pPr>
              <w:pStyle w:val="Compact"/>
              <w:jc w:val="left"/>
            </w:pPr>
            <w:r>
              <w:t xml:space="preserve">Colaborativa de doadores rurais</w:t>
            </w:r>
          </w:p>
        </w:tc>
        <w:tc>
          <w:tcPr/>
          <w:p>
            <w:pPr>
              <w:pStyle w:val="Compact"/>
              <w:jc w:val="center"/>
            </w:pPr>
            <w:r>
              <w:t xml:space="preserve">$0,7 milhão</w:t>
            </w:r>
          </w:p>
        </w:tc>
        <w:tc>
          <w:tcPr/>
          <w:p>
            <w:pPr>
              <w:pStyle w:val="Compact"/>
              <w:jc w:val="center"/>
            </w:pPr>
            <w:r>
              <w:t xml:space="preserve">Alcance móvel; requer relatório de atividade em nível individual</w:t>
            </w:r>
          </w:p>
        </w:tc>
      </w:tr>
      <w:tr>
        <w:tc>
          <w:tcPr/>
          <w:p>
            <w:pPr>
              <w:pStyle w:val="Compact"/>
              <w:jc w:val="left"/>
            </w:pPr>
            <w:r>
              <w:t xml:space="preserve">Reembolso do Medicaid e seguradoras</w:t>
            </w:r>
          </w:p>
        </w:tc>
        <w:tc>
          <w:tcPr/>
          <w:p>
            <w:pPr>
              <w:pStyle w:val="Compact"/>
              <w:jc w:val="center"/>
            </w:pPr>
            <w:r>
              <w:t xml:space="preserve">$2,3 milhões</w:t>
            </w:r>
          </w:p>
        </w:tc>
        <w:tc>
          <w:tcPr/>
          <w:p>
            <w:pPr>
              <w:pStyle w:val="Compact"/>
              <w:jc w:val="center"/>
            </w:pPr>
            <w:r>
              <w:t xml:space="preserve">Principalmente serviços de tratamento; apoio limitado à distribuição comunitária</w:t>
            </w:r>
          </w:p>
        </w:tc>
      </w:tr>
    </w:tbl>
    <w:p>
      <w:pPr>
        <w:pStyle w:val="BodyText"/>
      </w:pPr>
      <w:r>
        <w:t xml:space="preserve">A equipe financeira estimou que os 36.000 kits, materiais de treinamento, frete e manuseio custariam $1,34 milhão. A agência poderia gastar mais $410.000 em treinamento e comunicações antes do fim do trimestre. Financiar mais educadores de pares reduziria a quantia disponível para publicidade e coleta de dados. Reservar kits para emergências futuras protegeria contra um surto, mas deixaria as solicitações atuais não atendidas.</w:t>
      </w:r>
    </w:p>
    <w:bookmarkEnd w:id="18"/>
    <w:bookmarkEnd w:id="19"/>
    <w:bookmarkStart w:id="21" w:name="quatro-propostas"/>
    <w:p>
      <w:pPr>
        <w:pStyle w:val="Heading1"/>
      </w:pPr>
      <w:r>
        <w:t xml:space="preserve">Quatro Propostas</w:t>
      </w:r>
    </w:p>
    <w:p>
      <w:pPr>
        <w:pStyle w:val="FirstParagraph"/>
      </w:pPr>
      <w:r>
        <w:t xml:space="preserve">Na tarde de sexta-feira, a equipe de Ortiz havia desenvolvido quatro propostas, nenhuma das quais abordava todas as preocupações.</w:t>
      </w:r>
    </w:p>
    <w:p>
      <w:pPr>
        <w:pStyle w:val="BodyText"/>
      </w:pPr>
      <w:r>
        <w:t xml:space="preserve">Proposta A: Seguir a carga atual. Alocar a maioria dos kits para condados e organizações com as maiores contagens recentes de overdose e taxas de distribuição mais rápidas. A abordagem colocaria kits em circulação rapidamente, mas poderia reforçar vantagens geográficas e organizacionais existentes.</w:t>
      </w:r>
    </w:p>
    <w:p>
      <w:pPr>
        <w:pStyle w:val="BodyText"/>
      </w:pPr>
      <w:r>
        <w:t xml:space="preserve">Proposta B: Proteger lacunas de acesso. Dar prioridade a condados rurais, programas tribais, prisões, abrigos e outros lugares onde a resposta do EMS era lenta ou as pessoas tinham poucas alternativas. O plano poderia melhorar a equidade e a disponibilidade, mas alguns destinatários tinham capacidade limitada para treinar, distribuir e relatar o uso.</w:t>
      </w:r>
    </w:p>
    <w:p>
      <w:pPr>
        <w:pStyle w:val="BodyText"/>
      </w:pPr>
      <w:r>
        <w:t xml:space="preserve">Proposta C: Construir uma reserva responsiva. Distribuir 27.000 kits imediatamente e reter 9.000 para desabastecimentos municipais, pontos críticos emergentes, grandes eventos públicos e mudanças no suprimento de drogas. Os parceiros argumentaram que kits em um armazém não podiam reverter uma overdose; Ortiz se preocupava que distribuir tudo deixaria o estado incapaz de responder a novas informações.</w:t>
      </w:r>
    </w:p>
    <w:p>
      <w:pPr>
        <w:pStyle w:val="BodyText"/>
      </w:pPr>
      <w:r>
        <w:t xml:space="preserve">Proposta D: Vincular kits ao aprendizado. Exigir que parceiros selecionados registrassem local de distribuição, tipo de destinatário, método de treinamento, solicitação de reposição e uso relatado. O estado compararia abordagens e direcionaria carregamentos futuros para aquelas que parecessem mais eficazes. Pequenas organizações alertaram que relatórios adicionais poderiam retardar a distribuição, desencorajar destinatários anônimos e favorecer programas com melhores sistemas administrativos em vez de melhor acesso.</w:t>
      </w:r>
    </w:p>
    <w:bookmarkStart w:id="20" w:name="Xcb952e453b314e8f3d82b9eca6b426d08764a46"/>
    <w:p>
      <w:pPr>
        <w:pStyle w:val="Heading2"/>
      </w:pPr>
      <w:r>
        <w:t xml:space="preserve">Exhibit 5. Consequências de Planejamento das Alocações Alternativas</w:t>
      </w:r>
    </w:p>
    <w:tbl>
      <w:tblPr>
        <w:tblStyle w:val="Table"/>
        <w:tblW w:type="pct" w:w="4923"/>
        <w:tblLayout w:type="fixed"/>
        <w:tblLook w:firstRow="1" w:lastRow="0" w:firstColumn="0" w:lastColumn="0" w:noHBand="0" w:noVBand="0" w:val="0020"/>
      </w:tblPr>
      <w:tblGrid>
        <w:gridCol w:w="1523"/>
        <w:gridCol w:w="1401"/>
        <w:gridCol w:w="609"/>
        <w:gridCol w:w="1644"/>
        <w:gridCol w:w="2619"/>
      </w:tblGrid>
      <w:tr>
        <w:trPr>
          <w:tblHeader w:val="on"/>
        </w:trPr>
        <w:tc>
          <w:tcPr/>
          <w:p>
            <w:pPr>
              <w:pStyle w:val="Compact"/>
              <w:jc w:val="left"/>
            </w:pPr>
            <w:r>
              <w:t xml:space="preserve">Plano</w:t>
            </w:r>
          </w:p>
        </w:tc>
        <w:tc>
          <w:tcPr/>
          <w:p>
            <w:pPr>
              <w:pStyle w:val="Compact"/>
              <w:jc w:val="right"/>
            </w:pPr>
            <w:r>
              <w:t xml:space="preserve">Kits distribuídos agor</w:t>
            </w:r>
          </w:p>
        </w:tc>
        <w:tc>
          <w:tcPr/>
          <w:p>
            <w:pPr>
              <w:pStyle w:val="Compact"/>
            </w:pPr>
            <w:r>
              <w:t xml:space="preserve">a Reserva</w:t>
            </w:r>
          </w:p>
        </w:tc>
        <w:tc>
          <w:tcPr/>
          <w:p>
            <w:pPr>
              <w:pStyle w:val="Compact"/>
              <w:jc w:val="right"/>
            </w:pPr>
            <w:r>
              <w:t xml:space="preserve">Gasto em treinamento / d</w:t>
            </w:r>
          </w:p>
        </w:tc>
        <w:tc>
          <w:tcPr/>
          <w:p>
            <w:pPr>
              <w:pStyle w:val="Compact"/>
              <w:jc w:val="left"/>
            </w:pPr>
            <w:r>
              <w:t xml:space="preserve">ados Exposição principal</w:t>
            </w:r>
          </w:p>
        </w:tc>
      </w:tr>
      <w:tr>
        <w:tc>
          <w:tcPr/>
          <w:p>
            <w:pPr>
              <w:pStyle w:val="Compact"/>
              <w:jc w:val="left"/>
            </w:pPr>
            <w:r>
              <w:t xml:space="preserve">A. Carga atual</w:t>
            </w:r>
          </w:p>
        </w:tc>
        <w:tc>
          <w:tcPr/>
          <w:p>
            <w:pPr>
              <w:pStyle w:val="Compact"/>
              <w:jc w:val="right"/>
            </w:pPr>
            <w:r>
              <w:t xml:space="preserve">34.000</w:t>
            </w:r>
          </w:p>
        </w:tc>
        <w:tc>
          <w:tcPr/>
          <w:p>
            <w:pPr>
              <w:pStyle w:val="Compact"/>
            </w:pPr>
            <w:r>
              <w:t xml:space="preserve">2.000</w:t>
            </w:r>
          </w:p>
        </w:tc>
        <w:tc>
          <w:tcPr/>
          <w:p>
            <w:pPr>
              <w:pStyle w:val="Compact"/>
              <w:jc w:val="right"/>
            </w:pPr>
            <w:r>
              <w:t xml:space="preserve">$260.000</w:t>
            </w:r>
          </w:p>
        </w:tc>
        <w:tc>
          <w:tcPr/>
          <w:p>
            <w:pPr>
              <w:pStyle w:val="Compact"/>
              <w:jc w:val="left"/>
            </w:pPr>
            <w:r>
              <w:t xml:space="preserve">Necessidades rurais e emergentes não atendidas</w:t>
            </w:r>
          </w:p>
        </w:tc>
      </w:tr>
      <w:tr>
        <w:tc>
          <w:tcPr/>
          <w:p>
            <w:pPr>
              <w:pStyle w:val="Compact"/>
              <w:jc w:val="left"/>
            </w:pPr>
            <w:r>
              <w:t xml:space="preserve">B. Lacunas de acesso</w:t>
            </w:r>
          </w:p>
        </w:tc>
        <w:tc>
          <w:tcPr/>
          <w:p>
            <w:pPr>
              <w:pStyle w:val="Compact"/>
              <w:jc w:val="right"/>
            </w:pPr>
            <w:r>
              <w:t xml:space="preserve">33.000</w:t>
            </w:r>
          </w:p>
        </w:tc>
        <w:tc>
          <w:tcPr/>
          <w:p>
            <w:pPr>
              <w:pStyle w:val="Compact"/>
            </w:pPr>
            <w:r>
              <w:t xml:space="preserve">3.000</w:t>
            </w:r>
          </w:p>
        </w:tc>
        <w:tc>
          <w:tcPr/>
          <w:p>
            <w:pPr>
              <w:pStyle w:val="Compact"/>
              <w:jc w:val="right"/>
            </w:pPr>
            <w:r>
              <w:t xml:space="preserve">$330.000</w:t>
            </w:r>
          </w:p>
        </w:tc>
        <w:tc>
          <w:tcPr/>
          <w:p>
            <w:pPr>
              <w:pStyle w:val="Compact"/>
              <w:jc w:val="left"/>
            </w:pPr>
            <w:r>
              <w:t xml:space="preserve">Distribuição mais lenta e relatórios mais fracos</w:t>
            </w:r>
          </w:p>
        </w:tc>
      </w:tr>
      <w:tr>
        <w:tc>
          <w:tcPr/>
          <w:p>
            <w:pPr>
              <w:pStyle w:val="Compact"/>
              <w:jc w:val="left"/>
            </w:pPr>
            <w:r>
              <w:t xml:space="preserve">C. Reserva responsiva</w:t>
            </w:r>
          </w:p>
        </w:tc>
        <w:tc>
          <w:tcPr/>
          <w:p>
            <w:pPr>
              <w:pStyle w:val="Compact"/>
              <w:jc w:val="right"/>
            </w:pPr>
            <w:r>
              <w:t xml:space="preserve">27.000</w:t>
            </w:r>
          </w:p>
        </w:tc>
        <w:tc>
          <w:tcPr/>
          <w:p>
            <w:pPr>
              <w:pStyle w:val="Compact"/>
            </w:pPr>
            <w:r>
              <w:t xml:space="preserve">9.000</w:t>
            </w:r>
          </w:p>
        </w:tc>
        <w:tc>
          <w:tcPr/>
          <w:p>
            <w:pPr>
              <w:pStyle w:val="Compact"/>
              <w:jc w:val="right"/>
            </w:pPr>
            <w:r>
              <w:t xml:space="preserve">$240.000</w:t>
            </w:r>
          </w:p>
        </w:tc>
        <w:tc>
          <w:tcPr/>
          <w:p>
            <w:pPr>
              <w:pStyle w:val="Compact"/>
              <w:jc w:val="left"/>
            </w:pPr>
            <w:r>
              <w:t xml:space="preserve">Estoque retido enquanto parceiros racionam</w:t>
            </w:r>
          </w:p>
        </w:tc>
      </w:tr>
      <w:tr>
        <w:tc>
          <w:tcPr/>
          <w:p>
            <w:pPr>
              <w:pStyle w:val="Compact"/>
              <w:jc w:val="left"/>
            </w:pPr>
            <w:r>
              <w:t xml:space="preserve">D. Alocação de aprendizad</w:t>
            </w:r>
          </w:p>
        </w:tc>
        <w:tc>
          <w:tcPr/>
          <w:p>
            <w:pPr>
              <w:pStyle w:val="Compact"/>
              <w:jc w:val="right"/>
            </w:pPr>
            <w:r>
              <w:t xml:space="preserve">o 31.000</w:t>
            </w:r>
          </w:p>
        </w:tc>
        <w:tc>
          <w:tcPr/>
          <w:p>
            <w:pPr>
              <w:pStyle w:val="Compact"/>
            </w:pPr>
            <w:r>
              <w:t xml:space="preserve">5.000</w:t>
            </w:r>
          </w:p>
        </w:tc>
        <w:tc>
          <w:tcPr/>
          <w:p>
            <w:pPr>
              <w:pStyle w:val="Compact"/>
              <w:jc w:val="right"/>
            </w:pPr>
            <w:r>
              <w:t xml:space="preserve">$410.000</w:t>
            </w:r>
          </w:p>
        </w:tc>
        <w:tc>
          <w:tcPr/>
          <w:p>
            <w:pPr>
              <w:pStyle w:val="Compact"/>
              <w:jc w:val="left"/>
            </w:pPr>
            <w:r>
              <w:t xml:space="preserve">Sobrecarga administrativa e viés de seleção</w:t>
            </w:r>
          </w:p>
        </w:tc>
      </w:tr>
    </w:tbl>
    <w:p>
      <w:pPr>
        <w:pStyle w:val="BodyText"/>
      </w:pPr>
      <w:r>
        <w:t xml:space="preserve">A tabela não estimava vidas salvas. A equipe carecia de uma conversão defensável de kits distribuídos para kits carregados, overdoses testemunhadas, doses administradas, sobrevivência, transporte evitado ou custo hospitalar reduzido. Mesmo a sobrevivência após a administração não podia ser atribuída inteiramente ao kit, porque a resposta do EMS, a respiração de resgate, as substâncias envolvidas, a dosagem, o momento e a saúde da pessoa importavam.</w:t>
      </w:r>
    </w:p>
    <w:bookmarkEnd w:id="20"/>
    <w:bookmarkEnd w:id="21"/>
    <w:bookmarkStart w:id="22" w:name="segunda-feira-de-manhã"/>
    <w:p>
      <w:pPr>
        <w:pStyle w:val="Heading1"/>
      </w:pPr>
      <w:r>
        <w:t xml:space="preserve">Segunda-feira de Manhã</w:t>
      </w:r>
    </w:p>
    <w:p>
      <w:pPr>
        <w:pStyle w:val="FirstParagraph"/>
      </w:pPr>
      <w:r>
        <w:t xml:space="preserve">Durante o fim de semana, o Corredor Urbano Leste relatou nove suspeitas de overdose em quarenta e oito horas, incluindo duas mortes. A confirmação toxicológica levaria semanas. Um condado ocidental anunciou que sua única enfermeira de redução de danos estava se demitindo. Os subúrbios ao sul ofereceram emprestar estoque, mas solicitaram reembolso pelo tempo da equipe e envio. Um diretor de saúde tribal pediu a Ortiz que ignorasse a fórmula de alocação municipal e enviasse kits diretamente para três locais comunitários antes de um festival próximo.</w:t>
      </w:r>
    </w:p>
    <w:p>
      <w:pPr>
        <w:pStyle w:val="BodyText"/>
      </w:pPr>
      <w:r>
        <w:t xml:space="preserve">Ortiz agora precisava determinar não apenas para onde iriam os 36.000 kits, mas quais condições justificariam mudar o plano. Ela poderia usar mortes relatadas, chamadas de EMS, níveis de estoque dos parceiros, novos contaminantes, aglomerados incomumente grandes, ou evidências de que os kits não estavam alcançando pessoas com maior probabilidade de testemunhar uma overdose. Todo sinal tinha atrasos e lacunas. Toda realocação corria o risco de parecer política para uma organização que perdesse suprimento.</w:t>
      </w:r>
    </w:p>
    <w:p>
      <w:pPr>
        <w:pStyle w:val="BodyText"/>
      </w:pPr>
      <w:r>
        <w:t xml:space="preserve">Às 10h30 de segunda-feira, o comissário de saúde pediria uma recomendação. Ortiz precisava explicar como a alocação protegeria a vida, conteria o custo público, alcançaria comunidades carentes e permaneceria viável para organizações com equipe limitada. Ela também precisava dizer quanta informação o departamento deveria exigir dos parceiros quando o anonimato e a confiança faziam parte do serviço sendo prestado.</w:t>
      </w:r>
    </w:p>
    <w:p>
      <w:pPr>
        <w:pStyle w:val="BodyText"/>
      </w:pPr>
      <w:r>
        <w:t xml:space="preserve">O carregamento era grande o suficiente para importar e pequeno demais para satisfazer todas as solicitações. O estado podia contar as caixas saindo do armazém. Não podia contar facilmente se a naloxona estaria presente no lugar certo, se alguém reconheceria a overdose, se administraria o medicamento, ou se o próximo carregamento chegaria antes que os suprimentos locais se esgotassem.</w:t>
      </w:r>
    </w:p>
    <w:bookmarkEnd w:id="22"/>
    <w:bookmarkStart w:id="23" w:name="questões-de-discussão"/>
    <w:p>
      <w:pPr>
        <w:pStyle w:val="Heading1"/>
      </w:pPr>
      <w:r>
        <w:t xml:space="preserve">Questões de Discussão</w:t>
      </w:r>
    </w:p>
    <w:p>
      <w:pPr>
        <w:numPr>
          <w:ilvl w:val="0"/>
          <w:numId w:val="1001"/>
        </w:numPr>
      </w:pPr>
      <w:r>
        <w:t xml:space="preserve">Qual é o problema central enfrentado por Ortiz e o Departamento de Saúde de Bellwether?</w:t>
      </w:r>
    </w:p>
    <w:p>
      <w:pPr>
        <w:numPr>
          <w:ilvl w:val="0"/>
          <w:numId w:val="1001"/>
        </w:numPr>
      </w:pPr>
      <w:r>
        <w:t xml:space="preserve">Qual informação nos exhibits deveria ter mais peso na alocação dos 36.000 kits?</w:t>
      </w:r>
    </w:p>
    <w:p>
      <w:pPr>
        <w:numPr>
          <w:ilvl w:val="0"/>
          <w:numId w:val="1001"/>
        </w:numPr>
      </w:pPr>
      <w:r>
        <w:t xml:space="preserve">Como o estado deveria equilibrar programas urbanos de alto volume contra comunidades rurais e tribais com tempos de resposta de emergência mais longos?</w:t>
      </w:r>
    </w:p>
    <w:p>
      <w:pPr>
        <w:numPr>
          <w:ilvl w:val="0"/>
          <w:numId w:val="1001"/>
        </w:numPr>
      </w:pPr>
      <w:r>
        <w:t xml:space="preserve">Bellwether deveria reter uma reserva central? O que deveria desencadear sua liberação?</w:t>
      </w:r>
    </w:p>
    <w:p>
      <w:pPr>
        <w:numPr>
          <w:ilvl w:val="0"/>
          <w:numId w:val="1001"/>
        </w:numPr>
      </w:pPr>
      <w:r>
        <w:t xml:space="preserve">Como os kits deveriam ser divididos entre organizações de redução de danos, socorristas, provedores de tratamento, farmácias, prisões e outras organizações comunitárias?</w:t>
      </w:r>
    </w:p>
    <w:p>
      <w:pPr>
        <w:numPr>
          <w:ilvl w:val="0"/>
          <w:numId w:val="1001"/>
        </w:numPr>
      </w:pPr>
      <w:r>
        <w:t xml:space="preserve">Quanto treinamento deveria acompanhar a distribuição, e quem deveria recebê-lo?</w:t>
      </w:r>
    </w:p>
    <w:p>
      <w:pPr>
        <w:numPr>
          <w:ilvl w:val="0"/>
          <w:numId w:val="1001"/>
        </w:numPr>
      </w:pPr>
      <w:r>
        <w:t xml:space="preserve">Quais informações os parceiros deveriam ser obrigados a relatar? Quando os requisitos de relatório poderiam reduzir o acesso ou a confiança?</w:t>
      </w:r>
    </w:p>
    <w:p>
      <w:pPr>
        <w:numPr>
          <w:ilvl w:val="0"/>
          <w:numId w:val="1001"/>
        </w:numPr>
      </w:pPr>
      <w:r>
        <w:t xml:space="preserve">Como o suprimento ilegal de drogas em mudança deveria afetar o plano de alocação e comunicação do estado?</w:t>
      </w:r>
    </w:p>
    <w:p>
      <w:pPr>
        <w:numPr>
          <w:ilvl w:val="0"/>
          <w:numId w:val="1001"/>
        </w:numPr>
      </w:pPr>
      <w:r>
        <w:t xml:space="preserve">Como as restrições vinculadas a financiamento federal, estadual, de acordos judiciais e de doadores deveriam moldar o plano operacional?</w:t>
      </w:r>
    </w:p>
    <w:p>
      <w:pPr>
        <w:numPr>
          <w:ilvl w:val="0"/>
          <w:numId w:val="1001"/>
        </w:numPr>
      </w:pPr>
      <w:r>
        <w:t xml:space="preserve">Que evidência após três ou seis meses indicaria que a alocação deveria ser continuada, expandida ou redesenhada?</w:t>
      </w:r>
    </w:p>
    <w:bookmarkEnd w:id="23"/>
    <w:bookmarkStart w:id="29" w:name="questões-de-enquadramento-de-decisão"/>
    <w:p>
      <w:pPr>
        <w:pStyle w:val="Heading1"/>
      </w:pPr>
      <w:r>
        <w:t xml:space="preserve">Questões de Enquadramento de Decisão</w:t>
      </w:r>
    </w:p>
    <w:p>
      <w:pPr>
        <w:numPr>
          <w:ilvl w:val="0"/>
          <w:numId w:val="1002"/>
        </w:numPr>
      </w:pPr>
      <w:r>
        <w:t xml:space="preserve">Identifique e descreva as responsabilidades do tomador de decisão. Isso deve estabelecer o escopo do problema.</w:t>
      </w:r>
    </w:p>
    <w:p>
      <w:pPr>
        <w:numPr>
          <w:ilvl w:val="0"/>
          <w:numId w:val="1002"/>
        </w:numPr>
      </w:pPr>
      <w:r>
        <w:t xml:space="preserve">Use a</w:t>
      </w:r>
      <w:r>
        <w:t xml:space="preserve"> </w:t>
      </w:r>
      <w:hyperlink r:id="rId24">
        <w:r>
          <w:rPr>
            <w:rStyle w:val="Hyperlink"/>
          </w:rPr>
          <w:t xml:space="preserve">ferramenta de pirâmide de métricas</w:t>
        </w:r>
      </w:hyperlink>
      <w:r>
        <w:t xml:space="preserve"> </w:t>
      </w:r>
      <w:r>
        <w:t xml:space="preserve">para identificar e priorizar as diferentes métricas de desempenho. Clique no oval que contém a métrica para identificar se é uma métrica a ser maximizada (verde), minimizada (vermelho), uma meta que é um piso (verde claro) ou um teto (vermelho claro), ou finalmente uma meta (roxo).</w:t>
      </w:r>
    </w:p>
    <w:p>
      <w:pPr>
        <w:numPr>
          <w:ilvl w:val="0"/>
          <w:numId w:val="1002"/>
        </w:numPr>
      </w:pPr>
      <w:r>
        <w:t xml:space="preserve">Use a</w:t>
      </w:r>
      <w:r>
        <w:t xml:space="preserve"> </w:t>
      </w:r>
      <w:hyperlink r:id="rId25">
        <w:r>
          <w:rPr>
            <w:rStyle w:val="Hyperlink"/>
          </w:rPr>
          <w:t xml:space="preserve">ferramenta de priorização de decisões</w:t>
        </w:r>
      </w:hyperlink>
      <w:r>
        <w:t xml:space="preserve"> </w:t>
      </w:r>
      <w:r>
        <w:t xml:space="preserve">para primeiro listar os diferentes tipos de decisões (use os</w:t>
      </w:r>
      <w:r>
        <w:t xml:space="preserve"> </w:t>
      </w:r>
      <w:hyperlink r:id="rId26">
        <w:r>
          <w:rPr>
            <w:rStyle w:val="Hyperlink"/>
          </w:rPr>
          <w:t xml:space="preserve">tipos de decisões</w:t>
        </w:r>
      </w:hyperlink>
      <w:r>
        <w:t xml:space="preserve"> </w:t>
      </w:r>
      <w:r>
        <w:t xml:space="preserve">como guia). Estas então preencherão as linhas da matriz à direita, onde as colunas são as métricas de desempenho ordenadas da esquerda para a direita pela prioridade na pirâmide acima. Clique em cada célula para indicar se o impacto da decisão em cada métrica é alto (vermelho), médio (laranja), baixo (amarelo) ou nenhum (branco).</w:t>
      </w:r>
    </w:p>
    <w:p>
      <w:pPr>
        <w:numPr>
          <w:ilvl w:val="0"/>
          <w:numId w:val="1002"/>
        </w:numPr>
      </w:pPr>
      <w:r>
        <w:t xml:space="preserve">Você pode segurar a alça (três barras) mais à esquerda em cada linha para movê-la para cima ou para baixo. Ordene as linhas para que as decisões com o maior impacto nas métricas mais importantes fiquem no topo. As células no canto superior esquerdo devem ter a maior concentração de células vermelhas e laranjas. Neste ponto, identifique as decisões que devem receber mais atenção em seu estudo. Se você não tiver nenhuma decisão com impacto médio ou alto nas métricas mais importantes, revise sua lista de decisões.</w:t>
      </w:r>
    </w:p>
    <w:p>
      <w:pPr>
        <w:numPr>
          <w:ilvl w:val="0"/>
          <w:numId w:val="1002"/>
        </w:numPr>
      </w:pPr>
      <w:r>
        <w:t xml:space="preserve">Repita o processo para listar e priorizar as incertezas usando a</w:t>
      </w:r>
      <w:r>
        <w:t xml:space="preserve"> </w:t>
      </w:r>
      <w:hyperlink r:id="rId27">
        <w:r>
          <w:rPr>
            <w:rStyle w:val="Hyperlink"/>
          </w:rPr>
          <w:t xml:space="preserve">ferramenta de priorização de incertezas</w:t>
        </w:r>
      </w:hyperlink>
      <w:r>
        <w:t xml:space="preserve">. Use as</w:t>
      </w:r>
      <w:r>
        <w:t xml:space="preserve"> </w:t>
      </w:r>
      <w:hyperlink r:id="rId28">
        <w:r>
          <w:rPr>
            <w:rStyle w:val="Hyperlink"/>
          </w:rPr>
          <w:t xml:space="preserve">categorias de incerteza</w:t>
        </w:r>
      </w:hyperlink>
      <w:r>
        <w:t xml:space="preserve"> </w:t>
      </w:r>
      <w:r>
        <w:t xml:space="preserve">para ajudá-lo a identificá-las.</w:t>
      </w:r>
    </w:p>
    <w:p>
      <w:pPr>
        <w:numPr>
          <w:ilvl w:val="0"/>
          <w:numId w:val="1002"/>
        </w:numPr>
      </w:pPr>
      <w:r>
        <w:t xml:space="preserve">É importante diferenciar incertezas que podem ser avaliadas em média, ou como eventos de risco:</w:t>
      </w:r>
    </w:p>
    <w:p>
      <w:pPr>
        <w:numPr>
          <w:ilvl w:val="1"/>
          <w:numId w:val="1003"/>
        </w:numPr>
      </w:pPr>
      <w:r>
        <w:t xml:space="preserve">Quais fontes de incerteza seriam capturadas usando o desempenho médio ao longo do tempo?</w:t>
      </w:r>
    </w:p>
    <w:p>
      <w:pPr>
        <w:numPr>
          <w:ilvl w:val="1"/>
          <w:numId w:val="1003"/>
        </w:numPr>
      </w:pPr>
      <w:r>
        <w:t xml:space="preserve">Quais fontes de incerteza representam formas de risco que não são adequadamente capturadas usando médias?</w:t>
      </w:r>
    </w:p>
    <w:p>
      <w:pPr>
        <w:numPr>
          <w:ilvl w:val="0"/>
          <w:numId w:val="1002"/>
        </w:numPr>
      </w:pPr>
      <w:r>
        <w:t xml:space="preserve">Escolha a única decisão que parece ter o maior impacto na métrica mais importante.</w:t>
      </w:r>
    </w:p>
    <w:p>
      <w:pPr>
        <w:numPr>
          <w:ilvl w:val="1"/>
          <w:numId w:val="1004"/>
        </w:numPr>
      </w:pPr>
      <w:r>
        <w:t xml:space="preserve">Que abordagem você acha que usaria para tomar essa decisão?</w:t>
      </w:r>
    </w:p>
    <w:p>
      <w:pPr>
        <w:numPr>
          <w:ilvl w:val="1"/>
          <w:numId w:val="1004"/>
        </w:numPr>
      </w:pPr>
      <w:r>
        <w:t xml:space="preserve">Quais dados parecem ser necessários para tomar essa decisão, incluindo o cálculo de quaisquer métricas de desempenho em que a decisão teria um impacto alto ou médio.</w:t>
      </w:r>
    </w:p>
    <w:p>
      <w:pPr>
        <w:numPr>
          <w:ilvl w:val="0"/>
          <w:numId w:val="1002"/>
        </w:numPr>
      </w:pPr>
      <w:r>
        <w:t xml:space="preserve">Usando a mesma decisão que você identificou em (7), identifique as pessoas, departamentos, grupos ou organizações com os quais você precisaria trabalhar para implementar a decisão.</w:t>
      </w:r>
    </w:p>
    <w:bookmarkEnd w:id="29"/>
    <w:bookmarkStart w:id="30" w:name="nota-de-fonte"/>
    <w:p>
      <w:pPr>
        <w:pStyle w:val="Heading1"/>
      </w:pPr>
      <w:r>
        <w:t xml:space="preserve">Nota de Fonte</w:t>
      </w:r>
    </w:p>
    <w:p>
      <w:pPr>
        <w:pStyle w:val="FirstParagraph"/>
      </w:pPr>
      <w:r>
        <w:t xml:space="preserve">O fundamento conceitual para este caso é a seção</w:t>
      </w:r>
      <w:r>
        <w:t xml:space="preserve"> </w:t>
      </w:r>
      <w:r>
        <w:t xml:space="preserve">“Public health - Managing naloxone kits”</w:t>
      </w:r>
      <w:r>
        <w:t xml:space="preserve"> </w:t>
      </w:r>
      <w:r>
        <w:t xml:space="preserve">de Warren B. Powell, Bridging Decision Problems, Volume I: Framing the Problem, Capítulo 2. O caso incorpora os resultados de saúde pública, escolhas de alocação e alcance, questões de financiamento e padrões de uso desconhecidos da seção na narrativa e nos exhibits, sem identificá-los como categorias analíticas separadas.</w:t>
      </w:r>
    </w:p>
    <w:p>
      <w:pPr>
        <w:pStyle w:val="BodyText"/>
      </w:pPr>
      <w:r>
        <w:t xml:space="preserve">Dados públicos usados para motivar o cenário incluem dados finais de mortalidade do CDC relatando 79.384 mortes por overdose de drogas nos EUA em 2024 e um declínio de 26,2 por cento na taxa de mortalidade ajustada por idade em relação a 2023; estimativas preliminares do CDC de 68.641 mortes para os doze meses encerrados em fevereiro de 2026, 12,1 por cento abaixo do ano anterior; dados de farmácias do CDC relatando mais de 1,5 milhão de prescrições de naloxona dispensadas em 2024 e variação geográfica substancial; e o anúncio da SAMHSA de setembro de 2025 de $1,48 bilhão em concessões de continuação de Resposta Estadual a Opioides e quase $63 milhões para Resposta Tribal a Opioides. Alertas do CDC sobre medetomidina no suprimento ilegal de fentanil informaram a discussão sobre contaminantes em mudança. Todos os dados, pessoas, organizações, orçamentos e eventos de Bellwether são fictícios.</w:t>
      </w:r>
    </w:p>
    <w:bookmarkEnd w:id="30"/>
    <w:bookmarkStart w:id="33" w:name="notas-do-chatgpt"/>
    <w:p>
      <w:pPr>
        <w:pStyle w:val="Heading1"/>
      </w:pPr>
      <w:r>
        <w:t xml:space="preserve">Notas do ChatGPT</w:t>
      </w:r>
    </w:p>
    <w:bookmarkStart w:id="31" w:name="prompt"/>
    <w:p>
      <w:pPr>
        <w:pStyle w:val="Heading2"/>
      </w:pPr>
      <w:r>
        <w:t xml:space="preserve">Prompt</w:t>
      </w:r>
    </w:p>
    <w:p>
      <w:pPr>
        <w:pStyle w:val="FirstParagraph"/>
      </w:pPr>
      <w:r>
        <w:t xml:space="preserve">Escreva um estudo de caso de 4 a 6 páginas com base no material na seção em https://warrenpowell.org/bridging-vol1/chapter-2/#public-health--managing-naloxone-kits. Crie um contexto baseado nas métricas, decisões e incertezas na seção, mas sem chamar explicitamente a atenção para elas. Motive seu problema de caso com dados.</w:t>
      </w:r>
    </w:p>
    <w:bookmarkEnd w:id="31"/>
    <w:bookmarkStart w:id="32" w:name="resumo"/>
    <w:p>
      <w:pPr>
        <w:pStyle w:val="Heading2"/>
      </w:pPr>
      <w:r>
        <w:t xml:space="preserve">Resumo</w:t>
      </w:r>
    </w:p>
    <w:p>
      <w:pPr>
        <w:pStyle w:val="FirstParagraph"/>
      </w:pPr>
      <w:r>
        <w:t xml:space="preserve">O caso aborda a alocação de naloxona entre comunidades urbanas, rurais e tribais; distribuição por meio de socorristas, organizações de redução de danos, hospitais, farmácias, prisões e grupos comunitários; treinamento e conscientização pública; contaminantes em mudança no suprimento de drogas; financiamento federal e estadual incerto; sobrecargas de relatório; e se deve reter uma reserva de estoque de emergência.</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2026-09-11T16:34:59Z</dcterms:created>
  <dcterms:modified xsi:type="dcterms:W3CDTF">2026-09-11T16:34:59Z</dcterms:modified>
</cp:coreProperties>
</file>

<file path=docProps/custom.xml><?xml version="1.0" encoding="utf-8"?>
<Properties xmlns="http://schemas.openxmlformats.org/officeDocument/2006/custom-properties" xmlns:vt="http://schemas.openxmlformats.org/officeDocument/2006/docPropsVTypes"/>
</file>