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Operador do Sistema Blue River</w:t>
      </w:r>
    </w:p>
    <w:p>
      <w:pPr>
        <w:pStyle w:val="BodyText"/>
      </w:pPr>
      <w:r>
        <w:t xml:space="preserve">A decisão de confiabilidade das 18h</w:t>
      </w:r>
    </w:p>
    <w:p>
      <w:pPr>
        <w:pStyle w:val="BodyText"/>
      </w:pPr>
      <w:r>
        <w:t xml:space="preserve">Este caso é fictício e destina-se à discussão instrucional. Nomes, eventos, fundos e números internos são inventados, embora o contexto do setor seja motivado por dados públicos.</w:t>
      </w:r>
    </w:p>
    <w:p>
      <w:pPr>
        <w:pStyle w:val="BodyText"/>
      </w:pPr>
      <w:r>
        <w:rPr>
          <w:b/>
          <w:bCs/>
        </w:rPr>
        <w:t xml:space="preserve">Às 13h40 do dia 22 de julho, Elena Marquez, diretora de operações (COO) do Blue River System Operator (BRSO), estudava três telas na sala de controle regional.</w:t>
      </w:r>
      <w:r>
        <w:t xml:space="preserve"> </w:t>
      </w:r>
      <w:r>
        <w:t xml:space="preserve">Uma mostrava uma previsão de demanda subindo em direção a um pico noturno recorde. A segunda mostrava um conjunto de tempestades se aproximando do corredor solar ocidental. A terceira exibia um alerta da Unidade 4 de Riverbend, um gerador de ciclo combinado de 720 megawatts cujo sistema de resfriamento havia começado a vibrar fora de sua faixa normal.</w:t>
      </w:r>
    </w:p>
    <w:p>
      <w:pPr>
        <w:pStyle w:val="BodyText"/>
      </w:pPr>
      <w:r>
        <w:t xml:space="preserve">O BRSO coordenava a rede de alta tensão que atendia 8,7 milhões de pessoas nos estados fictícios de Franklin, Monroe e Easton. Não era proprietária da maioria dos geradores ou linhas de transmissão. Em vez disso, comprometia unidades geradoras com antecedência, as despachava em tempo real, comprava energia de regiões vizinhas, mantinha a frequência e direcionava ações emergenciais quando o suprimento não conseguia cobrir a demanda com segurança.</w:t>
      </w:r>
    </w:p>
    <w:p>
      <w:pPr>
        <w:pStyle w:val="BodyText"/>
      </w:pPr>
      <w:r>
        <w:t xml:space="preserve">O pico noturno era esperado por volta das 18h, quando escritórios e fábricas ainda estariam operando, os trabalhadores retornariam para casa e as cargas de ar-condicionado permaneceriam altas. O plano do dia anterior assumia 7.900 MW de produção solar às 14h, diminuindo para 2.100 MW às 19h. Também assumia que a Unidade 4 de Riverbend permaneceria disponível. Se a cobertura de nuvens chegasse cedo e a Riverbend disparasse, a reserva operacional poderia cair abaixo da meta do BRSO antes do pico.</w:t>
      </w:r>
    </w:p>
    <w:p>
      <w:pPr>
        <w:pStyle w:val="BodyText"/>
      </w:pPr>
      <w:r>
        <w:t xml:space="preserve">Marquez tinha escolhas imediatas: pedir que a Riverbend permanecesse online com produção reduzida; ligar duas unidades de pico mais antigas movidas a óleo; comprar energia no mercado de cinco minutos; descarregar baterias mais cedo do que o planejado; convocar um evento voluntário de resposta à demanda; ou preparar interrupções controladas de serviço para um pequeno grupo de clientes industriais. Cada ação alterava as opções que permaneceriam disponíveis mais tarde no dia. As baterias podiam responder em segundos, mas sua energia armazenada se esgotaria após quatro horas. Ligar as unidades a óleo exigia quarenta minutos e produziria custos operacionais e emissões elevados. A energia importada parecia disponível, mas as regiões vizinhas estavam enfrentando a mesma onda de calor.</w:t>
      </w:r>
    </w:p>
    <w:bookmarkStart w:id="9" w:name="Xb62f79ec35370867f075d9647fb4266af1e03f5"/>
    <w:p>
      <w:pPr>
        <w:pStyle w:val="Heading1"/>
      </w:pPr>
      <w:r>
        <w:t xml:space="preserve">Uma Rede Entrando em uma Nova Era de Crescimento</w:t>
      </w:r>
    </w:p>
    <w:p>
      <w:pPr>
        <w:pStyle w:val="FirstParagraph"/>
      </w:pPr>
      <w:r>
        <w:t xml:space="preserve">Por quase duas décadas, o consumo de eletricidade nos Estados Unidos cresceu lentamente. Essa suposição agora estava desaparecendo. A U.S. Energy Information Administration relatou que a demanda de eletricidade cresceu cerca de 1,7 por cento ao ano de 2020 a 2025, comparado com aproximadamente 0,1 por cento de crescimento anual durante a década anterior. A EIA esperava crescimento contínuo à medida que data centers, manufatura, eletrificação de edifícios e outras grandes cargas se conectassem à rede.</w:t>
      </w:r>
    </w:p>
    <w:p>
      <w:pPr>
        <w:pStyle w:val="BodyText"/>
      </w:pPr>
      <w:r>
        <w:t xml:space="preserve">Os planejadores de confiabilidade da América do Norte também estavam elevando suas previsões. A avaliação de longo prazo de 2025 da NERC projetou que a demanda de pico de verão poderia crescer 224 GW ao longo de dez anos - mais de 69 por cento acima do aumento previsto apenas um ano antes. Novos data centers que sustentam a inteligência artificial e a economia digital representaram grande parte da revisão.</w:t>
      </w:r>
    </w:p>
    <w:p>
      <w:pPr>
        <w:pStyle w:val="BodyText"/>
      </w:pPr>
      <w:r>
        <w:t xml:space="preserve">O Blue River estava vivenciando essas forças de forma concentrada. Três complexos de data centers haviam sido inaugurados desde 2023. Mais seis projetos, totalizando 4.600 MW de serviço solicitado, estavam em vários estágios de estudo. Alguns nunca seriam construídos, mas o BRSO não podia presumir isso. Uma siderúrgica também estava considerando uma mudança de fornos a gás para tecnologia de forno a arco elétrico, enquanto os domicílios instalavam bombas de calor e veículos elétricos. Enquanto isso, usinas antigas de carvão e óleo estavam sendo desativadas, e a maior parte da capacidade de substituição proposta consistia em solar, eólica e baterias cuja disponibilidade variava conforme a hora e o clima.</w:t>
      </w:r>
    </w:p>
    <w:p>
      <w:pPr>
        <w:pStyle w:val="BodyText"/>
      </w:pPr>
      <w:r>
        <w:t xml:space="preserve">Exibição 1. Perspectiva de demanda e recursos do Blue River</w:t>
      </w:r>
    </w:p>
    <w:tbl>
      <w:tblPr>
        <w:tblStyle w:val="Table"/>
        <w:tblW w:type="pct" w:w="4907"/>
        <w:tblLayout w:type="fixed"/>
        <w:tblLook w:firstRow="1" w:lastRow="0" w:firstColumn="0" w:lastColumn="0" w:noHBand="0" w:noVBand="0" w:val="0020"/>
      </w:tblPr>
      <w:tblGrid>
        <w:gridCol w:w="2738"/>
        <w:gridCol w:w="1554"/>
        <w:gridCol w:w="1702"/>
        <w:gridCol w:w="1776"/>
      </w:tblGrid>
      <w:tr>
        <w:trPr>
          <w:tblHeader w:val="on"/>
        </w:trPr>
        <w:tc>
          <w:tcPr/>
          <w:p>
            <w:pPr>
              <w:pStyle w:val="Compact"/>
              <w:jc w:val="left"/>
            </w:pPr>
            <w:r>
              <w:t xml:space="preserve">Medida</w:t>
            </w:r>
          </w:p>
        </w:tc>
        <w:tc>
          <w:tcPr/>
          <w:p>
            <w:pPr>
              <w:pStyle w:val="Compact"/>
              <w:jc w:val="center"/>
            </w:pPr>
            <w:r>
              <w:t xml:space="preserve">2022</w:t>
            </w:r>
          </w:p>
        </w:tc>
        <w:tc>
          <w:tcPr/>
          <w:p>
            <w:pPr>
              <w:pStyle w:val="Compact"/>
              <w:jc w:val="center"/>
            </w:pPr>
            <w:r>
              <w:t xml:space="preserve">Estimativa 2026</w:t>
            </w:r>
          </w:p>
        </w:tc>
        <w:tc>
          <w:tcPr/>
          <w:p>
            <w:pPr>
              <w:pStyle w:val="Compact"/>
              <w:jc w:val="right"/>
            </w:pPr>
            <w:r>
              <w:t xml:space="preserve">Cenário de planejamento 2031</w:t>
            </w:r>
          </w:p>
        </w:tc>
      </w:tr>
      <w:tr>
        <w:tc>
          <w:tcPr/>
          <w:p>
            <w:pPr>
              <w:pStyle w:val="Compact"/>
              <w:jc w:val="left"/>
            </w:pPr>
            <w:r>
              <w:t xml:space="preserve">Uso anual de eletricidade (TWh)</w:t>
            </w:r>
          </w:p>
        </w:tc>
        <w:tc>
          <w:tcPr/>
          <w:p>
            <w:pPr>
              <w:pStyle w:val="Compact"/>
              <w:jc w:val="center"/>
            </w:pPr>
            <w:r>
              <w:t xml:space="preserve">142</w:t>
            </w:r>
          </w:p>
        </w:tc>
        <w:tc>
          <w:tcPr/>
          <w:p>
            <w:pPr>
              <w:pStyle w:val="Compact"/>
              <w:jc w:val="center"/>
            </w:pPr>
            <w:r>
              <w:t xml:space="preserve">157</w:t>
            </w:r>
          </w:p>
        </w:tc>
        <w:tc>
          <w:tcPr/>
          <w:p>
            <w:pPr>
              <w:pStyle w:val="Compact"/>
              <w:jc w:val="right"/>
            </w:pPr>
            <w:r>
              <w:t xml:space="preserve">190</w:t>
            </w:r>
          </w:p>
        </w:tc>
      </w:tr>
      <w:tr>
        <w:tc>
          <w:tcPr/>
          <w:p>
            <w:pPr>
              <w:pStyle w:val="Compact"/>
              <w:jc w:val="left"/>
            </w:pPr>
            <w:r>
              <w:t xml:space="preserve">Demanda de pico no verão (MW)</w:t>
            </w:r>
          </w:p>
        </w:tc>
        <w:tc>
          <w:tcPr/>
          <w:p>
            <w:pPr>
              <w:pStyle w:val="Compact"/>
              <w:jc w:val="center"/>
            </w:pPr>
            <w:r>
              <w:t xml:space="preserve">24.800</w:t>
            </w:r>
          </w:p>
        </w:tc>
        <w:tc>
          <w:tcPr/>
          <w:p>
            <w:pPr>
              <w:pStyle w:val="Compact"/>
              <w:jc w:val="center"/>
            </w:pPr>
            <w:r>
              <w:t xml:space="preserve">28.900</w:t>
            </w:r>
          </w:p>
        </w:tc>
        <w:tc>
          <w:tcPr/>
          <w:p>
            <w:pPr>
              <w:pStyle w:val="Compact"/>
              <w:jc w:val="right"/>
            </w:pPr>
            <w:r>
              <w:t xml:space="preserve">36.500</w:t>
            </w:r>
          </w:p>
        </w:tc>
      </w:tr>
      <w:tr>
        <w:tc>
          <w:tcPr/>
          <w:p>
            <w:pPr>
              <w:pStyle w:val="Compact"/>
              <w:jc w:val="left"/>
            </w:pPr>
            <w:r>
              <w:t xml:space="preserve">Carga de pico de data centers (MW)</w:t>
            </w:r>
          </w:p>
        </w:tc>
        <w:tc>
          <w:tcPr/>
          <w:p>
            <w:pPr>
              <w:pStyle w:val="Compact"/>
              <w:jc w:val="center"/>
            </w:pPr>
            <w:r>
              <w:t xml:space="preserve">650</w:t>
            </w:r>
          </w:p>
        </w:tc>
        <w:tc>
          <w:tcPr/>
          <w:p>
            <w:pPr>
              <w:pStyle w:val="Compact"/>
              <w:jc w:val="center"/>
            </w:pPr>
            <w:r>
              <w:t xml:space="preserve">2.750</w:t>
            </w:r>
          </w:p>
        </w:tc>
        <w:tc>
          <w:tcPr/>
          <w:p>
            <w:pPr>
              <w:pStyle w:val="Compact"/>
              <w:jc w:val="right"/>
            </w:pPr>
            <w:r>
              <w:t xml:space="preserve">7.200</w:t>
            </w:r>
          </w:p>
        </w:tc>
      </w:tr>
      <w:tr>
        <w:tc>
          <w:tcPr/>
          <w:p>
            <w:pPr>
              <w:pStyle w:val="Compact"/>
              <w:jc w:val="left"/>
            </w:pPr>
            <w:r>
              <w:t xml:space="preserve">Capacidade térmica despachável (MW)</w:t>
            </w:r>
          </w:p>
        </w:tc>
        <w:tc>
          <w:tcPr/>
          <w:p>
            <w:pPr>
              <w:pStyle w:val="Compact"/>
              <w:jc w:val="center"/>
            </w:pPr>
            <w:r>
              <w:t xml:space="preserve">21.400</w:t>
            </w:r>
          </w:p>
        </w:tc>
        <w:tc>
          <w:tcPr/>
          <w:p>
            <w:pPr>
              <w:pStyle w:val="Compact"/>
              <w:jc w:val="center"/>
            </w:pPr>
            <w:r>
              <w:t xml:space="preserve">19.900</w:t>
            </w:r>
          </w:p>
        </w:tc>
        <w:tc>
          <w:tcPr/>
          <w:p>
            <w:pPr>
              <w:pStyle w:val="Compact"/>
              <w:jc w:val="right"/>
            </w:pPr>
            <w:r>
              <w:t xml:space="preserve">18.100</w:t>
            </w:r>
          </w:p>
        </w:tc>
      </w:tr>
      <w:tr>
        <w:tc>
          <w:tcPr/>
          <w:p>
            <w:pPr>
              <w:pStyle w:val="Compact"/>
              <w:jc w:val="left"/>
            </w:pPr>
            <w:r>
              <w:t xml:space="preserve">Potência/energia de baterias</w:t>
            </w:r>
          </w:p>
        </w:tc>
        <w:tc>
          <w:tcPr/>
          <w:p>
            <w:pPr>
              <w:pStyle w:val="Compact"/>
              <w:jc w:val="center"/>
            </w:pPr>
            <w:r>
              <w:t xml:space="preserve">450 MW / 1.000 MWh</w:t>
            </w:r>
          </w:p>
        </w:tc>
        <w:tc>
          <w:tcPr/>
          <w:p>
            <w:pPr>
              <w:pStyle w:val="Compact"/>
              <w:jc w:val="center"/>
            </w:pPr>
            <w:r>
              <w:t xml:space="preserve">2.250 MW / 7.200 MWh</w:t>
            </w:r>
          </w:p>
        </w:tc>
        <w:tc>
          <w:tcPr/>
          <w:p>
            <w:pPr>
              <w:pStyle w:val="Compact"/>
              <w:jc w:val="right"/>
            </w:pPr>
            <w:r>
              <w:t xml:space="preserve">5.100 MW / 20.400 MWh</w:t>
            </w:r>
          </w:p>
        </w:tc>
      </w:tr>
    </w:tbl>
    <w:p>
      <w:pPr>
        <w:pStyle w:val="BodyText"/>
      </w:pPr>
      <w:r>
        <w:t xml:space="preserve">Todos os números do Blue River são fictícios. A capacidade renovável nominal não é equivalente à produção disponível durante o pico do sistema.</w:t>
      </w:r>
    </w:p>
    <w:bookmarkEnd w:id="9"/>
    <w:bookmarkStart w:id="10" w:name="o-quebra-cabeça-operacional-diário"/>
    <w:p>
      <w:pPr>
        <w:pStyle w:val="Heading1"/>
      </w:pPr>
      <w:r>
        <w:t xml:space="preserve">O Quebra-Cabeça Operacional Diário</w:t>
      </w:r>
    </w:p>
    <w:p>
      <w:pPr>
        <w:pStyle w:val="FirstParagraph"/>
      </w:pPr>
      <w:r>
        <w:t xml:space="preserve">Todas as tardes, o BRSO comprometia geração suficiente para o dia seguinte. Grandes unidades nucleares geralmente operavam continuamente. As unidades de carvão e vapor exigiam muitas horas para partir e não podiam alterar a produção rapidamente. As unidades de gás de ciclo combinado eram mais flexíveis, mas dependiam da capacidade do gasoduto e dos preços do gás. As turbinas de ciclo simples podiam partir rapidamente, mas eram caras. A energia eólica e solar tinha baixos custos operacionais, mas o BRSO não podia ordenar que o vento soprasse nem impedir que uma frente de nuvens cruzasse um campo solar.</w:t>
      </w:r>
    </w:p>
    <w:p>
      <w:pPr>
        <w:pStyle w:val="BodyText"/>
      </w:pPr>
      <w:r>
        <w:t xml:space="preserve">Em tempo real, os operadores do sistema tinham que manter o suprimento e a demanda de eletricidade em equilíbrio quase perfeito. Um desequilíbrio poderia fazer a frequência se afastar de 60 hertz, potencialmente danificando equipamentos ou acionando desconexões automáticas. As instruções de despacho e os preços de mercado eram atualizados a cada cinco minutos, enquanto os recursos de regulação ajustavam a produção a cada poucos segundos. As restrições de transmissão complicavam as coisas: a energia barata do norte nem sempre podia chegar aos centros de carga do sul porque duas linhas-chave estavam se aproximando de seus limites térmicos.</w:t>
      </w:r>
    </w:p>
    <w:p>
      <w:pPr>
        <w:pStyle w:val="BodyText"/>
      </w:pPr>
      <w:r>
        <w:t xml:space="preserve">A previsão de demanda era em si um alvo móvel. Um erro de um grau na previsão de temperatura noturna poderia alterar a demanda de pico em aproximadamente 280 MW. A cobertura de nuvens poderia reduzir simultaneamente a produção solar e diminuir a demanda de ar-condicionado, mas nem sempre nos mesmos locais. Um grande evento esportivo poderia deslocar centenas de megawatts em minutos quando os espectadores voltassem para casa. Os clientes industriais podiam reduzir o consumo quando chamados, mas sua resposta dependia de compromissos de produção, equipe e o pagamento de incentivo.</w:t>
      </w:r>
    </w:p>
    <w:p>
      <w:pPr>
        <w:pStyle w:val="BodyText"/>
      </w:pPr>
      <w:r>
        <w:t xml:space="preserve">Exibição 2. Posição operacional para 22 de julho, 18h</w:t>
      </w:r>
    </w:p>
    <w:tbl>
      <w:tblPr>
        <w:tblStyle w:val="Table"/>
        <w:tblW w:type="pct" w:w="4917"/>
        <w:tblLayout w:type="fixed"/>
        <w:tblLook w:firstRow="1" w:lastRow="0" w:firstColumn="0" w:lastColumn="0" w:noHBand="0" w:noVBand="0" w:val="0020"/>
      </w:tblPr>
      <w:tblGrid>
        <w:gridCol w:w="2376"/>
        <w:gridCol w:w="1188"/>
        <w:gridCol w:w="1254"/>
        <w:gridCol w:w="2970"/>
      </w:tblGrid>
      <w:tr>
        <w:trPr>
          <w:tblHeader w:val="on"/>
        </w:trPr>
        <w:tc>
          <w:tcPr/>
          <w:p>
            <w:pPr>
              <w:pStyle w:val="Compact"/>
              <w:jc w:val="left"/>
            </w:pPr>
            <w:r>
              <w:t xml:space="preserve">Recurso ou requisito</w:t>
            </w:r>
          </w:p>
        </w:tc>
        <w:tc>
          <w:tcPr/>
          <w:p>
            <w:pPr>
              <w:pStyle w:val="Compact"/>
              <w:jc w:val="left"/>
            </w:pPr>
            <w:r>
              <w:t xml:space="preserve">Esperado MW</w:t>
            </w:r>
          </w:p>
        </w:tc>
        <w:tc>
          <w:tcPr/>
          <w:p>
            <w:pPr>
              <w:pStyle w:val="Compact"/>
            </w:pPr>
            <w:r>
              <w:t xml:space="preserve">Caso pessimista MW</w:t>
            </w:r>
          </w:p>
        </w:tc>
        <w:tc>
          <w:tcPr/>
          <w:p>
            <w:pPr>
              <w:pStyle w:val="Compact"/>
              <w:jc w:val="center"/>
            </w:pPr>
            <w:r>
              <w:t xml:space="preserve">Consideração operacional</w:t>
            </w:r>
          </w:p>
        </w:tc>
      </w:tr>
      <w:tr>
        <w:tc>
          <w:tcPr/>
          <w:p>
            <w:pPr>
              <w:pStyle w:val="Compact"/>
              <w:jc w:val="left"/>
            </w:pPr>
            <w:r>
              <w:t xml:space="preserve">Demanda dos clientes</w:t>
            </w:r>
          </w:p>
        </w:tc>
        <w:tc>
          <w:tcPr/>
          <w:p>
            <w:pPr>
              <w:pStyle w:val="Compact"/>
              <w:jc w:val="left"/>
            </w:pPr>
            <w:r>
              <w:t xml:space="preserve">30.850</w:t>
            </w:r>
          </w:p>
        </w:tc>
        <w:tc>
          <w:tcPr/>
          <w:p>
            <w:pPr>
              <w:pStyle w:val="Compact"/>
            </w:pPr>
            <w:r>
              <w:t xml:space="preserve">31.700</w:t>
            </w:r>
          </w:p>
        </w:tc>
        <w:tc>
          <w:tcPr/>
          <w:p>
            <w:pPr>
              <w:pStyle w:val="Compact"/>
              <w:jc w:val="center"/>
            </w:pPr>
            <w:r>
              <w:t xml:space="preserve">Temperatura e umidade permanecem incertas</w:t>
            </w:r>
          </w:p>
        </w:tc>
      </w:tr>
      <w:tr>
        <w:tc>
          <w:tcPr/>
          <w:p>
            <w:pPr>
              <w:pStyle w:val="Compact"/>
              <w:jc w:val="left"/>
            </w:pPr>
            <w:r>
              <w:t xml:space="preserve">Geração nuclear e must-run</w:t>
            </w:r>
          </w:p>
        </w:tc>
        <w:tc>
          <w:tcPr/>
          <w:p>
            <w:pPr>
              <w:pStyle w:val="Compact"/>
              <w:jc w:val="left"/>
            </w:pPr>
            <w:r>
              <w:t xml:space="preserve">5.900</w:t>
            </w:r>
          </w:p>
        </w:tc>
        <w:tc>
          <w:tcPr/>
          <w:p>
            <w:pPr>
              <w:pStyle w:val="Compact"/>
            </w:pPr>
            <w:r>
              <w:t xml:space="preserve">5.900</w:t>
            </w:r>
          </w:p>
        </w:tc>
        <w:tc>
          <w:tcPr/>
          <w:p>
            <w:pPr>
              <w:pStyle w:val="Compact"/>
              <w:jc w:val="center"/>
            </w:pPr>
            <w:r>
              <w:t xml:space="preserve">Pouca flexibilidade de curto prazo</w:t>
            </w:r>
          </w:p>
        </w:tc>
      </w:tr>
      <w:tr>
        <w:tc>
          <w:tcPr/>
          <w:p>
            <w:pPr>
              <w:pStyle w:val="Compact"/>
              <w:jc w:val="left"/>
            </w:pPr>
            <w:r>
              <w:t xml:space="preserve">Geração a carvão e vapor</w:t>
            </w:r>
          </w:p>
        </w:tc>
        <w:tc>
          <w:tcPr/>
          <w:p>
            <w:pPr>
              <w:pStyle w:val="Compact"/>
              <w:jc w:val="left"/>
            </w:pPr>
            <w:r>
              <w:t xml:space="preserve">4.850</w:t>
            </w:r>
          </w:p>
        </w:tc>
        <w:tc>
          <w:tcPr/>
          <w:p>
            <w:pPr>
              <w:pStyle w:val="Compact"/>
            </w:pPr>
            <w:r>
              <w:t xml:space="preserve">4.550</w:t>
            </w:r>
          </w:p>
        </w:tc>
        <w:tc>
          <w:tcPr/>
          <w:p>
            <w:pPr>
              <w:pStyle w:val="Compact"/>
              <w:jc w:val="center"/>
            </w:pPr>
            <w:r>
              <w:t xml:space="preserve">Uma unidade tem preocupações com a temperatura da caldeira</w:t>
            </w:r>
          </w:p>
        </w:tc>
      </w:tr>
      <w:tr>
        <w:tc>
          <w:tcPr/>
          <w:p>
            <w:pPr>
              <w:pStyle w:val="Compact"/>
              <w:jc w:val="left"/>
            </w:pPr>
            <w:r>
              <w:t xml:space="preserve">Gás de ciclo combinado</w:t>
            </w:r>
          </w:p>
        </w:tc>
        <w:tc>
          <w:tcPr/>
          <w:p>
            <w:pPr>
              <w:pStyle w:val="Compact"/>
              <w:jc w:val="left"/>
            </w:pPr>
            <w:r>
              <w:t xml:space="preserve">8.300</w:t>
            </w:r>
          </w:p>
        </w:tc>
        <w:tc>
          <w:tcPr/>
          <w:p>
            <w:pPr>
              <w:pStyle w:val="Compact"/>
            </w:pPr>
            <w:r>
              <w:t xml:space="preserve">7.580</w:t>
            </w:r>
          </w:p>
        </w:tc>
        <w:tc>
          <w:tcPr/>
          <w:p>
            <w:pPr>
              <w:pStyle w:val="Compact"/>
              <w:jc w:val="center"/>
            </w:pPr>
            <w:r>
              <w:t xml:space="preserve">Inclui a Unidade 4 de Riverbend</w:t>
            </w:r>
          </w:p>
        </w:tc>
      </w:tr>
      <w:tr>
        <w:tc>
          <w:tcPr/>
          <w:p>
            <w:pPr>
              <w:pStyle w:val="Compact"/>
              <w:jc w:val="left"/>
            </w:pPr>
            <w:r>
              <w:t xml:space="preserve">Gás e óleo de partida rápida</w:t>
            </w:r>
          </w:p>
        </w:tc>
        <w:tc>
          <w:tcPr/>
          <w:p>
            <w:pPr>
              <w:pStyle w:val="Compact"/>
              <w:jc w:val="left"/>
            </w:pPr>
            <w:r>
              <w:t xml:space="preserve">1.850</w:t>
            </w:r>
          </w:p>
        </w:tc>
        <w:tc>
          <w:tcPr/>
          <w:p>
            <w:pPr>
              <w:pStyle w:val="Compact"/>
            </w:pPr>
            <w:r>
              <w:t xml:space="preserve">1.850</w:t>
            </w:r>
          </w:p>
        </w:tc>
        <w:tc>
          <w:tcPr/>
          <w:p>
            <w:pPr>
              <w:pStyle w:val="Compact"/>
              <w:jc w:val="center"/>
            </w:pPr>
            <w:r>
              <w:t xml:space="preserve">Alto custo; partida de 20-60 minutos</w:t>
            </w:r>
          </w:p>
        </w:tc>
      </w:tr>
      <w:tr>
        <w:tc>
          <w:tcPr/>
          <w:p>
            <w:pPr>
              <w:pStyle w:val="Compact"/>
              <w:jc w:val="left"/>
            </w:pPr>
            <w:r>
              <w:t xml:space="preserve">Eólica</w:t>
            </w:r>
          </w:p>
        </w:tc>
        <w:tc>
          <w:tcPr/>
          <w:p>
            <w:pPr>
              <w:pStyle w:val="Compact"/>
              <w:jc w:val="left"/>
            </w:pPr>
            <w:r>
              <w:t xml:space="preserve">3.050</w:t>
            </w:r>
          </w:p>
        </w:tc>
        <w:tc>
          <w:tcPr/>
          <w:p>
            <w:pPr>
              <w:pStyle w:val="Compact"/>
            </w:pPr>
            <w:r>
              <w:t xml:space="preserve">2.200</w:t>
            </w:r>
          </w:p>
        </w:tc>
        <w:tc>
          <w:tcPr/>
          <w:p>
            <w:pPr>
              <w:pStyle w:val="Compact"/>
              <w:jc w:val="center"/>
            </w:pPr>
            <w:r>
              <w:t xml:space="preserve">Frente pode reduzir a produção antes do pico</w:t>
            </w:r>
          </w:p>
        </w:tc>
      </w:tr>
      <w:tr>
        <w:tc>
          <w:tcPr/>
          <w:p>
            <w:pPr>
              <w:pStyle w:val="Compact"/>
              <w:jc w:val="left"/>
            </w:pPr>
            <w:r>
              <w:t xml:space="preserve">Solar</w:t>
            </w:r>
          </w:p>
        </w:tc>
        <w:tc>
          <w:tcPr/>
          <w:p>
            <w:pPr>
              <w:pStyle w:val="Compact"/>
              <w:jc w:val="left"/>
            </w:pPr>
            <w:r>
              <w:t xml:space="preserve">3.600</w:t>
            </w:r>
          </w:p>
        </w:tc>
        <w:tc>
          <w:tcPr/>
          <w:p>
            <w:pPr>
              <w:pStyle w:val="Compact"/>
            </w:pPr>
            <w:r>
              <w:t xml:space="preserve">2.300</w:t>
            </w:r>
          </w:p>
        </w:tc>
        <w:tc>
          <w:tcPr/>
          <w:p>
            <w:pPr>
              <w:pStyle w:val="Compact"/>
              <w:jc w:val="center"/>
            </w:pPr>
            <w:r>
              <w:t xml:space="preserve">Tempestades poderiam chegar cedo</w:t>
            </w:r>
          </w:p>
        </w:tc>
      </w:tr>
      <w:tr>
        <w:tc>
          <w:tcPr/>
          <w:p>
            <w:pPr>
              <w:pStyle w:val="Compact"/>
              <w:jc w:val="left"/>
            </w:pPr>
            <w:r>
              <w:t xml:space="preserve">Hidrelétrica e importações</w:t>
            </w:r>
          </w:p>
        </w:tc>
        <w:tc>
          <w:tcPr/>
          <w:p>
            <w:pPr>
              <w:pStyle w:val="Compact"/>
              <w:jc w:val="left"/>
            </w:pPr>
            <w:r>
              <w:t xml:space="preserve">2.150</w:t>
            </w:r>
          </w:p>
        </w:tc>
        <w:tc>
          <w:tcPr/>
          <w:p>
            <w:pPr>
              <w:pStyle w:val="Compact"/>
            </w:pPr>
            <w:r>
              <w:t xml:space="preserve">1.750</w:t>
            </w:r>
          </w:p>
        </w:tc>
        <w:tc>
          <w:tcPr/>
          <w:p>
            <w:pPr>
              <w:pStyle w:val="Compact"/>
              <w:jc w:val="center"/>
            </w:pPr>
            <w:r>
              <w:t xml:space="preserve">Regiões vizinhas também estão limitadas</w:t>
            </w:r>
          </w:p>
        </w:tc>
      </w:tr>
      <w:tr>
        <w:tc>
          <w:tcPr/>
          <w:p>
            <w:pPr>
              <w:pStyle w:val="Compact"/>
              <w:jc w:val="left"/>
            </w:pPr>
            <w:r>
              <w:t xml:space="preserve">Descarga de bateria disponível</w:t>
            </w:r>
          </w:p>
        </w:tc>
        <w:tc>
          <w:tcPr/>
          <w:p>
            <w:pPr>
              <w:pStyle w:val="Compact"/>
              <w:jc w:val="left"/>
            </w:pPr>
            <w:r>
              <w:t xml:space="preserve">1.650</w:t>
            </w:r>
          </w:p>
        </w:tc>
        <w:tc>
          <w:tcPr/>
          <w:p>
            <w:pPr>
              <w:pStyle w:val="Compact"/>
            </w:pPr>
            <w:r>
              <w:t xml:space="preserve">1.650</w:t>
            </w:r>
          </w:p>
        </w:tc>
        <w:tc>
          <w:tcPr/>
          <w:p>
            <w:pPr>
              <w:pStyle w:val="Compact"/>
              <w:jc w:val="center"/>
            </w:pPr>
            <w:r>
              <w:t xml:space="preserve">Duração máxima de quatro horas</w:t>
            </w:r>
          </w:p>
        </w:tc>
      </w:tr>
      <w:tr>
        <w:tc>
          <w:tcPr/>
          <w:p>
            <w:pPr>
              <w:pStyle w:val="Compact"/>
              <w:jc w:val="left"/>
            </w:pPr>
            <w:r>
              <w:t xml:space="preserve">Resposta à demanda contratada</w:t>
            </w:r>
          </w:p>
        </w:tc>
        <w:tc>
          <w:tcPr/>
          <w:p>
            <w:pPr>
              <w:pStyle w:val="Compact"/>
              <w:jc w:val="left"/>
            </w:pPr>
            <w:r>
              <w:t xml:space="preserve">900</w:t>
            </w:r>
          </w:p>
        </w:tc>
        <w:tc>
          <w:tcPr/>
          <w:p>
            <w:pPr>
              <w:pStyle w:val="Compact"/>
            </w:pPr>
            <w:r>
              <w:t xml:space="preserve">550</w:t>
            </w:r>
          </w:p>
        </w:tc>
        <w:tc>
          <w:tcPr/>
          <w:p>
            <w:pPr>
              <w:pStyle w:val="Compact"/>
              <w:jc w:val="center"/>
            </w:pPr>
            <w:r>
              <w:t xml:space="preserve">Participação não garantida</w:t>
            </w:r>
          </w:p>
        </w:tc>
      </w:tr>
      <w:tr>
        <w:tc>
          <w:tcPr/>
          <w:p>
            <w:pPr>
              <w:pStyle w:val="Compact"/>
              <w:jc w:val="left"/>
            </w:pPr>
            <w:r>
              <w:t xml:space="preserve">Suprimento/resposta potencial total</w:t>
            </w:r>
          </w:p>
        </w:tc>
        <w:tc>
          <w:tcPr/>
          <w:p>
            <w:pPr>
              <w:pStyle w:val="Compact"/>
              <w:jc w:val="left"/>
            </w:pPr>
            <w:r>
              <w:t xml:space="preserve">32.250</w:t>
            </w:r>
          </w:p>
        </w:tc>
        <w:tc>
          <w:tcPr/>
          <w:p>
            <w:pPr>
              <w:pStyle w:val="Compact"/>
            </w:pPr>
            <w:r>
              <w:t xml:space="preserve">28.330</w:t>
            </w:r>
          </w:p>
        </w:tc>
        <w:tc>
          <w:tcPr/>
          <w:p>
            <w:pPr>
              <w:pStyle w:val="Compact"/>
              <w:jc w:val="center"/>
            </w:pPr>
            <w:r>
              <w:t xml:space="preserve">O caso pessimista implica um déficit material</w:t>
            </w:r>
          </w:p>
        </w:tc>
      </w:tr>
    </w:tbl>
    <w:p>
      <w:pPr>
        <w:pStyle w:val="BodyText"/>
      </w:pPr>
      <w:r>
        <w:t xml:space="preserve">O caso pessimista combina premissas adversas e não é uma previsão de probabilidade formal.</w:t>
      </w:r>
    </w:p>
    <w:bookmarkEnd w:id="10"/>
    <w:bookmarkStart w:id="11" w:name="o-custo-de-estar-preparado"/>
    <w:p>
      <w:pPr>
        <w:pStyle w:val="Heading1"/>
      </w:pPr>
      <w:r>
        <w:t xml:space="preserve">O Custo de Estar Preparado</w:t>
      </w:r>
    </w:p>
    <w:p>
      <w:pPr>
        <w:pStyle w:val="FirstParagraph"/>
      </w:pPr>
      <w:r>
        <w:t xml:space="preserve">Historicamente, a confiabilidade dominava a cultura operacional do BRSO. No entanto, clientes e reguladores estavam cada vez mais preocupados com o custo. O preço médio de energia no atacado da região havia subido de $34 por megawatt-hora em 2022 para $58 em 2025. Os pagamentos de capacidade - feitos para garantir que os recursos estivessem disponíveis quando necessário - eram projetados para triplicar no próximo leilão. As contas de varejo também incluíam investimentos em transmissão necessários para conectar novas gerações e atender grandes cargas.</w:t>
      </w:r>
    </w:p>
    <w:p>
      <w:pPr>
        <w:pStyle w:val="BodyText"/>
      </w:pPr>
      <w:r>
        <w:t xml:space="preserve">A ação mais confiável frequentemente não era a menos cara. Comprometer muitos geradores térmicos protegia contra erros de previsão, mas forçava os clientes a pagar custos de partida e de operação mínima mesmo que a demanda ou a produção renovável se mostrassem favoráveis. Comprometer poucas unidades expunha o sistema a preços voláteis em tempo real e escassez emergencial. Uma bateria poderia evitar a partida de uma unidade de pico, mas descarregá-la às 16h poderia não deixar energia armazenada às 19h30. Uma convocação de resposta à demanda poderia proteger a confiabilidade, mas interromper a produção nas fábricas e reduzir a confiança no programa se chamada com muita frequência.</w:t>
      </w:r>
    </w:p>
    <w:p>
      <w:pPr>
        <w:pStyle w:val="BodyText"/>
      </w:pPr>
      <w:r>
        <w:t xml:space="preserve">As consequências ambientais também eram desiguais. As unidades de pico a óleo do BRSO emitiam muito mais dióxido de carbono e poluentes locais do que a geração a gás. Uma usina a gás proposta de 900 MW melhoraria a confiabilidade, mas poderia operar por trinta anos. Um portfólio maior de baterias evitava emissões diretas, mas exigia energia excedente suficiente para carregar, e baterias de quatro horas não conseguiam cobrir uma escassez de inverno de vários dias. Novas transmissões poderiam desbloquear recursos eólicos, mas o licenciamento e a construção deveriam levar de sete a dez anos.</w:t>
      </w:r>
    </w:p>
    <w:p>
      <w:pPr>
        <w:pStyle w:val="BodyText"/>
      </w:pPr>
      <w:r>
        <w:t xml:space="preserve">Exibição 3. Alternativas operacionais selecionadas</w:t>
      </w:r>
    </w:p>
    <w:tbl>
      <w:tblPr>
        <w:tblStyle w:val="Table"/>
        <w:tblW w:type="pct" w:w="4924"/>
        <w:tblLayout w:type="fixed"/>
        <w:tblLook w:firstRow="1" w:lastRow="0" w:firstColumn="0" w:lastColumn="0" w:noHBand="0" w:noVBand="0" w:val="0020"/>
      </w:tblPr>
      <w:tblGrid>
        <w:gridCol w:w="1740"/>
        <w:gridCol w:w="2160"/>
        <w:gridCol w:w="1080"/>
        <w:gridCol w:w="2820"/>
      </w:tblGrid>
      <w:tr>
        <w:trPr>
          <w:tblHeader w:val="on"/>
        </w:trPr>
        <w:tc>
          <w:tcPr/>
          <w:p>
            <w:pPr>
              <w:pStyle w:val="Compact"/>
              <w:jc w:val="left"/>
            </w:pPr>
            <w:r>
              <w:t xml:space="preserve">Alternativa</w:t>
            </w:r>
          </w:p>
        </w:tc>
        <w:tc>
          <w:tcPr/>
          <w:p>
            <w:pPr>
              <w:pStyle w:val="Compact"/>
              <w:jc w:val="left"/>
            </w:pPr>
            <w:r>
              <w:t xml:space="preserve">Custo variável aproximado</w:t>
            </w:r>
          </w:p>
        </w:tc>
        <w:tc>
          <w:tcPr/>
          <w:p>
            <w:pPr>
              <w:pStyle w:val="Compact"/>
            </w:pPr>
            <w:r>
              <w:t xml:space="preserve">Tempo de resposta</w:t>
            </w:r>
          </w:p>
        </w:tc>
        <w:tc>
          <w:tcPr/>
          <w:p>
            <w:pPr>
              <w:pStyle w:val="Compact"/>
              <w:jc w:val="center"/>
            </w:pPr>
            <w:r>
              <w:t xml:space="preserve">Duração/restrição</w:t>
            </w:r>
          </w:p>
        </w:tc>
      </w:tr>
      <w:tr>
        <w:tc>
          <w:tcPr/>
          <w:p>
            <w:pPr>
              <w:pStyle w:val="Compact"/>
              <w:jc w:val="left"/>
            </w:pPr>
            <w:r>
              <w:t xml:space="preserve">Gás de ciclo combinado</w:t>
            </w:r>
          </w:p>
        </w:tc>
        <w:tc>
          <w:tcPr/>
          <w:p>
            <w:pPr>
              <w:pStyle w:val="Compact"/>
              <w:jc w:val="left"/>
            </w:pPr>
            <w:r>
              <w:t xml:space="preserve">$42-$78/MWh</w:t>
            </w:r>
          </w:p>
        </w:tc>
        <w:tc>
          <w:tcPr/>
          <w:p>
            <w:pPr>
              <w:pStyle w:val="Compact"/>
            </w:pPr>
            <w:r>
              <w:t xml:space="preserve">10-60 minutos</w:t>
            </w:r>
          </w:p>
        </w:tc>
        <w:tc>
          <w:tcPr/>
          <w:p>
            <w:pPr>
              <w:pStyle w:val="Compact"/>
              <w:jc w:val="center"/>
            </w:pPr>
            <w:r>
              <w:t xml:space="preserve">Disponibilidade do gasoduto e da unidade</w:t>
            </w:r>
          </w:p>
        </w:tc>
      </w:tr>
      <w:tr>
        <w:tc>
          <w:tcPr/>
          <w:p>
            <w:pPr>
              <w:pStyle w:val="Compact"/>
              <w:jc w:val="left"/>
            </w:pPr>
            <w:r>
              <w:t xml:space="preserve">Gás de ciclo simples</w:t>
            </w:r>
          </w:p>
        </w:tc>
        <w:tc>
          <w:tcPr/>
          <w:p>
            <w:pPr>
              <w:pStyle w:val="Compact"/>
              <w:jc w:val="left"/>
            </w:pPr>
            <w:r>
              <w:t xml:space="preserve">$85-$150/MWh</w:t>
            </w:r>
          </w:p>
        </w:tc>
        <w:tc>
          <w:tcPr/>
          <w:p>
            <w:pPr>
              <w:pStyle w:val="Compact"/>
            </w:pPr>
            <w:r>
              <w:t xml:space="preserve">10-20 minutos</w:t>
            </w:r>
          </w:p>
        </w:tc>
        <w:tc>
          <w:tcPr/>
          <w:p>
            <w:pPr>
              <w:pStyle w:val="Compact"/>
              <w:jc w:val="center"/>
            </w:pPr>
            <w:r>
              <w:t xml:space="preserve">Alto custo de combustível e emissões</w:t>
            </w:r>
          </w:p>
        </w:tc>
      </w:tr>
      <w:tr>
        <w:tc>
          <w:tcPr/>
          <w:p>
            <w:pPr>
              <w:pStyle w:val="Compact"/>
              <w:jc w:val="left"/>
            </w:pPr>
            <w:r>
              <w:t xml:space="preserve">Unidade de pico a óleo</w:t>
            </w:r>
          </w:p>
        </w:tc>
        <w:tc>
          <w:tcPr/>
          <w:p>
            <w:pPr>
              <w:pStyle w:val="Compact"/>
              <w:jc w:val="left"/>
            </w:pPr>
            <w:r>
              <w:t xml:space="preserve">$180-$320/MWh</w:t>
            </w:r>
          </w:p>
        </w:tc>
        <w:tc>
          <w:tcPr/>
          <w:p>
            <w:pPr>
              <w:pStyle w:val="Compact"/>
            </w:pPr>
            <w:r>
              <w:t xml:space="preserve">30-60 minutos</w:t>
            </w:r>
          </w:p>
        </w:tc>
        <w:tc>
          <w:tcPr/>
          <w:p>
            <w:pPr>
              <w:pStyle w:val="Compact"/>
              <w:jc w:val="center"/>
            </w:pPr>
            <w:r>
              <w:t xml:space="preserve">Maiores emissões; estoque de combustível limitado</w:t>
            </w:r>
          </w:p>
        </w:tc>
      </w:tr>
      <w:tr>
        <w:tc>
          <w:tcPr/>
          <w:p>
            <w:pPr>
              <w:pStyle w:val="Compact"/>
              <w:jc w:val="left"/>
            </w:pPr>
            <w:r>
              <w:t xml:space="preserve">Importação de mercado</w:t>
            </w:r>
          </w:p>
        </w:tc>
        <w:tc>
          <w:tcPr/>
          <w:p>
            <w:pPr>
              <w:pStyle w:val="Compact"/>
              <w:jc w:val="left"/>
            </w:pPr>
            <w:r>
              <w:t xml:space="preserve">-$20 a $1.000+/MWh</w:t>
            </w:r>
          </w:p>
        </w:tc>
        <w:tc>
          <w:tcPr/>
          <w:p>
            <w:pPr>
              <w:pStyle w:val="Compact"/>
            </w:pPr>
            <w:r>
              <w:t xml:space="preserve">5 minutos</w:t>
            </w:r>
          </w:p>
        </w:tc>
        <w:tc>
          <w:tcPr/>
          <w:p>
            <w:pPr>
              <w:pStyle w:val="Compact"/>
              <w:jc w:val="center"/>
            </w:pPr>
            <w:r>
              <w:t xml:space="preserve">Preço e disponibilidade de transmissão variam</w:t>
            </w:r>
          </w:p>
        </w:tc>
      </w:tr>
      <w:tr>
        <w:tc>
          <w:tcPr/>
          <w:p>
            <w:pPr>
              <w:pStyle w:val="Compact"/>
              <w:jc w:val="left"/>
            </w:pPr>
            <w:r>
              <w:t xml:space="preserve">Bateria de quatro horas</w:t>
            </w:r>
          </w:p>
        </w:tc>
        <w:tc>
          <w:tcPr/>
          <w:p>
            <w:pPr>
              <w:pStyle w:val="Compact"/>
              <w:jc w:val="left"/>
            </w:pPr>
            <w:r>
              <w:t xml:space="preserve">Custo de oportunidade da energia ar</w:t>
            </w:r>
          </w:p>
        </w:tc>
        <w:tc>
          <w:tcPr/>
          <w:p>
            <w:pPr>
              <w:pStyle w:val="Compact"/>
            </w:pPr>
            <w:r>
              <w:t xml:space="preserve">mazenada Segundo</w:t>
            </w:r>
          </w:p>
        </w:tc>
        <w:tc>
          <w:tcPr/>
          <w:p>
            <w:pPr>
              <w:pStyle w:val="Compact"/>
              <w:jc w:val="center"/>
            </w:pPr>
            <w:r>
              <w:t xml:space="preserve">s Energia esgotada após descarga sustentada</w:t>
            </w:r>
          </w:p>
        </w:tc>
      </w:tr>
      <w:tr>
        <w:tc>
          <w:tcPr/>
          <w:p>
            <w:pPr>
              <w:pStyle w:val="Compact"/>
              <w:jc w:val="left"/>
            </w:pPr>
            <w:r>
              <w:t xml:space="preserve">Resposta à demanda industrial</w:t>
            </w:r>
          </w:p>
        </w:tc>
        <w:tc>
          <w:tcPr/>
          <w:p>
            <w:pPr>
              <w:pStyle w:val="Compact"/>
              <w:jc w:val="left"/>
            </w:pPr>
            <w:r>
              <w:t xml:space="preserve">$250-$900/MWh reduzido</w:t>
            </w:r>
          </w:p>
        </w:tc>
        <w:tc>
          <w:tcPr/>
          <w:p>
            <w:pPr>
              <w:pStyle w:val="Compact"/>
            </w:pPr>
            <w:r>
              <w:t xml:space="preserve">10-30 minutos</w:t>
            </w:r>
          </w:p>
        </w:tc>
        <w:tc>
          <w:tcPr/>
          <w:p>
            <w:pPr>
              <w:pStyle w:val="Compact"/>
              <w:jc w:val="center"/>
            </w:pPr>
            <w:r>
              <w:t xml:space="preserve">Participação do cliente e impacto na produção</w:t>
            </w:r>
          </w:p>
        </w:tc>
      </w:tr>
      <w:tr>
        <w:tc>
          <w:tcPr/>
          <w:p>
            <w:pPr>
              <w:pStyle w:val="Compact"/>
              <w:jc w:val="left"/>
            </w:pPr>
            <w:r>
              <w:t xml:space="preserve">Interrupção controlada</w:t>
            </w:r>
          </w:p>
        </w:tc>
        <w:tc>
          <w:tcPr/>
          <w:p>
            <w:pPr>
              <w:pStyle w:val="Compact"/>
              <w:jc w:val="left"/>
            </w:pPr>
            <w:r>
              <w:t xml:space="preserve">Não valorizada como energia comum</w:t>
            </w:r>
          </w:p>
        </w:tc>
        <w:tc>
          <w:tcPr/>
          <w:p>
            <w:pPr>
              <w:pStyle w:val="Compact"/>
            </w:pPr>
            <w:r>
              <w:t xml:space="preserve">Minutos</w:t>
            </w:r>
          </w:p>
        </w:tc>
        <w:tc>
          <w:tcPr/>
          <w:p>
            <w:pPr>
              <w:pStyle w:val="Compact"/>
              <w:jc w:val="center"/>
            </w:pPr>
            <w:r>
              <w:t xml:space="preserve">Custo social, de segurança e reputacional severo</w:t>
            </w:r>
          </w:p>
        </w:tc>
      </w:tr>
    </w:tbl>
    <w:p>
      <w:pPr>
        <w:pStyle w:val="BodyText"/>
      </w:pPr>
      <w:r>
        <w:t xml:space="preserve">Os valores são estimativas fictícias de planejamento destinadas a ilustrar diferenças em custo, velocidade e resistência.</w:t>
      </w:r>
    </w:p>
    <w:bookmarkEnd w:id="11"/>
    <w:bookmarkStart w:id="12" w:name="Xa4c98f305e8324887f72010d44f377e2ff4a4c9"/>
    <w:p>
      <w:pPr>
        <w:pStyle w:val="Heading1"/>
      </w:pPr>
      <w:r>
        <w:t xml:space="preserve">Investimentos que Moldam as Operações Futuras</w:t>
      </w:r>
    </w:p>
    <w:p>
      <w:pPr>
        <w:pStyle w:val="FirstParagraph"/>
      </w:pPr>
      <w:r>
        <w:t xml:space="preserve">O problema operacional de 22 de julho era imediato, mas o conselho havia pedido a Marquez que recomendasse uma estratégia de recursos para a próxima década. A equipe havia desenvolvido cinco iniciativas: uma usina a gás de 1.000 MW; 3.000 MW adicionais de baterias de quatro horas; uma expansão de transmissão de 500 milhas conectando recursos eólicos do norte; sensores avançados e classificações dinâmicas de linha que poderiam aumentar a capacidade de transmissão utilizável; e um grande programa de flexibilidade de demanda para data centers, fabricantes, edifícios comerciais, veículos elétricos e termostatos residenciais.</w:t>
      </w:r>
    </w:p>
    <w:p>
      <w:pPr>
        <w:pStyle w:val="BodyText"/>
      </w:pPr>
      <w:r>
        <w:t xml:space="preserve">Cada iniciativa dependia de suposições fora do controle do BRSO. Os preços do gás poderiam permanecer moderados ou subir acentuadamente. Os custos das baterias poderiam continuar caindo, enquanto requisitos de cadeia de suprimentos ou segurança poderiam aumentá-los. Os data centers poderiam concordar com serviço flexível, mas apenas se as regras de interrupção fossem previsíveis. A transmissão poderia ser atrasada por proprietários de terras, revisões ambientais ou desacordo estadual sobre quem deveria pagar. Pequenos reatores nucleares modulares e armazenamento de longa duração poderiam se tornar comercialmente viáveis, mas seu tempo e custos permaneciam incertos.</w:t>
      </w:r>
    </w:p>
    <w:p>
      <w:pPr>
        <w:pStyle w:val="BodyText"/>
      </w:pPr>
      <w:r>
        <w:t xml:space="preserve">Os reguladores também tinham prioridades diferentes. Franklin queria interconexão mais rápida de data centers por causa da receita fiscal e dos empregos na construção. Monroe se opunha a pagar pela transmissão construída principalmente para atender ao crescimento de Franklin. Easton queria que o BRSO cumprisse metas mais rígidas de carbono e protegesse os clientes de baixa renda de aumentos de tarifa. Defensores dos consumidores argumentavam que grandes novas cargas deveriam financiar a capacidade que exigiam. Os desenvolvedores de data centers contra-argumentavam que taxas especiais direcionariam o investimento para outras regiões.</w:t>
      </w:r>
    </w:p>
    <w:p>
      <w:pPr>
        <w:pStyle w:val="BodyText"/>
      </w:pPr>
      <w:r>
        <w:t xml:space="preserve">Exibição 4. Iniciativas de longo prazo em consideração</w:t>
      </w:r>
    </w:p>
    <w:tbl>
      <w:tblPr>
        <w:tblStyle w:val="Table"/>
        <w:tblW w:type="pct" w:w="4931"/>
        <w:tblLayout w:type="fixed"/>
        <w:tblLook w:firstRow="1" w:lastRow="0" w:firstColumn="0" w:lastColumn="0" w:noHBand="0" w:noVBand="0" w:val="0020"/>
      </w:tblPr>
      <w:tblGrid>
        <w:gridCol w:w="2090"/>
        <w:gridCol w:w="1595"/>
        <w:gridCol w:w="1045"/>
        <w:gridCol w:w="3080"/>
      </w:tblGrid>
      <w:tr>
        <w:trPr>
          <w:tblHeader w:val="on"/>
        </w:trPr>
        <w:tc>
          <w:tcPr/>
          <w:p>
            <w:pPr>
              <w:pStyle w:val="Compact"/>
              <w:jc w:val="left"/>
            </w:pPr>
            <w:r>
              <w:t xml:space="preserve">Iniciativa</w:t>
            </w:r>
          </w:p>
        </w:tc>
        <w:tc>
          <w:tcPr/>
          <w:p>
            <w:pPr>
              <w:pStyle w:val="Compact"/>
            </w:pPr>
            <w:r>
              <w:t xml:space="preserve">Custo de capital ilustrativo</w:t>
            </w:r>
          </w:p>
        </w:tc>
        <w:tc>
          <w:tcPr/>
          <w:p>
            <w:pPr>
              <w:pStyle w:val="Compact"/>
              <w:jc w:val="right"/>
            </w:pPr>
            <w:r>
              <w:t xml:space="preserve">Serviço mais ced</w:t>
            </w:r>
          </w:p>
        </w:tc>
        <w:tc>
          <w:tcPr/>
          <w:p>
            <w:pPr>
              <w:pStyle w:val="Compact"/>
              <w:jc w:val="left"/>
            </w:pPr>
            <w:r>
              <w:t xml:space="preserve">o Principal questão em aberto</w:t>
            </w:r>
          </w:p>
        </w:tc>
      </w:tr>
      <w:tr>
        <w:tc>
          <w:tcPr/>
          <w:p>
            <w:pPr>
              <w:pStyle w:val="Compact"/>
              <w:jc w:val="left"/>
            </w:pPr>
            <w:r>
              <w:t xml:space="preserve">Usina a gás de ciclo combinado de 1.00</w:t>
            </w:r>
          </w:p>
        </w:tc>
        <w:tc>
          <w:tcPr/>
          <w:p>
            <w:pPr>
              <w:pStyle w:val="Compact"/>
            </w:pPr>
            <w:r>
              <w:t xml:space="preserve">0 MW $1,4 bilhão</w:t>
            </w:r>
          </w:p>
        </w:tc>
        <w:tc>
          <w:tcPr/>
          <w:p>
            <w:pPr>
              <w:pStyle w:val="Compact"/>
              <w:jc w:val="right"/>
            </w:pPr>
            <w:r>
              <w:t xml:space="preserve">2030</w:t>
            </w:r>
          </w:p>
        </w:tc>
        <w:tc>
          <w:tcPr/>
          <w:p>
            <w:pPr>
              <w:pStyle w:val="Compact"/>
              <w:jc w:val="left"/>
            </w:pPr>
            <w:r>
              <w:t xml:space="preserve">Combustível, política de emissões e utilização</w:t>
            </w:r>
          </w:p>
        </w:tc>
      </w:tr>
      <w:tr>
        <w:tc>
          <w:tcPr/>
          <w:p>
            <w:pPr>
              <w:pStyle w:val="Compact"/>
              <w:jc w:val="left"/>
            </w:pPr>
            <w:r>
              <w:t xml:space="preserve">Baterias de 3.000 MW / 12.000 MWh</w:t>
            </w:r>
          </w:p>
        </w:tc>
        <w:tc>
          <w:tcPr/>
          <w:p>
            <w:pPr>
              <w:pStyle w:val="Compact"/>
            </w:pPr>
            <w:r>
              <w:t xml:space="preserve">$4,2 bilhões</w:t>
            </w:r>
          </w:p>
        </w:tc>
        <w:tc>
          <w:tcPr/>
          <w:p>
            <w:pPr>
              <w:pStyle w:val="Compact"/>
              <w:jc w:val="right"/>
            </w:pPr>
            <w:r>
              <w:t xml:space="preserve">2028-2031</w:t>
            </w:r>
          </w:p>
        </w:tc>
        <w:tc>
          <w:tcPr/>
          <w:p>
            <w:pPr>
              <w:pStyle w:val="Compact"/>
              <w:jc w:val="left"/>
            </w:pPr>
            <w:r>
              <w:t xml:space="preserve">Valor durante escassezes prolongadas e custo de reposição</w:t>
            </w:r>
          </w:p>
        </w:tc>
      </w:tr>
      <w:tr>
        <w:tc>
          <w:tcPr/>
          <w:p>
            <w:pPr>
              <w:pStyle w:val="Compact"/>
              <w:jc w:val="left"/>
            </w:pPr>
            <w:r>
              <w:t xml:space="preserve">Programa de transmissão do norte</w:t>
            </w:r>
          </w:p>
        </w:tc>
        <w:tc>
          <w:tcPr/>
          <w:p>
            <w:pPr>
              <w:pStyle w:val="Compact"/>
            </w:pPr>
            <w:r>
              <w:t xml:space="preserve">$7,8 bilhões</w:t>
            </w:r>
          </w:p>
        </w:tc>
        <w:tc>
          <w:tcPr/>
          <w:p>
            <w:pPr>
              <w:pStyle w:val="Compact"/>
              <w:jc w:val="right"/>
            </w:pPr>
            <w:r>
              <w:t xml:space="preserve">2034</w:t>
            </w:r>
          </w:p>
        </w:tc>
        <w:tc>
          <w:tcPr/>
          <w:p>
            <w:pPr>
              <w:pStyle w:val="Compact"/>
              <w:jc w:val="left"/>
            </w:pPr>
            <w:r>
              <w:t xml:space="preserve">Licenciamento, alocação de custos, construção de renováveis</w:t>
            </w:r>
          </w:p>
        </w:tc>
      </w:tr>
      <w:tr>
        <w:tc>
          <w:tcPr/>
          <w:p>
            <w:pPr>
              <w:pStyle w:val="Compact"/>
              <w:jc w:val="left"/>
            </w:pPr>
            <w:r>
              <w:t xml:space="preserve">Sensores e classificações dinâmicas de</w:t>
            </w:r>
          </w:p>
        </w:tc>
        <w:tc>
          <w:tcPr/>
          <w:p>
            <w:pPr>
              <w:pStyle w:val="Compact"/>
            </w:pPr>
            <w:r>
              <w:t xml:space="preserve">linha $620 milhões</w:t>
            </w:r>
          </w:p>
        </w:tc>
        <w:tc>
          <w:tcPr/>
          <w:p>
            <w:pPr>
              <w:pStyle w:val="Compact"/>
              <w:jc w:val="right"/>
            </w:pPr>
            <w:r>
              <w:t xml:space="preserve">2028</w:t>
            </w:r>
          </w:p>
        </w:tc>
        <w:tc>
          <w:tcPr/>
          <w:p>
            <w:pPr>
              <w:pStyle w:val="Compact"/>
              <w:jc w:val="left"/>
            </w:pPr>
            <w:r>
              <w:t xml:space="preserve">Quanta capacidade confiável é criada</w:t>
            </w:r>
          </w:p>
        </w:tc>
      </w:tr>
      <w:tr>
        <w:tc>
          <w:tcPr/>
          <w:p>
            <w:pPr>
              <w:pStyle w:val="Compact"/>
              <w:jc w:val="left"/>
            </w:pPr>
            <w:r>
              <w:t xml:space="preserve">Plataforma de carga flexível</w:t>
            </w:r>
          </w:p>
        </w:tc>
        <w:tc>
          <w:tcPr/>
          <w:p>
            <w:pPr>
              <w:pStyle w:val="Compact"/>
            </w:pPr>
            <w:r>
              <w:t xml:space="preserve">$850 milhões ao longo de 7 a</w:t>
            </w:r>
          </w:p>
        </w:tc>
        <w:tc>
          <w:tcPr/>
          <w:p>
            <w:pPr>
              <w:pStyle w:val="Compact"/>
              <w:jc w:val="right"/>
            </w:pPr>
            <w:r>
              <w:t xml:space="preserve">nos 2028</w:t>
            </w:r>
          </w:p>
        </w:tc>
        <w:tc>
          <w:tcPr/>
          <w:p>
            <w:pPr>
              <w:pStyle w:val="Compact"/>
              <w:jc w:val="left"/>
            </w:pPr>
            <w:r>
              <w:t xml:space="preserve">Inscrição, resposta, cibersegurança, fadiga do cliente</w:t>
            </w:r>
          </w:p>
        </w:tc>
      </w:tr>
      <w:tr>
        <w:tc>
          <w:tcPr/>
          <w:p>
            <w:pPr>
              <w:pStyle w:val="Compact"/>
              <w:jc w:val="left"/>
            </w:pPr>
            <w:r>
              <w:t xml:space="preserve">Demonstração de armazenamento de longa</w:t>
            </w:r>
          </w:p>
        </w:tc>
        <w:tc>
          <w:tcPr/>
          <w:p>
            <w:pPr>
              <w:pStyle w:val="Compact"/>
            </w:pPr>
            <w:r>
              <w:t xml:space="preserve">duração $1,1 bilhão</w:t>
            </w:r>
          </w:p>
        </w:tc>
        <w:tc>
          <w:tcPr/>
          <w:p>
            <w:pPr>
              <w:pStyle w:val="Compact"/>
              <w:jc w:val="right"/>
            </w:pPr>
            <w:r>
              <w:t xml:space="preserve">2031</w:t>
            </w:r>
          </w:p>
        </w:tc>
        <w:tc>
          <w:tcPr/>
          <w:p>
            <w:pPr>
              <w:pStyle w:val="Compact"/>
              <w:jc w:val="left"/>
            </w:pPr>
            <w:r>
              <w:t xml:space="preserve">Desempenho tecnológico e escalabilidade comercial</w:t>
            </w:r>
          </w:p>
        </w:tc>
      </w:tr>
    </w:tbl>
    <w:p>
      <w:pPr>
        <w:pStyle w:val="BodyText"/>
      </w:pPr>
      <w:r>
        <w:t xml:space="preserve">Todos os custos e datas são fictícios e estariam sujeitos a incerteza substancial.</w:t>
      </w:r>
    </w:p>
    <w:bookmarkEnd w:id="12"/>
    <w:bookmarkStart w:id="13" w:name="a-ligação-das-14h"/>
    <w:p>
      <w:pPr>
        <w:pStyle w:val="Heading1"/>
      </w:pPr>
      <w:r>
        <w:t xml:space="preserve">A Ligação das 14h</w:t>
      </w:r>
    </w:p>
    <w:p>
      <w:pPr>
        <w:pStyle w:val="FirstParagraph"/>
      </w:pPr>
      <w:r>
        <w:t xml:space="preserve">Às 13h55, a proprietária da Riverbend informou ao BRSO que a Unidade 4 provavelmente poderia permanecer online a 500 MW, mas havia 20 por cento de chance de que a vibração forçasse um desligamento completo antes das 19h. Manter a unidade online poderia piorar os danos ao equipamento. O serviço meteorológico ocidental antecipou a chegada esperada da tempestade em quarenta e cinco minutos. Os preços de importação em tempo real dobraram em quinze minutos.</w:t>
      </w:r>
    </w:p>
    <w:p>
      <w:pPr>
        <w:pStyle w:val="BodyText"/>
      </w:pPr>
      <w:r>
        <w:t xml:space="preserve">O vice-presidente de operações recomendou ligar imediatamente ambas as unidades de pico a óleo e preservar as baterias até depois do pôr do sol. O diretor de mercado preferia comprar importações e aguardar informações melhores, argumentando que as unidades a óleo poderiam operar desnecessariamente. O diretor de sustentabilidade propôs convocar 600 MW de resposta à demanda antes das 16h, mas o conselho de clientes industriais havia reclamado que o BRSO já havia convocado quatro eventos naquele verão. O diretor de confiabilidade queria autorização para todas as três ações.</w:t>
      </w:r>
    </w:p>
    <w:p>
      <w:pPr>
        <w:pStyle w:val="BodyText"/>
      </w:pPr>
      <w:r>
        <w:t xml:space="preserve">Marquez também sabia que o que quer que acontecesse moldaria o debate sobre investimentos. Uma noite tranquila poderia ser usada para argumentar que as baterias e a demanda flexível eram suficientes. Uma emergência poderia fortalecer o argumento a favor de uma usina a gás ou expansão de transmissão. No entanto, um único dia estressante não era necessariamente representativo dos próximos vinte anos.</w:t>
      </w:r>
    </w:p>
    <w:p>
      <w:pPr>
        <w:pStyle w:val="BodyText"/>
      </w:pPr>
      <w:r>
        <w:t xml:space="preserve">Às 14h, o diretor da sala de controle pediu instruções. Marquez tinha que decidir o que comprometer agora, o que manter em reserva, e quanto risco o BRSO deveria aceitar enquanto aguardava informações que só chegariam depois que algumas opções tivessem desaparecido.</w:t>
      </w:r>
    </w:p>
    <w:bookmarkEnd w:id="13"/>
    <w:bookmarkStart w:id="14" w:name="questões-de-discussão"/>
    <w:p>
      <w:pPr>
        <w:pStyle w:val="Heading1"/>
      </w:pPr>
      <w:r>
        <w:t xml:space="preserve">Questões de Discussão</w:t>
      </w:r>
    </w:p>
    <w:p>
      <w:pPr>
        <w:numPr>
          <w:ilvl w:val="0"/>
          <w:numId w:val="1001"/>
        </w:numPr>
      </w:pPr>
      <w:r>
        <w:t xml:space="preserve">O que Marquez deveria autorizar às 14h? Quais recursos deveriam ser comprometidos imediatamente, e quais deveriam ser preservados para mais tarde?</w:t>
      </w:r>
    </w:p>
    <w:p>
      <w:pPr>
        <w:numPr>
          <w:ilvl w:val="0"/>
          <w:numId w:val="1001"/>
        </w:numPr>
      </w:pPr>
      <w:r>
        <w:t xml:space="preserve">Como o BRSO deveria comparar uma ação preventiva cara com as consequências de baixa probabilidade, mas severas, de uma escassez?</w:t>
      </w:r>
    </w:p>
    <w:p>
      <w:pPr>
        <w:numPr>
          <w:ilvl w:val="0"/>
          <w:numId w:val="1001"/>
        </w:numPr>
      </w:pPr>
      <w:r>
        <w:t xml:space="preserve">Qual informação seria mais valiosa durante as próximas duas horas? Como o BRSO poderia obtê-la?</w:t>
      </w:r>
    </w:p>
    <w:p>
      <w:pPr>
        <w:numPr>
          <w:ilvl w:val="0"/>
          <w:numId w:val="1001"/>
        </w:numPr>
      </w:pPr>
      <w:r>
        <w:t xml:space="preserve">Como o operador deveria valorizar a energia armazenada em baterias em diferentes momentos do dia?</w:t>
      </w:r>
    </w:p>
    <w:p>
      <w:pPr>
        <w:numPr>
          <w:ilvl w:val="0"/>
          <w:numId w:val="1001"/>
        </w:numPr>
      </w:pPr>
      <w:r>
        <w:t xml:space="preserve">Quando a resposta à demanda deveria ser tratada como um recurso operacional comum, e quando o uso repetido prejudica seu valor futuro?</w:t>
      </w:r>
    </w:p>
    <w:p>
      <w:pPr>
        <w:numPr>
          <w:ilvl w:val="0"/>
          <w:numId w:val="1001"/>
        </w:numPr>
      </w:pPr>
      <w:r>
        <w:t xml:space="preserve">Quais investimentos de longo prazo parecem complementares, quais são substitutos, e como seus custos deveriam ser alocados?</w:t>
      </w:r>
    </w:p>
    <w:p>
      <w:pPr>
        <w:pStyle w:val="FirstParagraph"/>
      </w:pPr>
      <w:r>
        <w:t xml:space="preserve">Nota do caso: Este caso fictício se baseia conceitualmente em Warren B. Powell,</w:t>
      </w:r>
      <w:r>
        <w:t xml:space="preserve"> </w:t>
      </w:r>
      <w:r>
        <w:t xml:space="preserve">“Electric Power Grid Management,”</w:t>
      </w:r>
      <w:r>
        <w:t xml:space="preserve"> </w:t>
      </w:r>
      <w:r>
        <w:t xml:space="preserve">Capítulo 2 de Bridging Decision Problems, Volume I: Framing the Problem. O contexto atual utiliza a U.S. Energy Information Administration, 12 de março de 2026, e a Avaliação de Confiabilidade de Longo Prazo de 2025 da NERC, janeiro de 2026. Todas as entidades, eventos e números do Blue River são fictícios, e o caso intencionalmente não identifica uma estratégia ótima.</w:t>
      </w:r>
    </w:p>
    <w:bookmarkEnd w:id="14"/>
    <w:bookmarkStart w:id="20" w:name="questões-de-enquadramento-de-decisão"/>
    <w:p>
      <w:pPr>
        <w:pStyle w:val="Heading1"/>
      </w:pPr>
      <w:r>
        <w:t xml:space="preserve">Questões de Enquadramento de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15">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é uma métrica a ser maximizada (verde), minimizada (vermelha), uma meta que é um piso (verde claro) ou um teto (vermelho claro), ou finalmente uma meta (roxa).</w:t>
      </w:r>
    </w:p>
    <w:p>
      <w:pPr>
        <w:numPr>
          <w:ilvl w:val="0"/>
          <w:numId w:val="1002"/>
        </w:numPr>
      </w:pPr>
      <w:r>
        <w:t xml:space="preserve">Use a</w:t>
      </w:r>
      <w:r>
        <w:t xml:space="preserve"> </w:t>
      </w:r>
      <w:hyperlink r:id="rId16">
        <w:r>
          <w:rPr>
            <w:rStyle w:val="Hyperlink"/>
          </w:rPr>
          <w:t xml:space="preserve">ferramenta de priorização de decisões</w:t>
        </w:r>
      </w:hyperlink>
      <w:r>
        <w:t xml:space="preserve"> </w:t>
      </w:r>
      <w:r>
        <w:t xml:space="preserve">para primeiro listar os diferentes tipos de decisões (use os</w:t>
      </w:r>
      <w:r>
        <w:t xml:space="preserve"> </w:t>
      </w:r>
      <w:hyperlink r:id="rId17">
        <w:r>
          <w:rPr>
            <w:rStyle w:val="Hyperlink"/>
          </w:rPr>
          <w:t xml:space="preserve">tipos de decisões</w:t>
        </w:r>
      </w:hyperlink>
      <w:r>
        <w:t xml:space="preserve"> </w:t>
      </w:r>
      <w:r>
        <w:t xml:space="preserve">como guia). Estes irão então preencher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segurar a alça (três barras) mais à esquerda em cada linha para movê-la para cima ou para baixo. Ordene as linhas para que as decisões com maior impacto nas métricas mais importantes fiquem no topo. As células no canto superior esquerdo devem ter a maior concentração de células vermelhas e laranjas. Neste ponto, identifique as decisões que devem receber mais atenção em seu estudo. Se você não tiver nenhuma decisão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18">
        <w:r>
          <w:rPr>
            <w:rStyle w:val="Hyperlink"/>
          </w:rPr>
          <w:t xml:space="preserve">ferramenta de priorização de incertezas</w:t>
        </w:r>
      </w:hyperlink>
      <w:r>
        <w:t xml:space="preserve">. Use as</w:t>
      </w:r>
      <w:r>
        <w:t xml:space="preserve"> </w:t>
      </w:r>
      <w:hyperlink r:id="rId19">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as incertezas que podem ser avaliadas em média, ou como eventos de risco:</w:t>
      </w:r>
    </w:p>
    <w:p>
      <w:pPr>
        <w:numPr>
          <w:ilvl w:val="1"/>
          <w:numId w:val="1003"/>
        </w:numPr>
      </w:pPr>
      <w:r>
        <w:t xml:space="preserve">Quais fontes de incerteza seriam capturadas usando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Qual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0"/>
    <w:bookmarkStart w:id="23" w:name="notas-do-chatgpt"/>
    <w:p>
      <w:pPr>
        <w:pStyle w:val="Heading1"/>
      </w:pPr>
      <w:r>
        <w:t xml:space="preserve">Notas do ChatGPT</w:t>
      </w:r>
    </w:p>
    <w:bookmarkStart w:id="21" w:name="prompt"/>
    <w:p>
      <w:pPr>
        <w:pStyle w:val="Heading2"/>
      </w:pPr>
      <w:r>
        <w:t xml:space="preserve">Prompt</w:t>
      </w:r>
    </w:p>
    <w:p>
      <w:pPr>
        <w:pStyle w:val="FirstParagraph"/>
      </w:pPr>
      <w:r>
        <w:t xml:space="preserve">Escreva um estudo de caso de 4-6 páginas baseado no material da seção em https://warrenpowell.org/bridging-vol1/chapter-2/#electric-power-grid-management. Crie um contexto baseado nas métricas, decisões e incertezas na seção, mas sem chamar atenção explicitamente para elas. Motive seu problema de caso com dados.</w:t>
      </w:r>
    </w:p>
    <w:bookmarkEnd w:id="21"/>
    <w:bookmarkStart w:id="22" w:name="resumo"/>
    <w:p>
      <w:pPr>
        <w:pStyle w:val="Heading2"/>
      </w:pPr>
      <w:r>
        <w:t xml:space="preserve">Resumo</w:t>
      </w:r>
    </w:p>
    <w:p>
      <w:pPr>
        <w:pStyle w:val="FirstParagraph"/>
      </w:pPr>
      <w:r>
        <w:t xml:space="preserve">O caso coloca um operador regional de rede fictício no meio de um dia de demanda recorde de verão. Ele deve decidir como responder à produção incerta de solar e eólica, um gerador a gás potencialmente com falha, preços de mercado crescentes, duração limitada de baterias, restrições de transmissão e participação não confiável de resposta à demanda.</w:t>
      </w:r>
    </w:p>
    <w:p>
      <w:pPr>
        <w:pStyle w:val="BodyText"/>
      </w:pPr>
      <w:r>
        <w:t xml:space="preserve">Inclui:</w:t>
      </w:r>
    </w:p>
    <w:p>
      <w:pPr>
        <w:numPr>
          <w:ilvl w:val="0"/>
          <w:numId w:val="1005"/>
        </w:numPr>
      </w:pPr>
      <w:r>
        <w:t xml:space="preserve">Decisões operacionais de hora antecipada e em tempo real</w:t>
      </w:r>
    </w:p>
    <w:p>
      <w:pPr>
        <w:numPr>
          <w:ilvl w:val="0"/>
          <w:numId w:val="1005"/>
        </w:numPr>
      </w:pPr>
      <w:r>
        <w:t xml:space="preserve">Recursos nucleares, de carvão, gás, óleo, eólicos, solares, hídricos, importações e baterias</w:t>
      </w:r>
    </w:p>
    <w:p>
      <w:pPr>
        <w:numPr>
          <w:ilvl w:val="0"/>
          <w:numId w:val="1005"/>
        </w:numPr>
      </w:pPr>
      <w:r>
        <w:t xml:space="preserve">Tempos de partida de geradores e diferenças de custo operacional</w:t>
      </w:r>
    </w:p>
    <w:p>
      <w:pPr>
        <w:numPr>
          <w:ilvl w:val="0"/>
          <w:numId w:val="1005"/>
        </w:numPr>
      </w:pPr>
      <w:r>
        <w:t xml:space="preserve">Mercados de eletricidade de cinco minutos e regulação de frequência segundo a segundo</w:t>
      </w:r>
    </w:p>
    <w:p>
      <w:pPr>
        <w:numPr>
          <w:ilvl w:val="0"/>
          <w:numId w:val="1005"/>
        </w:numPr>
      </w:pPr>
      <w:r>
        <w:t xml:space="preserve">Incertezas climáticas, de falha de equipamentos, de preço de combustível, regulatórias e tecnológicas</w:t>
      </w:r>
    </w:p>
    <w:p>
      <w:pPr>
        <w:numPr>
          <w:ilvl w:val="0"/>
          <w:numId w:val="1005"/>
        </w:numPr>
      </w:pPr>
      <w:r>
        <w:t xml:space="preserve">Conflitos entre confiabilidade, custo do cliente, emissões e continuidade de serviço</w:t>
      </w:r>
    </w:p>
    <w:p>
      <w:pPr>
        <w:numPr>
          <w:ilvl w:val="0"/>
          <w:numId w:val="1005"/>
        </w:numPr>
      </w:pPr>
      <w:r>
        <w:t xml:space="preserve">Alternativas de longo prazo envolvendo geração a gás, baterias, transmissão, sensores de rede, demanda flexível e armazenamento de longa duração</w:t>
      </w:r>
    </w:p>
    <w:p>
      <w:pPr>
        <w:numPr>
          <w:ilvl w:val="0"/>
          <w:numId w:val="1005"/>
        </w:numPr>
      </w:pPr>
      <w:r>
        <w:t xml:space="preserve">Quatro exibições quantitativas e um ponto de decisão não resolvido</w:t>
      </w:r>
    </w:p>
    <w:p>
      <w:pPr>
        <w:pStyle w:val="FirstParagraph"/>
      </w:pPr>
      <w:r>
        <w:t xml:space="preserve">O contexto de negócios é motivado por descobertas da EIA de que a demanda de eletricidade dos EUA cresceu aproximadamente 1,7% ao ano de 2020 a 2025, seguindo cerca de uma década de crescimento quase estagnado. A avaliação de 2025 da NERC projetou 224 GW de demanda de pico de verão adicional ao longo de dez anos, com data centers respondendo por grande parte do aumento.</w:t>
      </w:r>
    </w:p>
    <w:p>
      <w:pPr>
        <w:pStyle w:val="BodyText"/>
      </w:pPr>
      <w:r>
        <w:t xml:space="preserve">O caso segue a estrutura da seção especificada de gestão de rede elétrica sem separar explicitamente suas medidas de desempenho subjacentes, ações disponíveis e fontes de incerteza.</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arrenpowell.org/decision-framing-tool/#decision-prioritization-tool" TargetMode="External" /><Relationship Type="http://schemas.openxmlformats.org/officeDocument/2006/relationships/hyperlink" Id="rId15" Target="https://warrenpowell.org/decision-framing-tool/#metrics-pyramid-tool" TargetMode="External" /><Relationship Type="http://schemas.openxmlformats.org/officeDocument/2006/relationships/hyperlink" Id="rId18" Target="https://warrenpowell.org/decision-framing-tool/#uncertainty-prioritization-tool" TargetMode="External" /><Relationship Type="http://schemas.openxmlformats.org/officeDocument/2006/relationships/hyperlink" Id="rId17" Target="https://warrenpowell.org/decisionsdecisions/#types-of-decision-settings" TargetMode="External" /><Relationship Type="http://schemas.openxmlformats.org/officeDocument/2006/relationships/hyperlink" Id="rId19"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6" Target="https://warrenpowell.org/decision-framing-tool/#decision-prioritization-tool" TargetMode="External" /><Relationship Type="http://schemas.openxmlformats.org/officeDocument/2006/relationships/hyperlink" Id="rId15" Target="https://warrenpowell.org/decision-framing-tool/#metrics-pyramid-tool" TargetMode="External" /><Relationship Type="http://schemas.openxmlformats.org/officeDocument/2006/relationships/hyperlink" Id="rId18" Target="https://warrenpowell.org/decision-framing-tool/#uncertainty-prioritization-tool" TargetMode="External" /><Relationship Type="http://schemas.openxmlformats.org/officeDocument/2006/relationships/hyperlink" Id="rId17" Target="https://warrenpowell.org/decisionsdecisions/#types-of-decision-settings" TargetMode="External" /><Relationship Type="http://schemas.openxmlformats.org/officeDocument/2006/relationships/hyperlink" Id="rId19"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2026-09-11T16:36:18Z</dcterms:created>
  <dcterms:modified xsi:type="dcterms:W3CDTF">2026-09-11T16:36:18Z</dcterms:modified>
</cp:coreProperties>
</file>

<file path=docProps/custom.xml><?xml version="1.0" encoding="utf-8"?>
<Properties xmlns="http://schemas.openxmlformats.org/officeDocument/2006/custom-properties" xmlns:vt="http://schemas.openxmlformats.org/officeDocument/2006/docPropsVTypes"/>
</file>