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UM ESTUDO DE CASO DE ENSINO DE ESCOLA DE NEGÓCIOS | JULHO DE 2026</w:t>
      </w:r>
    </w:p>
    <w:p>
      <w:pPr>
        <w:pStyle w:val="BodyText"/>
      </w:pPr>
      <w:r>
        <w:t xml:space="preserve">BrightNest Home Services</w:t>
      </w:r>
    </w:p>
    <w:p>
      <w:pPr>
        <w:pStyle w:val="BodyText"/>
      </w:pPr>
      <w:r>
        <w:t xml:space="preserve">O Dilema do Lançamento de Dois Lados</w:t>
      </w:r>
    </w:p>
    <w:p>
      <w:pPr>
        <w:pStyle w:val="BodyText"/>
      </w:pPr>
      <w:r>
        <w:t xml:space="preserve">Todas as organizações e indivíduos deste caso são fictícios. Estatísticas públicas são usadas apenas para estabelecer o contexto de mercado e de mão de obra. O caso intencionalmente não identifica uma solução preferida.</w:t>
      </w:r>
    </w:p>
    <w:p>
      <w:pPr>
        <w:pStyle w:val="BodyText"/>
      </w:pPr>
      <w:r>
        <w:t xml:space="preserve">Às 7h15 de uma segunda-feira de julho de 2026, Maya Chen, fundadora e diretora executiva da BrightNest Home Services, abriu um painel que parecia confirmar tanto a promessa quanto o perigo da empresa que havia construído. Em seus três mercados-piloto, 2.840 residências haviam solicitado uma limpeza inicial nas seis semanas anteriores. No entanto, a BrightNest havia concluído apenas 1.910 atendimentos. Quase um em cada cinco clientes havia esperado mais de sete dias, e 14 por cento dos trabalhos agendados haviam sido reatribuídos após uma faxineira cancelar ou não confirmar.</w:t>
      </w:r>
    </w:p>
    <w:p>
      <w:pPr>
        <w:pStyle w:val="BodyText"/>
      </w:pPr>
      <w:r>
        <w:t xml:space="preserve">A empresa havia levantado $18 milhões para construir um serviço de limpeza residencial habilitado por tecnologia. Os clientes podiam solicitar uma limpeza única ou recorrente através de um aplicativo, receber um preço instantâneo, selecionar uma janela de horário e avaliar o trabalho. A BrightNest planejava recrutar faxineiras através de uma plataforma nacional de busca de emprego que podia anunciar oportunidades flexíveis de limpeza em todos os principais mercados de trabalho dos EUA. O conceito parecia escalável: a publicidade poderia gerar clientes e a plataforma de emprego poderia gerar trabalhadoras. A economia era menos acomodatícia.</w:t>
      </w:r>
    </w:p>
    <w:p>
      <w:pPr>
        <w:pStyle w:val="BodyText"/>
      </w:pPr>
      <w:r>
        <w:t xml:space="preserve">A BrightNest cobrava em média $168 por uma primeira limpeza padrão e $142 por uma visita recorrente. Para atrair clientes, havia testado descontos variando de $20 a 40 por cento. Para atrair faxineiras, anunciava ganhos de $24 a $30 por hora ativa de limpeza, horários flexíveis, pagamento instantâneo e suplementos de quilometragem em áreas selecionadas. Uma vez incluídos o tempo de deslocamento, os impostos sobre a folha de pagamento ou taxas de contratante, o seguro, a despesa de aquisição de clientes, os produtos de limpeza, os reembolsos e os custos de suporte, várias combinações de cliente-faxineira geravam prejuízo.</w:t>
      </w:r>
    </w:p>
    <w:p>
      <w:pPr>
        <w:pStyle w:val="BodyText"/>
      </w:pPr>
      <w:r>
        <w:t xml:space="preserve">Chen havia prometido ao conselho uma recomendação de lançamento em quatro semanas. O conselho queria saber se a BrightNest deveria entrar em cinco áreas metropolitanas cuidadosamente selecionadas, lançar em 25 cidades usando a plataforma de emprego, ou abrir nacionalmente e permitir que a oferta e a demanda emergissem organicamente. A decisão dependia de mais do que o tamanho do mercado. A BrightNest precisava de faxineiras suficientes em cada bairro, nos horários certos, com transporte confiável e equipamento apropriado. Também precisava de clientes cuja disposição a pagar pudesse sustentar uma remuneração atraente.</w:t>
      </w:r>
    </w:p>
    <w:bookmarkStart w:id="9" w:name="Xb6c91d0879c15d7500ed74060c4cc2788fc7256"/>
    <w:p>
      <w:pPr>
        <w:pStyle w:val="Heading1"/>
      </w:pPr>
      <w:r>
        <w:t xml:space="preserve">Um mercado grande, mas de difícil mensuração</w:t>
      </w:r>
    </w:p>
    <w:p>
      <w:pPr>
        <w:pStyle w:val="FirstParagraph"/>
      </w:pPr>
      <w:r>
        <w:t xml:space="preserve">A limpeza residencial situa-se dentro de um mercado fragmentado que inclui empresas locais, franquias, proprietários individuais, arranjos informais e serviços mediados por aplicativo. Os Estados Unidos tinham aproximadamente 132 milhões de residências em meados da década de 2020. A BrightNest estimou que de 5 a 12 por cento comprava limpeza residencial paga pelo menos uma vez por ano, enquanto uma parcela muito menor comprava serviço semanal ou quinzenal. Como muitas transações envolvem proprietários únicos ou arranjos informais, a receita nacional é difícil de observar diretamente.</w:t>
      </w:r>
    </w:p>
    <w:p>
      <w:pPr>
        <w:pStyle w:val="BodyText"/>
      </w:pPr>
      <w:r>
        <w:t xml:space="preserve">Os dados do Censo mostraram a importância dos prestadores independentes em trabalhos de limpeza adjacentes: proprietários individuais em serviços de zeladoria geraram cerca de $20 bilhões em receitas em 2023. A BrightNest acreditava que a limpeza residencial representava uma oportunidade multibilionária, mas a diretoria discordava fortemente sobre o mercado atendível para um aplicativo de marca a preços altos o suficiente para sustentar qualidade, seguro e mão de obra confiável.</w:t>
      </w:r>
    </w:p>
    <w:bookmarkEnd w:id="9"/>
    <w:bookmarkStart w:id="11" w:name="a-máquina-de-aquisição-de-clientes"/>
    <w:p>
      <w:pPr>
        <w:pStyle w:val="Heading1"/>
      </w:pPr>
      <w:r>
        <w:t xml:space="preserve">A máquina de aquisição de clientes</w:t>
      </w:r>
    </w:p>
    <w:p>
      <w:pPr>
        <w:pStyle w:val="FirstParagraph"/>
      </w:pPr>
      <w:r>
        <w:t xml:space="preserve">A equipe de crescimento havia organizado a aquisição de clientes em torno de quatro canais: busca paga, mídias sociais, marketplaces digitais locais e programas de indicação de vizinhança. Cada canal produzia uma combinação diferente de clientes. A publicidade de busca atraía pessoas com intenção imediata, mas era cara. As mídias sociais geravam leads baratos, mas tinham baixas taxas de agendamento. Os créditos de indicação produziam clientes recorrentes, mas levavam tempo para se desenvolver. Parcerias com administradores de apartamentos, corretores de imóveis e empregadores ofereciam blocos maiores de demanda, mas geralmente exigiam descontos ou garantias de serviço.</w:t>
      </w:r>
    </w:p>
    <w:p>
      <w:pPr>
        <w:pStyle w:val="BodyText"/>
      </w:pPr>
      <w:r>
        <w:t xml:space="preserve">O desconto na limpeza inicial gerava a maior discordância. A diretora de crescimento argumentava que uma primeira visita com desconto reduzia o risco percebido pelos clientes e dava à empresa a oportunidade de convertê-los em serviço recorrente. O diretor financeiro via os descontos profundos como um mecanismo para atrair clientes sensíveis a preço que talvez nunca voltassem a fazer pedidos. Os gerentes de operações se preocupavam que as promoções pudessem criar uma onda de agendamentos antes que um conjunto local de faxineiras estivesse pronto.</w:t>
      </w:r>
    </w:p>
    <w:bookmarkStart w:id="10" w:name="Xc450f9741c080916c7703fa25e35387b45bf2c2"/>
    <w:p>
      <w:pPr>
        <w:pStyle w:val="Heading2"/>
      </w:pPr>
      <w:r>
        <w:t xml:space="preserve">Exhibit 1. Resultados de aquisição de clientes no piloto</w:t>
      </w:r>
    </w:p>
    <w:tbl>
      <w:tblPr>
        <w:tblStyle w:val="Table"/>
        <w:tblW w:type="pct" w:w="4922"/>
        <w:tblLayout w:type="fixed"/>
        <w:tblLook w:firstRow="1" w:lastRow="0" w:firstColumn="0" w:lastColumn="0" w:noHBand="0" w:noVBand="0" w:val="0020"/>
      </w:tblPr>
      <w:tblGrid>
        <w:gridCol w:w="1794"/>
        <w:gridCol w:w="1856"/>
        <w:gridCol w:w="1175"/>
        <w:gridCol w:w="1299"/>
        <w:gridCol w:w="1670"/>
      </w:tblGrid>
      <w:tr>
        <w:trPr>
          <w:tblHeader w:val="on"/>
        </w:trPr>
        <w:tc>
          <w:tcPr/>
          <w:p>
            <w:pPr>
              <w:pStyle w:val="Compact"/>
              <w:jc w:val="left"/>
            </w:pPr>
            <w:r>
              <w:t xml:space="preserve">Canal</w:t>
            </w:r>
          </w:p>
        </w:tc>
        <w:tc>
          <w:tcPr/>
          <w:p>
            <w:pPr>
              <w:pStyle w:val="Compact"/>
            </w:pPr>
            <w:r>
              <w:t xml:space="preserve">Custo por primeira limpeza age</w:t>
            </w:r>
          </w:p>
        </w:tc>
        <w:tc>
          <w:tcPr/>
          <w:p>
            <w:pPr>
              <w:pStyle w:val="Compact"/>
            </w:pPr>
            <w:r>
              <w:t xml:space="preserve">ndada Desconto mé</w:t>
            </w:r>
          </w:p>
        </w:tc>
        <w:tc>
          <w:tcPr/>
          <w:p>
            <w:pPr>
              <w:pStyle w:val="Compact"/>
            </w:pPr>
            <w:r>
              <w:t xml:space="preserve">dio Taxa de recompr</w:t>
            </w:r>
          </w:p>
        </w:tc>
        <w:tc>
          <w:tcPr/>
          <w:p>
            <w:pPr>
              <w:pStyle w:val="Compact"/>
            </w:pPr>
            <w:r>
              <w:t xml:space="preserve">a em 30 dias Taxa de cancelamento/reembolso</w:t>
            </w:r>
          </w:p>
        </w:tc>
      </w:tr>
      <w:tr>
        <w:tc>
          <w:tcPr/>
          <w:p>
            <w:pPr>
              <w:pStyle w:val="Compact"/>
              <w:jc w:val="left"/>
            </w:pPr>
            <w:r>
              <w:t xml:space="preserve">Busca paga</w:t>
            </w:r>
          </w:p>
        </w:tc>
        <w:tc>
          <w:tcPr/>
          <w:p>
            <w:pPr>
              <w:pStyle w:val="Compact"/>
            </w:pPr>
            <w:r>
              <w:t xml:space="preserve">$72</w:t>
            </w:r>
          </w:p>
        </w:tc>
        <w:tc>
          <w:tcPr/>
          <w:p>
            <w:pPr>
              <w:pStyle w:val="Compact"/>
            </w:pPr>
            <w:r>
              <w:t xml:space="preserve">25%</w:t>
            </w:r>
          </w:p>
        </w:tc>
        <w:tc>
          <w:tcPr/>
          <w:p>
            <w:pPr>
              <w:pStyle w:val="Compact"/>
            </w:pPr>
            <w:r>
              <w:t xml:space="preserve">31%</w:t>
            </w:r>
          </w:p>
        </w:tc>
        <w:tc>
          <w:tcPr/>
          <w:p>
            <w:pPr>
              <w:pStyle w:val="Compact"/>
            </w:pPr>
            <w:r>
              <w:t xml:space="preserve">9%</w:t>
            </w:r>
          </w:p>
        </w:tc>
      </w:tr>
      <w:tr>
        <w:tc>
          <w:tcPr/>
          <w:p>
            <w:pPr>
              <w:pStyle w:val="Compact"/>
              <w:jc w:val="left"/>
            </w:pPr>
            <w:r>
              <w:t xml:space="preserve">Mídias sociais</w:t>
            </w:r>
          </w:p>
        </w:tc>
        <w:tc>
          <w:tcPr/>
          <w:p>
            <w:pPr>
              <w:pStyle w:val="Compact"/>
            </w:pPr>
            <w:r>
              <w:t xml:space="preserve">$48</w:t>
            </w:r>
          </w:p>
        </w:tc>
        <w:tc>
          <w:tcPr/>
          <w:p>
            <w:pPr>
              <w:pStyle w:val="Compact"/>
            </w:pPr>
            <w:r>
              <w:t xml:space="preserve">35%</w:t>
            </w:r>
          </w:p>
        </w:tc>
        <w:tc>
          <w:tcPr/>
          <w:p>
            <w:pPr>
              <w:pStyle w:val="Compact"/>
            </w:pPr>
            <w:r>
              <w:t xml:space="preserve">18%</w:t>
            </w:r>
          </w:p>
        </w:tc>
        <w:tc>
          <w:tcPr/>
          <w:p>
            <w:pPr>
              <w:pStyle w:val="Compact"/>
            </w:pPr>
            <w:r>
              <w:t xml:space="preserve">14%</w:t>
            </w:r>
          </w:p>
        </w:tc>
      </w:tr>
      <w:tr>
        <w:tc>
          <w:tcPr/>
          <w:p>
            <w:pPr>
              <w:pStyle w:val="Compact"/>
              <w:jc w:val="left"/>
            </w:pPr>
            <w:r>
              <w:t xml:space="preserve">Indicações de vizinhança</w:t>
            </w:r>
          </w:p>
        </w:tc>
        <w:tc>
          <w:tcPr/>
          <w:p>
            <w:pPr>
              <w:pStyle w:val="Compact"/>
            </w:pPr>
            <w:r>
              <w:t xml:space="preserve">$39</w:t>
            </w:r>
          </w:p>
        </w:tc>
        <w:tc>
          <w:tcPr/>
          <w:p>
            <w:pPr>
              <w:pStyle w:val="Compact"/>
            </w:pPr>
            <w:r>
              <w:t xml:space="preserve">15%</w:t>
            </w:r>
          </w:p>
        </w:tc>
        <w:tc>
          <w:tcPr/>
          <w:p>
            <w:pPr>
              <w:pStyle w:val="Compact"/>
            </w:pPr>
            <w:r>
              <w:t xml:space="preserve">46%</w:t>
            </w:r>
          </w:p>
        </w:tc>
        <w:tc>
          <w:tcPr/>
          <w:p>
            <w:pPr>
              <w:pStyle w:val="Compact"/>
            </w:pPr>
            <w:r>
              <w:t xml:space="preserve">6%</w:t>
            </w:r>
          </w:p>
        </w:tc>
      </w:tr>
      <w:tr>
        <w:tc>
          <w:tcPr/>
          <w:p>
            <w:pPr>
              <w:pStyle w:val="Compact"/>
              <w:jc w:val="left"/>
            </w:pPr>
            <w:r>
              <w:t xml:space="preserve">Parceiros imobiliários/empreg</w:t>
            </w:r>
          </w:p>
        </w:tc>
        <w:tc>
          <w:tcPr/>
          <w:p>
            <w:pPr>
              <w:pStyle w:val="Compact"/>
            </w:pPr>
            <w:r>
              <w:t xml:space="preserve">adores $61</w:t>
            </w:r>
          </w:p>
        </w:tc>
        <w:tc>
          <w:tcPr/>
          <w:p>
            <w:pPr>
              <w:pStyle w:val="Compact"/>
            </w:pPr>
            <w:r>
              <w:t xml:space="preserve">22%</w:t>
            </w:r>
          </w:p>
        </w:tc>
        <w:tc>
          <w:tcPr/>
          <w:p>
            <w:pPr>
              <w:pStyle w:val="Compact"/>
            </w:pPr>
            <w:r>
              <w:t xml:space="preserve">38%</w:t>
            </w:r>
          </w:p>
        </w:tc>
        <w:tc>
          <w:tcPr/>
          <w:p>
            <w:pPr>
              <w:pStyle w:val="Compact"/>
            </w:pPr>
            <w:r>
              <w:t xml:space="preserve">7%</w:t>
            </w:r>
          </w:p>
        </w:tc>
      </w:tr>
      <w:tr>
        <w:tc>
          <w:tcPr/>
          <w:p>
            <w:pPr>
              <w:pStyle w:val="Compact"/>
              <w:jc w:val="left"/>
            </w:pPr>
            <w:r>
              <w:t xml:space="preserve">Marketplaces de serviços loca</w:t>
            </w:r>
          </w:p>
        </w:tc>
        <w:tc>
          <w:tcPr/>
          <w:p>
            <w:pPr>
              <w:pStyle w:val="Compact"/>
            </w:pPr>
            <w:r>
              <w:t xml:space="preserve">is $84</w:t>
            </w:r>
          </w:p>
        </w:tc>
        <w:tc>
          <w:tcPr/>
          <w:p>
            <w:pPr>
              <w:pStyle w:val="Compact"/>
            </w:pPr>
            <w:r>
              <w:t xml:space="preserve">18%</w:t>
            </w:r>
          </w:p>
        </w:tc>
        <w:tc>
          <w:tcPr/>
          <w:p>
            <w:pPr>
              <w:pStyle w:val="Compact"/>
            </w:pPr>
            <w:r>
              <w:t xml:space="preserve">27%</w:t>
            </w:r>
          </w:p>
        </w:tc>
        <w:tc>
          <w:tcPr/>
          <w:p>
            <w:pPr>
              <w:pStyle w:val="Compact"/>
            </w:pPr>
            <w:r>
              <w:t xml:space="preserve">12%</w:t>
            </w:r>
          </w:p>
        </w:tc>
      </w:tr>
    </w:tbl>
    <w:p>
      <w:pPr>
        <w:pStyle w:val="BodyText"/>
      </w:pPr>
      <w:r>
        <w:t xml:space="preserve">Um cliente que agendava uma única vez gerava receita imediatamente, mas pouco valor de longo prazo. Um cliente recorrente poderia agendar de 12 a 24 visitas por ano, mas somente se a primeira limpeza atendesse às expectativas e a empresa pudesse oferecer horários de atendimento consistentes. A BrightNest ainda não havia aprendido se os clientes eram leais à marca, a uma faxineira em particular, ou simplesmente ao preço mais baixo disponível.</w:t>
      </w:r>
    </w:p>
    <w:bookmarkEnd w:id="10"/>
    <w:bookmarkEnd w:id="11"/>
    <w:bookmarkStart w:id="13" w:name="estimando-a-demanda"/>
    <w:p>
      <w:pPr>
        <w:pStyle w:val="Heading1"/>
      </w:pPr>
      <w:r>
        <w:t xml:space="preserve">Estimando a demanda</w:t>
      </w:r>
    </w:p>
    <w:p>
      <w:pPr>
        <w:pStyle w:val="FirstParagraph"/>
      </w:pPr>
      <w:r>
        <w:t xml:space="preserve">A diretoria construiu uma estimativa de demanda de cima para baixo. Partindo de aproximadamente 132 milhões de residências nos EUA, assumiu-se que 7,5 por cento comprariam pelo menos uma limpeza profissional por ano. Com uma média de seis visitas e $150 por visita, isso implicava um gasto anual próximo a $9 bilhões. Uma suposição mais ampla de 12 por cento de participação e oito visitas implicava mais de $19 bilhões. A equipe rotulou ambas as cifras como</w:t>
      </w:r>
      <w:r>
        <w:t xml:space="preserve"> </w:t>
      </w:r>
      <w:r>
        <w:t xml:space="preserve">“hipóteses de mercado”</w:t>
      </w:r>
      <w:r>
        <w:t xml:space="preserve">, não previsões.</w:t>
      </w:r>
    </w:p>
    <w:p>
      <w:pPr>
        <w:pStyle w:val="BodyText"/>
      </w:pPr>
      <w:r>
        <w:t xml:space="preserve">A estimativa de baixo para cima era menos generosa. Nas 30 áreas metropolitanas inicialmente selecionadas, a BrightNest identificou 24 milhões de residências. Com base em renda, composição familiar, tipo de moradia, comportamento de compra digital e preços locais de serviços, classificou 3,7 milhões como clientes plausíveis de serviço recorrente. Capturar 1 por cento desse grupo criaria 37.000 clientes. Com 15 limpezas anuais por cliente, isso exigiria mais de 550.000 visitas concluídas por ano - aproximadamente 2.200 visitas a cada dia útil.</w:t>
      </w:r>
    </w:p>
    <w:bookmarkStart w:id="12" w:name="X2d40026a546b71045e13a1c9c2ebcefcdb88756"/>
    <w:p>
      <w:pPr>
        <w:pStyle w:val="Heading2"/>
      </w:pPr>
      <w:r>
        <w:t xml:space="preserve">Exhibit 2. Cenários ilustrativos de demanda nacional</w:t>
      </w:r>
    </w:p>
    <w:tbl>
      <w:tblPr>
        <w:tblStyle w:val="Table"/>
        <w:tblW w:type="pct" w:w="4914"/>
        <w:tblLayout w:type="fixed"/>
        <w:tblLook w:firstRow="1" w:lastRow="0" w:firstColumn="0" w:lastColumn="0" w:noHBand="0" w:noVBand="0" w:val="0020"/>
      </w:tblPr>
      <w:tblGrid>
        <w:gridCol w:w="1024"/>
        <w:gridCol w:w="2253"/>
        <w:gridCol w:w="1638"/>
        <w:gridCol w:w="1092"/>
        <w:gridCol w:w="1775"/>
      </w:tblGrid>
      <w:tr>
        <w:trPr>
          <w:tblHeader w:val="on"/>
        </w:trPr>
        <w:tc>
          <w:tcPr/>
          <w:p>
            <w:pPr>
              <w:pStyle w:val="Compact"/>
            </w:pPr>
            <w:r>
              <w:t xml:space="preserve">Cenário R</w:t>
            </w:r>
          </w:p>
        </w:tc>
        <w:tc>
          <w:tcPr/>
          <w:p>
            <w:pPr>
              <w:pStyle w:val="Compact"/>
            </w:pPr>
            <w:r>
              <w:t xml:space="preserve">esidências que usam limpeza paga</w:t>
            </w:r>
          </w:p>
        </w:tc>
        <w:tc>
          <w:tcPr/>
          <w:p>
            <w:pPr>
              <w:pStyle w:val="Compact"/>
              <w:jc w:val="right"/>
            </w:pPr>
            <w:r>
              <w:t xml:space="preserve">Visitas anuais médias</w:t>
            </w:r>
          </w:p>
        </w:tc>
        <w:tc>
          <w:tcPr/>
          <w:p>
            <w:pPr>
              <w:pStyle w:val="Compact"/>
              <w:jc w:val="center"/>
            </w:pPr>
            <w:r>
              <w:t xml:space="preserve">Preço médio</w:t>
            </w:r>
          </w:p>
        </w:tc>
        <w:tc>
          <w:tcPr/>
          <w:p>
            <w:pPr>
              <w:pStyle w:val="Compact"/>
              <w:jc w:val="left"/>
            </w:pPr>
            <w:r>
              <w:t xml:space="preserve">Demanda anual estimada</w:t>
            </w:r>
          </w:p>
        </w:tc>
      </w:tr>
      <w:tr>
        <w:tc>
          <w:tcPr/>
          <w:p>
            <w:pPr>
              <w:pStyle w:val="Compact"/>
            </w:pPr>
            <w:r>
              <w:t xml:space="preserve">Conservador 6</w:t>
            </w:r>
          </w:p>
        </w:tc>
        <w:tc>
          <w:tcPr/>
          <w:p>
            <w:pPr>
              <w:pStyle w:val="Compact"/>
            </w:pPr>
            <w:r>
              <w:t xml:space="preserve">,6 milhões (5%) 4</w:t>
            </w:r>
          </w:p>
        </w:tc>
        <w:tc>
          <w:tcPr/>
          <w:p>
            <w:pPr>
              <w:pStyle w:val="Compact"/>
              <w:jc w:val="right"/>
            </w:pPr>
            <w:r>
              <w:br/>
            </w:r>
          </w:p>
        </w:tc>
        <w:tc>
          <w:tcPr/>
          <w:p>
            <w:pPr>
              <w:pStyle w:val="Compact"/>
              <w:jc w:val="center"/>
            </w:pPr>
            <w:r>
              <w:t xml:space="preserve">$145</w:t>
            </w:r>
            <w:r>
              <w:br/>
            </w:r>
          </w:p>
        </w:tc>
        <w:tc>
          <w:tcPr/>
          <w:p>
            <w:pPr>
              <w:pStyle w:val="Compact"/>
              <w:jc w:val="left"/>
            </w:pPr>
            <w:r>
              <w:t xml:space="preserve">$3,8 bilhões</w:t>
            </w:r>
          </w:p>
        </w:tc>
      </w:tr>
      <w:tr>
        <w:tc>
          <w:tcPr/>
          <w:p>
            <w:pPr>
              <w:pStyle w:val="Compact"/>
            </w:pPr>
            <w:r>
              <w:t xml:space="preserve">Base 9</w:t>
            </w:r>
          </w:p>
        </w:tc>
        <w:tc>
          <w:tcPr/>
          <w:p>
            <w:pPr>
              <w:pStyle w:val="Compact"/>
            </w:pPr>
            <w:r>
              <w:t xml:space="preserve">,9 milhões (7,5%) 6</w:t>
            </w:r>
          </w:p>
        </w:tc>
        <w:tc>
          <w:tcPr/>
          <w:p>
            <w:pPr>
              <w:pStyle w:val="Compact"/>
              <w:jc w:val="right"/>
            </w:pPr>
            <w:r>
              <w:br/>
            </w:r>
          </w:p>
        </w:tc>
        <w:tc>
          <w:tcPr/>
          <w:p>
            <w:pPr>
              <w:pStyle w:val="Compact"/>
              <w:jc w:val="center"/>
            </w:pPr>
            <w:r>
              <w:t xml:space="preserve">$150</w:t>
            </w:r>
            <w:r>
              <w:br/>
            </w:r>
          </w:p>
        </w:tc>
        <w:tc>
          <w:tcPr/>
          <w:p>
            <w:pPr>
              <w:pStyle w:val="Compact"/>
              <w:jc w:val="left"/>
            </w:pPr>
            <w:r>
              <w:t xml:space="preserve">$8,9 bilhões</w:t>
            </w:r>
          </w:p>
        </w:tc>
      </w:tr>
      <w:tr>
        <w:tc>
          <w:tcPr/>
          <w:p>
            <w:pPr>
              <w:pStyle w:val="Compact"/>
            </w:pPr>
            <w:r>
              <w:t xml:space="preserve">Alto 1</w:t>
            </w:r>
          </w:p>
        </w:tc>
        <w:tc>
          <w:tcPr/>
          <w:p>
            <w:pPr>
              <w:pStyle w:val="Compact"/>
            </w:pPr>
            <w:r>
              <w:t xml:space="preserve">5,8 milhões (12%) 8</w:t>
            </w:r>
          </w:p>
        </w:tc>
        <w:tc>
          <w:tcPr/>
          <w:p>
            <w:pPr>
              <w:pStyle w:val="Compact"/>
              <w:jc w:val="right"/>
            </w:pPr>
            <w:r>
              <w:br/>
            </w:r>
          </w:p>
        </w:tc>
        <w:tc>
          <w:tcPr/>
          <w:p>
            <w:pPr>
              <w:pStyle w:val="Compact"/>
              <w:jc w:val="center"/>
            </w:pPr>
            <w:r>
              <w:t xml:space="preserve">$155</w:t>
            </w:r>
            <w:r>
              <w:br/>
            </w:r>
          </w:p>
        </w:tc>
        <w:tc>
          <w:tcPr/>
          <w:p>
            <w:pPr>
              <w:pStyle w:val="Compact"/>
              <w:jc w:val="left"/>
            </w:pPr>
            <w:r>
              <w:t xml:space="preserve">$19,6 bilhões</w:t>
            </w:r>
          </w:p>
        </w:tc>
      </w:tr>
    </w:tbl>
    <w:bookmarkEnd w:id="12"/>
    <w:bookmarkEnd w:id="13"/>
    <w:bookmarkStart w:id="15" w:name="recrutando-a-rede-de-faxineiras"/>
    <w:p>
      <w:pPr>
        <w:pStyle w:val="Heading1"/>
      </w:pPr>
      <w:r>
        <w:t xml:space="preserve">Recrutando a rede de faxineiras</w:t>
      </w:r>
    </w:p>
    <w:p>
      <w:pPr>
        <w:pStyle w:val="FirstParagraph"/>
      </w:pPr>
      <w:r>
        <w:t xml:space="preserve">A BrightNest não possuía filiais de limpeza nem empregava grandes equipes locais de recrutamento. Em vez disso, planejava anunciar oportunidades através do WorkReach, um aplicativo fictício nacional de busca de emprego. Uma candidata podia ver os ganhos estimados, selecionar áreas e horários de trabalho preferidos, enviar documentos de identidade e de emprego, concluir uma verificação de antecedentes, assistir a módulos de treinamento e encomendar um kit de suprimentos aprovado.</w:t>
      </w:r>
    </w:p>
    <w:p>
      <w:pPr>
        <w:pStyle w:val="BodyText"/>
      </w:pPr>
      <w:r>
        <w:t xml:space="preserve">O conjunto nacional de mão de obra parecia grande. O Bureau of Labor Statistics estimou 860.670 faxineiras e trabalhadoras de limpeza doméstica em maio de 2025, com remuneração média de $17,83 por hora e mediana de $17,07. As ocupações de limpeza de edifícios e terrenos empregavam mais de 5,7 milhões de pessoas em 2024, embora a maioria não realizasse trabalho residencial. Esses números sugeriam disponibilidade de mão de obra, mas não respondiam quantas trabalhadoras queriam atribuições variáveis de limpeza residencial despachadas por aplicativo.</w:t>
      </w:r>
    </w:p>
    <w:p>
      <w:pPr>
        <w:pStyle w:val="BodyText"/>
      </w:pPr>
      <w:r>
        <w:t xml:space="preserve">O trabalho era fisicamente exigente, o deslocamento entre residências não era remunerado sob alguns modelos, e os clientes às vezes solicitavam noites ou fins de semana. As candidatas também comparavam a BrightNest com hotéis, hospitais, empresas de limpeza comercial, trabalho de cuidado domiciliar, plataformas de entrega e clientes particulares diretos. Uma taxa anunciada de $28 por hora de limpeza podia se traduzir em muito menos para uma trabalhadora que passasse 75 minutos se deslocando, comprando suprimentos, se comunicando com clientes ou esperando entre trabalhos.</w:t>
      </w:r>
    </w:p>
    <w:bookmarkStart w:id="14" w:name="exhibit-3.-funil-de-faxineiras-no-piloto"/>
    <w:p>
      <w:pPr>
        <w:pStyle w:val="Heading2"/>
      </w:pPr>
      <w:r>
        <w:t xml:space="preserve">Exhibit 3. Funil de faxineiras no piloto</w:t>
      </w:r>
    </w:p>
    <w:tbl>
      <w:tblPr>
        <w:tblStyle w:val="Table"/>
        <w:tblW w:type="pct" w:w="4912"/>
        <w:tblLayout w:type="fixed"/>
        <w:tblLook w:firstRow="1" w:lastRow="0" w:firstColumn="0" w:lastColumn="0" w:noHBand="0" w:noVBand="0" w:val="0020"/>
      </w:tblPr>
      <w:tblGrid>
        <w:gridCol w:w="1962"/>
        <w:gridCol w:w="911"/>
        <w:gridCol w:w="1612"/>
        <w:gridCol w:w="3294"/>
      </w:tblGrid>
      <w:tr>
        <w:trPr>
          <w:tblHeader w:val="on"/>
        </w:trPr>
        <w:tc>
          <w:tcPr/>
          <w:p>
            <w:pPr>
              <w:pStyle w:val="Compact"/>
              <w:jc w:val="left"/>
            </w:pPr>
            <w:r>
              <w:t xml:space="preserve">Etapa</w:t>
            </w:r>
          </w:p>
        </w:tc>
        <w:tc>
          <w:tcPr/>
          <w:p>
            <w:pPr>
              <w:pStyle w:val="Compact"/>
              <w:jc w:val="left"/>
            </w:pPr>
            <w:r>
              <w:t xml:space="preserve">Candidatas</w:t>
            </w:r>
          </w:p>
        </w:tc>
        <w:tc>
          <w:tcPr/>
          <w:p>
            <w:pPr>
              <w:pStyle w:val="Compact"/>
            </w:pPr>
            <w:r>
              <w:t xml:space="preserve">Parcela da etapa anteri</w:t>
            </w:r>
          </w:p>
        </w:tc>
        <w:tc>
          <w:tcPr/>
          <w:p>
            <w:pPr>
              <w:pStyle w:val="Compact"/>
              <w:jc w:val="left"/>
            </w:pPr>
            <w:r>
              <w:t xml:space="preserve">or Principal motivo de perda</w:t>
            </w:r>
          </w:p>
        </w:tc>
      </w:tr>
      <w:tr>
        <w:tc>
          <w:tcPr/>
          <w:p>
            <w:pPr>
              <w:pStyle w:val="Compact"/>
              <w:jc w:val="left"/>
            </w:pPr>
            <w:r>
              <w:t xml:space="preserve">Clicou no anúncio de vaga</w:t>
            </w:r>
          </w:p>
        </w:tc>
        <w:tc>
          <w:tcPr/>
          <w:p>
            <w:pPr>
              <w:pStyle w:val="Compact"/>
              <w:jc w:val="left"/>
            </w:pPr>
            <w:r>
              <w:t xml:space="preserve">18.400</w:t>
            </w:r>
          </w:p>
        </w:tc>
        <w:tc>
          <w:tcPr/>
          <w:p>
            <w:pPr>
              <w:pStyle w:val="Compact"/>
            </w:pPr>
            <w:r>
              <w:t xml:space="preserve">-</w:t>
            </w:r>
          </w:p>
        </w:tc>
        <w:tc>
          <w:tcPr/>
          <w:p>
            <w:pPr>
              <w:pStyle w:val="Compact"/>
              <w:jc w:val="left"/>
            </w:pPr>
            <w:r>
              <w:t xml:space="preserve">-</w:t>
            </w:r>
          </w:p>
        </w:tc>
      </w:tr>
      <w:tr>
        <w:tc>
          <w:tcPr/>
          <w:p>
            <w:pPr>
              <w:pStyle w:val="Compact"/>
              <w:jc w:val="left"/>
            </w:pPr>
            <w:r>
              <w:t xml:space="preserve">Iniciou a inscrição</w:t>
            </w:r>
          </w:p>
        </w:tc>
        <w:tc>
          <w:tcPr/>
          <w:p>
            <w:pPr>
              <w:pStyle w:val="Compact"/>
              <w:jc w:val="left"/>
            </w:pPr>
            <w:r>
              <w:t xml:space="preserve">7.920</w:t>
            </w:r>
          </w:p>
        </w:tc>
        <w:tc>
          <w:tcPr/>
          <w:p>
            <w:pPr>
              <w:pStyle w:val="Compact"/>
            </w:pPr>
            <w:r>
              <w:t xml:space="preserve">43%</w:t>
            </w:r>
          </w:p>
        </w:tc>
        <w:tc>
          <w:tcPr/>
          <w:p>
            <w:pPr>
              <w:pStyle w:val="Compact"/>
              <w:jc w:val="left"/>
            </w:pPr>
            <w:r>
              <w:t xml:space="preserve">Remuneração ou localização não clara</w:t>
            </w:r>
          </w:p>
        </w:tc>
      </w:tr>
      <w:tr>
        <w:tc>
          <w:tcPr/>
          <w:p>
            <w:pPr>
              <w:pStyle w:val="Compact"/>
              <w:jc w:val="left"/>
            </w:pPr>
            <w:r>
              <w:t xml:space="preserve">Passou pela triagem</w:t>
            </w:r>
          </w:p>
        </w:tc>
        <w:tc>
          <w:tcPr/>
          <w:p>
            <w:pPr>
              <w:pStyle w:val="Compact"/>
              <w:jc w:val="left"/>
            </w:pPr>
            <w:r>
              <w:t xml:space="preserve">4.110</w:t>
            </w:r>
          </w:p>
        </w:tc>
        <w:tc>
          <w:tcPr/>
          <w:p>
            <w:pPr>
              <w:pStyle w:val="Compact"/>
            </w:pPr>
            <w:r>
              <w:t xml:space="preserve">52%</w:t>
            </w:r>
          </w:p>
        </w:tc>
        <w:tc>
          <w:tcPr/>
          <w:p>
            <w:pPr>
              <w:pStyle w:val="Compact"/>
              <w:jc w:val="left"/>
            </w:pPr>
            <w:r>
              <w:t xml:space="preserve">Documentação/verificação de antecedentes</w:t>
            </w:r>
          </w:p>
        </w:tc>
      </w:tr>
      <w:tr>
        <w:tc>
          <w:tcPr/>
          <w:p>
            <w:pPr>
              <w:pStyle w:val="Compact"/>
              <w:jc w:val="left"/>
            </w:pPr>
            <w:r>
              <w:t xml:space="preserve">Concluiu o treinamento</w:t>
            </w:r>
          </w:p>
        </w:tc>
        <w:tc>
          <w:tcPr/>
          <w:p>
            <w:pPr>
              <w:pStyle w:val="Compact"/>
              <w:jc w:val="left"/>
            </w:pPr>
            <w:r>
              <w:t xml:space="preserve">2.380</w:t>
            </w:r>
          </w:p>
        </w:tc>
        <w:tc>
          <w:tcPr/>
          <w:p>
            <w:pPr>
              <w:pStyle w:val="Compact"/>
            </w:pPr>
            <w:r>
              <w:t xml:space="preserve">58%</w:t>
            </w:r>
          </w:p>
        </w:tc>
        <w:tc>
          <w:tcPr/>
          <w:p>
            <w:pPr>
              <w:pStyle w:val="Compact"/>
              <w:jc w:val="left"/>
            </w:pPr>
            <w:r>
              <w:t xml:space="preserve">Requisitos de tempo e equipamento</w:t>
            </w:r>
          </w:p>
        </w:tc>
      </w:tr>
      <w:tr>
        <w:tc>
          <w:tcPr/>
          <w:p>
            <w:pPr>
              <w:pStyle w:val="Compact"/>
              <w:jc w:val="left"/>
            </w:pPr>
            <w:r>
              <w:t xml:space="preserve">Aceitou o primeiro trabalho</w:t>
            </w:r>
          </w:p>
        </w:tc>
        <w:tc>
          <w:tcPr/>
          <w:p>
            <w:pPr>
              <w:pStyle w:val="Compact"/>
              <w:jc w:val="left"/>
            </w:pPr>
            <w:r>
              <w:t xml:space="preserve">1.420</w:t>
            </w:r>
          </w:p>
        </w:tc>
        <w:tc>
          <w:tcPr/>
          <w:p>
            <w:pPr>
              <w:pStyle w:val="Compact"/>
            </w:pPr>
            <w:r>
              <w:t xml:space="preserve">60%</w:t>
            </w:r>
          </w:p>
        </w:tc>
        <w:tc>
          <w:tcPr/>
          <w:p>
            <w:pPr>
              <w:pStyle w:val="Compact"/>
              <w:jc w:val="left"/>
            </w:pPr>
            <w:r>
              <w:t xml:space="preserve">Incompatibilidade de deslocamento ou horário</w:t>
            </w:r>
          </w:p>
        </w:tc>
      </w:tr>
      <w:tr>
        <w:tc>
          <w:tcPr/>
          <w:p>
            <w:pPr>
              <w:pStyle w:val="Compact"/>
              <w:jc w:val="left"/>
            </w:pPr>
            <w:r>
              <w:t xml:space="preserve">Ativa após 60 dias</w:t>
            </w:r>
          </w:p>
        </w:tc>
        <w:tc>
          <w:tcPr/>
          <w:p>
            <w:pPr>
              <w:pStyle w:val="Compact"/>
              <w:jc w:val="left"/>
            </w:pPr>
            <w:r>
              <w:t xml:space="preserve">690</w:t>
            </w:r>
          </w:p>
        </w:tc>
        <w:tc>
          <w:tcPr/>
          <w:p>
            <w:pPr>
              <w:pStyle w:val="Compact"/>
            </w:pPr>
            <w:r>
              <w:t xml:space="preserve">49%</w:t>
            </w:r>
          </w:p>
        </w:tc>
        <w:tc>
          <w:tcPr/>
          <w:p>
            <w:pPr>
              <w:pStyle w:val="Compact"/>
              <w:jc w:val="left"/>
            </w:pPr>
            <w:r>
              <w:t xml:space="preserve">Horários inconsistentes, deslocamento, avaliações de clientes</w:t>
            </w:r>
          </w:p>
        </w:tc>
      </w:tr>
    </w:tbl>
    <w:p>
      <w:pPr>
        <w:pStyle w:val="BodyText"/>
      </w:pPr>
      <w:r>
        <w:t xml:space="preserve">A operação propôs um mínimo garantido de $120 para faxineiras que reservassem um bloco de seis horas, mesmo que a demanda fosse insuficiente. O financeiro estimou que uma garantia poderia aumentar a aceitação e a retenção, mas criar uma despesa substancial de tempo ocioso durante o lançamento de mercado. Outra proposta permitiria que as faxineiras definissem seus próprios preços. Os gerentes de crescimento se opuseram, argumentando que os clientes esperavam uma cotação simples e consistente.</w:t>
      </w:r>
    </w:p>
    <w:bookmarkEnd w:id="14"/>
    <w:bookmarkEnd w:id="15"/>
    <w:bookmarkStart w:id="16" w:name="X582db753715245d805a8dd3d737d59c26c510d7"/>
    <w:p>
      <w:pPr>
        <w:pStyle w:val="Heading1"/>
      </w:pPr>
      <w:r>
        <w:t xml:space="preserve">Modelo de emprego e incerteza sobre imigração</w:t>
      </w:r>
    </w:p>
    <w:p>
      <w:pPr>
        <w:pStyle w:val="FirstParagraph"/>
      </w:pPr>
      <w:r>
        <w:t xml:space="preserve">A equipe jurídica alertou que a BrightNest tinha que decidir se as faxineiras seriam empregadas, contratadas independentes, ou uma combinação que variasse por estado. A resposta afetava o controle sobre horários, treinamento, suprimentos, seguro, impostos sobre a folha de pagamento, benefícios e verificação de emprego. Se as faxineiras fossem empregadas, a lei federal exigia que a empresa preenchesse o Formulário I-9 para cada contratação, independentemente de cidadania ou origem nacional. As regras estaduais poderiam impor requisitos adicionais ou dificultar a classificação como contratante.</w:t>
      </w:r>
    </w:p>
    <w:p>
      <w:pPr>
        <w:pStyle w:val="BodyText"/>
      </w:pPr>
      <w:r>
        <w:t xml:space="preserve">A disponibilidade de mão de obra também estava exposta à política de imigração. Em 2025, os trabalhadores nascidos no exterior tinham mais probabilidade do que os trabalhadores nascidos no país de trabalhar em ocupações de serviço - 21,2 por cento em comparação com 15,6 por cento. A BrightNest não tinha dados confiáveis sobre a naturalidade ou o status de suas potenciais faxineiras, e a diretoria concordou que não poderia inferir autorização de trabalho a partir de idioma, aparência ou ocupação. Ainda assim, a fiscalização intensificada de imigração, os programas de autorização em mudança e o medo da fiscalização poderiam reduzir as inscrições ou a mobilidade em alguns mercados locais de trabalho de serviço, inclusive entre pessoas totalmente autorizadas a trabalhar que se preocupavam com a exposição da família ou da comunidade.</w:t>
      </w:r>
    </w:p>
    <w:p>
      <w:pPr>
        <w:pStyle w:val="BodyText"/>
      </w:pPr>
      <w:r>
        <w:t xml:space="preserve">A empresa enfrentava um risco reputacional relacionado. Uma verificação agressiva além dos requisitos legais poderia desencorajar trabalhadoras qualificadas e provocar acusações de discriminação. Controles fracos poderiam expor a empresa a penalidades, preocupação dos clientes e interrupção operacional. Um lançamento nacional multiplicaria essas questões através de diferentes leis trabalhistas estaduais e condições locais de mercado de trabalho.</w:t>
      </w:r>
    </w:p>
    <w:bookmarkEnd w:id="16"/>
    <w:bookmarkStart w:id="18" w:name="X22cd6700e7ba8368ea51b4eeb7620e3887ae2a0"/>
    <w:p>
      <w:pPr>
        <w:pStyle w:val="Heading1"/>
      </w:pPr>
      <w:r>
        <w:t xml:space="preserve">Ferramentas, produtos e qualidade do serviço</w:t>
      </w:r>
    </w:p>
    <w:p>
      <w:pPr>
        <w:pStyle w:val="FirstParagraph"/>
      </w:pPr>
      <w:r>
        <w:t xml:space="preserve">A BrightNest inicialmente exigia que as faxineiras fornecessem um aspirador de pó, um esfregão, ferramentas básicas e produtos de limpeza aprovados. As candidatas podiam comprar um kit inicial de $310 por meio de descontos na folha de pagamento ou receber um crédito de equipamento de $150 após concluir 20 trabalhos. As entrevistas com faxineiras sugeriram que a política criava três problemas. Algumas candidatas não tinham o dinheiro ou o espaço de armazenamento para equipamentos. Outras já possuíam produtos preferidos e ressentiam-se de ter que comprar um kit padronizado. Os clientes às vezes solicitavam produtos sem fragrância, seguros para animais de estimação ou certificados ambientalmente que não estavam no kit padrão.</w:t>
      </w:r>
    </w:p>
    <w:p>
      <w:pPr>
        <w:pStyle w:val="BodyText"/>
      </w:pPr>
      <w:r>
        <w:t xml:space="preserve">A equipe de operações considerou quatro modelos de suprimento: equipamento fornecido pela faxineira; kits iniciais financiados pela empresa; armários de suprimentos locais; e kits de propriedade da empresa entregues em cada atendimento. Cada um alterava a economia, os controles de qualidade e os argumentos de classificação de empregados. O equipamento de propriedade da empresa melhorava a consistência, mas adicionava estoque, manutenção, limpeza, furto e logística de última milha.</w:t>
      </w:r>
    </w:p>
    <w:bookmarkStart w:id="17" w:name="Xf44426011ce60bafbdb8e59a90930bcbd321b8e"/>
    <w:p>
      <w:pPr>
        <w:pStyle w:val="Heading2"/>
      </w:pPr>
      <w:r>
        <w:t xml:space="preserve">Exhibit 4. Remuneração das faxineiras e economia unitária</w:t>
      </w:r>
    </w:p>
    <w:tbl>
      <w:tblPr>
        <w:tblStyle w:val="Table"/>
        <w:tblW w:type="pct" w:w="4896"/>
        <w:tblLayout w:type="fixed"/>
        <w:tblLook w:firstRow="1" w:lastRow="0" w:firstColumn="0" w:lastColumn="0" w:noHBand="0" w:noVBand="0" w:val="0020"/>
      </w:tblPr>
      <w:tblGrid>
        <w:gridCol w:w="3300"/>
        <w:gridCol w:w="2227"/>
        <w:gridCol w:w="2227"/>
      </w:tblGrid>
      <w:tr>
        <w:trPr>
          <w:tblHeader w:val="on"/>
        </w:trPr>
        <w:tc>
          <w:tcPr/>
          <w:p>
            <w:pPr>
              <w:pStyle w:val="Compact"/>
              <w:jc w:val="left"/>
            </w:pPr>
            <w:r>
              <w:t xml:space="preserve">Item</w:t>
            </w:r>
          </w:p>
        </w:tc>
        <w:tc>
          <w:tcPr/>
          <w:p>
            <w:pPr>
              <w:pStyle w:val="Compact"/>
              <w:jc w:val="left"/>
            </w:pPr>
            <w:r>
              <w:t xml:space="preserve">Limpeza recorrente padrão</w:t>
            </w:r>
          </w:p>
        </w:tc>
        <w:tc>
          <w:tcPr/>
          <w:p>
            <w:pPr>
              <w:pStyle w:val="Compact"/>
              <w:jc w:val="right"/>
            </w:pPr>
            <w:r>
              <w:t xml:space="preserve">Primeira limpeza com desconto</w:t>
            </w:r>
          </w:p>
        </w:tc>
      </w:tr>
      <w:tr>
        <w:tc>
          <w:tcPr/>
          <w:p>
            <w:pPr>
              <w:pStyle w:val="Compact"/>
              <w:jc w:val="left"/>
            </w:pPr>
            <w:r>
              <w:t xml:space="preserve">Preço para o cliente</w:t>
            </w:r>
          </w:p>
        </w:tc>
        <w:tc>
          <w:tcPr/>
          <w:p>
            <w:pPr>
              <w:pStyle w:val="Compact"/>
              <w:jc w:val="left"/>
            </w:pPr>
            <w:r>
              <w:t xml:space="preserve">$142</w:t>
            </w:r>
          </w:p>
        </w:tc>
        <w:tc>
          <w:tcPr/>
          <w:p>
            <w:pPr>
              <w:pStyle w:val="Compact"/>
              <w:jc w:val="right"/>
            </w:pPr>
            <w:r>
              <w:t xml:space="preserve">$107 (25% de desconto)</w:t>
            </w:r>
          </w:p>
        </w:tc>
      </w:tr>
      <w:tr>
        <w:tc>
          <w:tcPr/>
          <w:p>
            <w:pPr>
              <w:pStyle w:val="Compact"/>
              <w:jc w:val="left"/>
            </w:pPr>
            <w:r>
              <w:t xml:space="preserve">Tempo ativo da faxineira</w:t>
            </w:r>
          </w:p>
        </w:tc>
        <w:tc>
          <w:tcPr/>
          <w:p>
            <w:pPr>
              <w:pStyle w:val="Compact"/>
              <w:jc w:val="left"/>
            </w:pPr>
            <w:r>
              <w:t xml:space="preserve">3,0 horas</w:t>
            </w:r>
          </w:p>
        </w:tc>
        <w:tc>
          <w:tcPr/>
          <w:p>
            <w:pPr>
              <w:pStyle w:val="Compact"/>
              <w:jc w:val="right"/>
            </w:pPr>
            <w:r>
              <w:t xml:space="preserve">3,5 horas</w:t>
            </w:r>
          </w:p>
        </w:tc>
      </w:tr>
      <w:tr>
        <w:tc>
          <w:tcPr/>
          <w:p>
            <w:pPr>
              <w:pStyle w:val="Compact"/>
              <w:jc w:val="left"/>
            </w:pPr>
            <w:r>
              <w:t xml:space="preserve">Remuneração da faxineira</w:t>
            </w:r>
          </w:p>
        </w:tc>
        <w:tc>
          <w:tcPr/>
          <w:p>
            <w:pPr>
              <w:pStyle w:val="Compact"/>
              <w:jc w:val="left"/>
            </w:pPr>
            <w:r>
              <w:t xml:space="preserve">$78</w:t>
            </w:r>
          </w:p>
        </w:tc>
        <w:tc>
          <w:tcPr/>
          <w:p>
            <w:pPr>
              <w:pStyle w:val="Compact"/>
              <w:jc w:val="right"/>
            </w:pPr>
            <w:r>
              <w:t xml:space="preserve">$91</w:t>
            </w:r>
          </w:p>
        </w:tc>
      </w:tr>
      <w:tr>
        <w:tc>
          <w:tcPr/>
          <w:p>
            <w:pPr>
              <w:pStyle w:val="Compact"/>
              <w:jc w:val="left"/>
            </w:pPr>
            <w:r>
              <w:t xml:space="preserve">Taxas de folha de pagamento/contratante</w:t>
            </w:r>
          </w:p>
        </w:tc>
        <w:tc>
          <w:tcPr/>
          <w:p>
            <w:pPr>
              <w:pStyle w:val="Compact"/>
              <w:jc w:val="left"/>
            </w:pPr>
            <w:r>
              <w:t xml:space="preserve">e seguro $14</w:t>
            </w:r>
          </w:p>
        </w:tc>
        <w:tc>
          <w:tcPr/>
          <w:p>
            <w:pPr>
              <w:pStyle w:val="Compact"/>
              <w:jc w:val="right"/>
            </w:pPr>
            <w:r>
              <w:t xml:space="preserve">$17</w:t>
            </w:r>
          </w:p>
        </w:tc>
      </w:tr>
      <w:tr>
        <w:tc>
          <w:tcPr/>
          <w:p>
            <w:pPr>
              <w:pStyle w:val="Compact"/>
              <w:jc w:val="left"/>
            </w:pPr>
            <w:r>
              <w:t xml:space="preserve">Suprimentos e subsídio de equipamento</w:t>
            </w:r>
          </w:p>
        </w:tc>
        <w:tc>
          <w:tcPr/>
          <w:p>
            <w:pPr>
              <w:pStyle w:val="Compact"/>
              <w:jc w:val="left"/>
            </w:pPr>
            <w:r>
              <w:t xml:space="preserve">$9</w:t>
            </w:r>
          </w:p>
        </w:tc>
        <w:tc>
          <w:tcPr/>
          <w:p>
            <w:pPr>
              <w:pStyle w:val="Compact"/>
              <w:jc w:val="right"/>
            </w:pPr>
            <w:r>
              <w:t xml:space="preserve">$12</w:t>
            </w:r>
          </w:p>
        </w:tc>
      </w:tr>
      <w:tr>
        <w:tc>
          <w:tcPr/>
          <w:p>
            <w:pPr>
              <w:pStyle w:val="Compact"/>
              <w:jc w:val="left"/>
            </w:pPr>
            <w:r>
              <w:t xml:space="preserve">Suporte de deslocamento/quilometragem</w:t>
            </w:r>
          </w:p>
        </w:tc>
        <w:tc>
          <w:tcPr/>
          <w:p>
            <w:pPr>
              <w:pStyle w:val="Compact"/>
              <w:jc w:val="left"/>
            </w:pPr>
            <w:r>
              <w:t xml:space="preserve">$8</w:t>
            </w:r>
          </w:p>
        </w:tc>
        <w:tc>
          <w:tcPr/>
          <w:p>
            <w:pPr>
              <w:pStyle w:val="Compact"/>
              <w:jc w:val="right"/>
            </w:pPr>
            <w:r>
              <w:t xml:space="preserve">$10</w:t>
            </w:r>
          </w:p>
        </w:tc>
      </w:tr>
      <w:tr>
        <w:tc>
          <w:tcPr/>
          <w:p>
            <w:pPr>
              <w:pStyle w:val="Compact"/>
              <w:jc w:val="left"/>
            </w:pPr>
            <w:r>
              <w:t xml:space="preserve">Custo de aquisição de clientes alocado</w:t>
            </w:r>
          </w:p>
        </w:tc>
        <w:tc>
          <w:tcPr/>
          <w:p>
            <w:pPr>
              <w:pStyle w:val="Compact"/>
              <w:jc w:val="left"/>
            </w:pPr>
            <w:r>
              <w:t xml:space="preserve">$12</w:t>
            </w:r>
          </w:p>
        </w:tc>
        <w:tc>
          <w:tcPr/>
          <w:p>
            <w:pPr>
              <w:pStyle w:val="Compact"/>
              <w:jc w:val="right"/>
            </w:pPr>
            <w:r>
              <w:t xml:space="preserve">$61</w:t>
            </w:r>
          </w:p>
        </w:tc>
      </w:tr>
      <w:tr>
        <w:tc>
          <w:tcPr/>
          <w:p>
            <w:pPr>
              <w:pStyle w:val="Compact"/>
              <w:jc w:val="left"/>
            </w:pPr>
            <w:r>
              <w:t xml:space="preserve">Suporte, reembolsos, processamento de pa</w:t>
            </w:r>
          </w:p>
        </w:tc>
        <w:tc>
          <w:tcPr/>
          <w:p>
            <w:pPr>
              <w:pStyle w:val="Compact"/>
              <w:jc w:val="left"/>
            </w:pPr>
            <w:r>
              <w:t xml:space="preserve">gamento $10</w:t>
            </w:r>
          </w:p>
        </w:tc>
        <w:tc>
          <w:tcPr/>
          <w:p>
            <w:pPr>
              <w:pStyle w:val="Compact"/>
              <w:jc w:val="right"/>
            </w:pPr>
            <w:r>
              <w:t xml:space="preserve">$13</w:t>
            </w:r>
          </w:p>
        </w:tc>
      </w:tr>
      <w:tr>
        <w:tc>
          <w:tcPr/>
          <w:p>
            <w:pPr>
              <w:pStyle w:val="Compact"/>
              <w:jc w:val="left"/>
            </w:pPr>
            <w:r>
              <w:t xml:space="preserve">Contribuição antes das despesas gerais</w:t>
            </w:r>
          </w:p>
        </w:tc>
        <w:tc>
          <w:tcPr/>
          <w:p>
            <w:pPr>
              <w:pStyle w:val="Compact"/>
              <w:jc w:val="left"/>
            </w:pPr>
            <w:r>
              <w:t xml:space="preserve">$11</w:t>
            </w:r>
          </w:p>
        </w:tc>
        <w:tc>
          <w:tcPr/>
          <w:p>
            <w:pPr>
              <w:pStyle w:val="Compact"/>
              <w:jc w:val="right"/>
            </w:pPr>
            <w:r>
              <w:t xml:space="preserve">-$97</w:t>
            </w:r>
          </w:p>
        </w:tc>
      </w:tr>
    </w:tbl>
    <w:p>
      <w:pPr>
        <w:pStyle w:val="BodyText"/>
      </w:pPr>
      <w:r>
        <w:t xml:space="preserve">O exhibit refletia médias. Um apartamento compacto próximo a outro atendimento poderia produzir uma margem saudável, enquanto uma grande casa suburbana com um deslocamento de 35 minutos poderia gerar prejuízo mesmo a preço integral. O modelo de precificação instantânea da BrightNest usava quartos, banheiros, metragem quadrada, animais de estimação e tarefas solicitadas, mas ainda não considerava bem a desordem, o estacionamento, os atrasos de acesso ou a condição da residência.</w:t>
      </w:r>
    </w:p>
    <w:bookmarkEnd w:id="17"/>
    <w:bookmarkEnd w:id="18"/>
    <w:bookmarkStart w:id="20" w:name="a-decisão-de-lançamento-geográfico"/>
    <w:p>
      <w:pPr>
        <w:pStyle w:val="Heading1"/>
      </w:pPr>
      <w:r>
        <w:t xml:space="preserve">A decisão de lançamento geográfico</w:t>
      </w:r>
    </w:p>
    <w:p>
      <w:pPr>
        <w:pStyle w:val="FirstParagraph"/>
      </w:pPr>
      <w:r>
        <w:t xml:space="preserve">Um lançamento nacional oferecia velocidade, visibilidade de marca e um grande funil de recrutamento. Também criava o risco de</w:t>
      </w:r>
      <w:r>
        <w:t xml:space="preserve"> </w:t>
      </w:r>
      <w:r>
        <w:t xml:space="preserve">“mercados finos”</w:t>
      </w:r>
      <w:r>
        <w:t xml:space="preserve">: clientes e faxineiras poderiam existir na mesma cidade, mas não no mesmo bairro ou em horários compatíveis. Uma faxineira disposta a trabalhar nas manhãs de terça-feira nos subúrbios do norte não resolvia um pico de demanda de sábado no centro.</w:t>
      </w:r>
    </w:p>
    <w:p>
      <w:pPr>
        <w:pStyle w:val="BodyText"/>
      </w:pPr>
      <w:r>
        <w:t xml:space="preserve">Um lançamento regional poderia concentrar publicidade, supervisão local, indicações e densidade de faxineiras. No entanto, selecionar apenas áreas metropolitanas afluentes poderia produzir preços altos para os clientes junto com salários altos, congestionamento e custos de aquisição de clientes. Regiões de custo mais baixo poderiam oferecer recrutamento mais fácil, mas menor disposição a pagar. A intensidade da fiscalização de imigração e as atitudes locais também poderiam afetar a confiança das candidatas e as percepções dos clientes de maneiras difíceis de quantificar.</w:t>
      </w:r>
    </w:p>
    <w:bookmarkStart w:id="19" w:name="Xea2fa8457c93b3b38c44d964a3fb45700b7b534"/>
    <w:p>
      <w:pPr>
        <w:pStyle w:val="Heading2"/>
      </w:pPr>
      <w:r>
        <w:t xml:space="preserve">Exhibit 5. Perfis de mercados de lançamento candidatos</w:t>
      </w:r>
    </w:p>
    <w:tbl>
      <w:tblPr>
        <w:tblStyle w:val="Table"/>
        <w:tblW w:type="pct" w:w="4939"/>
        <w:tblLayout w:type="fixed"/>
        <w:tblLook w:firstRow="1" w:lastRow="0" w:firstColumn="0" w:lastColumn="0" w:noHBand="0" w:noVBand="0" w:val="0020"/>
      </w:tblPr>
      <w:tblGrid>
        <w:gridCol w:w="1207"/>
        <w:gridCol w:w="1448"/>
        <w:gridCol w:w="1014"/>
        <w:gridCol w:w="1207"/>
        <w:gridCol w:w="1110"/>
        <w:gridCol w:w="1835"/>
      </w:tblGrid>
      <w:tr>
        <w:trPr>
          <w:tblHeader w:val="on"/>
        </w:trPr>
        <w:tc>
          <w:tcPr/>
          <w:p>
            <w:pPr>
              <w:pStyle w:val="Compact"/>
              <w:jc w:val="left"/>
            </w:pPr>
            <w:r>
              <w:t xml:space="preserve">Tipo de mercado</w:t>
            </w:r>
          </w:p>
        </w:tc>
        <w:tc>
          <w:tcPr/>
          <w:p>
            <w:pPr>
              <w:pStyle w:val="Compact"/>
              <w:jc w:val="right"/>
            </w:pPr>
            <w:r>
              <w:t xml:space="preserve">Preço ilustrativo para o clie</w:t>
            </w:r>
          </w:p>
        </w:tc>
        <w:tc>
          <w:tcPr/>
          <w:p>
            <w:pPr>
              <w:pStyle w:val="Compact"/>
            </w:pPr>
            <w:r>
              <w:t xml:space="preserve">nte Remuneração-alv</w:t>
            </w:r>
          </w:p>
        </w:tc>
        <w:tc>
          <w:tcPr/>
          <w:p>
            <w:pPr>
              <w:pStyle w:val="Compact"/>
            </w:pPr>
            <w:r>
              <w:t xml:space="preserve">o da faxineira Custo es</w:t>
            </w:r>
          </w:p>
        </w:tc>
        <w:tc>
          <w:tcPr/>
          <w:p>
            <w:pPr>
              <w:pStyle w:val="Compact"/>
            </w:pPr>
            <w:r>
              <w:t xml:space="preserve">timado de aquisição da</w:t>
            </w:r>
          </w:p>
        </w:tc>
        <w:tc>
          <w:tcPr/>
          <w:p>
            <w:pPr>
              <w:pStyle w:val="Compact"/>
            </w:pPr>
            <w:r>
              <w:t xml:space="preserve">primeira reserva Risco de densidade de faxineiras Outra preocupação</w:t>
            </w:r>
          </w:p>
        </w:tc>
      </w:tr>
      <w:tr>
        <w:tc>
          <w:tcPr/>
          <w:p>
            <w:pPr>
              <w:pStyle w:val="Compact"/>
              <w:jc w:val="left"/>
            </w:pPr>
            <w:r>
              <w:t xml:space="preserve">Litorâneo de alta renda</w:t>
            </w:r>
          </w:p>
        </w:tc>
        <w:tc>
          <w:tcPr/>
          <w:p>
            <w:pPr>
              <w:pStyle w:val="Compact"/>
              <w:jc w:val="right"/>
            </w:pPr>
            <w:r>
              <w:t xml:space="preserve">$175</w:t>
            </w:r>
          </w:p>
        </w:tc>
        <w:tc>
          <w:tcPr/>
          <w:p>
            <w:pPr>
              <w:pStyle w:val="Compact"/>
            </w:pPr>
            <w:r>
              <w:t xml:space="preserve">$31/h</w:t>
            </w:r>
          </w:p>
        </w:tc>
        <w:tc>
          <w:tcPr/>
          <w:p>
            <w:pPr>
              <w:pStyle w:val="Compact"/>
            </w:pPr>
            <w:r>
              <w:t xml:space="preserve">$78</w:t>
            </w:r>
          </w:p>
        </w:tc>
        <w:tc>
          <w:tcPr/>
          <w:p>
            <w:pPr>
              <w:pStyle w:val="Compact"/>
            </w:pPr>
            <w:r>
              <w:t xml:space="preserve">Médio</w:t>
            </w:r>
          </w:p>
        </w:tc>
        <w:tc>
          <w:tcPr/>
          <w:p>
            <w:pPr>
              <w:pStyle w:val="Compact"/>
            </w:pPr>
            <w:r>
              <w:t xml:space="preserve">Altos custos de deslocamento e salário</w:t>
            </w:r>
          </w:p>
        </w:tc>
      </w:tr>
      <w:tr>
        <w:tc>
          <w:tcPr/>
          <w:p>
            <w:pPr>
              <w:pStyle w:val="Compact"/>
              <w:jc w:val="left"/>
            </w:pPr>
            <w:r>
              <w:t xml:space="preserve">Sun Belt de crescimento r</w:t>
            </w:r>
          </w:p>
        </w:tc>
        <w:tc>
          <w:tcPr/>
          <w:p>
            <w:pPr>
              <w:pStyle w:val="Compact"/>
              <w:jc w:val="right"/>
            </w:pPr>
            <w:r>
              <w:t xml:space="preserve">ápido $145</w:t>
            </w:r>
          </w:p>
        </w:tc>
        <w:tc>
          <w:tcPr/>
          <w:p>
            <w:pPr>
              <w:pStyle w:val="Compact"/>
            </w:pPr>
            <w:r>
              <w:t xml:space="preserve">$25/h</w:t>
            </w:r>
          </w:p>
        </w:tc>
        <w:tc>
          <w:tcPr/>
          <w:p>
            <w:pPr>
              <w:pStyle w:val="Compact"/>
            </w:pPr>
            <w:r>
              <w:t xml:space="preserve">$54</w:t>
            </w:r>
          </w:p>
        </w:tc>
        <w:tc>
          <w:tcPr/>
          <w:p>
            <w:pPr>
              <w:pStyle w:val="Compact"/>
            </w:pPr>
            <w:r>
              <w:t xml:space="preserve">Baixo-Médio</w:t>
            </w:r>
          </w:p>
        </w:tc>
        <w:tc>
          <w:tcPr/>
          <w:p>
            <w:pPr>
              <w:pStyle w:val="Compact"/>
            </w:pPr>
            <w:r>
              <w:t xml:space="preserve">Dispersão urbana e dependência de veículo</w:t>
            </w:r>
          </w:p>
        </w:tc>
      </w:tr>
      <w:tr>
        <w:tc>
          <w:tcPr/>
          <w:p>
            <w:pPr>
              <w:pStyle w:val="Compact"/>
              <w:jc w:val="left"/>
            </w:pPr>
            <w:r>
              <w:t xml:space="preserve">Grande metrópole do Meio-</w:t>
            </w:r>
          </w:p>
        </w:tc>
        <w:tc>
          <w:tcPr/>
          <w:p>
            <w:pPr>
              <w:pStyle w:val="Compact"/>
              <w:jc w:val="right"/>
            </w:pPr>
            <w:r>
              <w:t xml:space="preserve">Oeste $132</w:t>
            </w:r>
          </w:p>
        </w:tc>
        <w:tc>
          <w:tcPr/>
          <w:p>
            <w:pPr>
              <w:pStyle w:val="Compact"/>
            </w:pPr>
            <w:r>
              <w:t xml:space="preserve">$23/h</w:t>
            </w:r>
          </w:p>
        </w:tc>
        <w:tc>
          <w:tcPr/>
          <w:p>
            <w:pPr>
              <w:pStyle w:val="Compact"/>
            </w:pPr>
            <w:r>
              <w:t xml:space="preserve">$49</w:t>
            </w:r>
          </w:p>
        </w:tc>
        <w:tc>
          <w:tcPr/>
          <w:p>
            <w:pPr>
              <w:pStyle w:val="Compact"/>
            </w:pPr>
            <w:r>
              <w:t xml:space="preserve">Baixo</w:t>
            </w:r>
          </w:p>
        </w:tc>
        <w:tc>
          <w:tcPr/>
          <w:p>
            <w:pPr>
              <w:pStyle w:val="Compact"/>
            </w:pPr>
            <w:r>
              <w:t xml:space="preserve">Menor penetração de serviço recorrente</w:t>
            </w:r>
          </w:p>
        </w:tc>
      </w:tr>
      <w:tr>
        <w:tc>
          <w:tcPr/>
          <w:p>
            <w:pPr>
              <w:pStyle w:val="Compact"/>
              <w:jc w:val="left"/>
            </w:pPr>
            <w:r>
              <w:t xml:space="preserve">Cidade universitária/secu</w:t>
            </w:r>
          </w:p>
        </w:tc>
        <w:tc>
          <w:tcPr/>
          <w:p>
            <w:pPr>
              <w:pStyle w:val="Compact"/>
              <w:jc w:val="right"/>
            </w:pPr>
            <w:r>
              <w:t xml:space="preserve">ndária $118</w:t>
            </w:r>
          </w:p>
        </w:tc>
        <w:tc>
          <w:tcPr/>
          <w:p>
            <w:pPr>
              <w:pStyle w:val="Compact"/>
            </w:pPr>
            <w:r>
              <w:t xml:space="preserve">$21/h</w:t>
            </w:r>
          </w:p>
        </w:tc>
        <w:tc>
          <w:tcPr/>
          <w:p>
            <w:pPr>
              <w:pStyle w:val="Compact"/>
            </w:pPr>
            <w:r>
              <w:t xml:space="preserve">$42</w:t>
            </w:r>
          </w:p>
        </w:tc>
        <w:tc>
          <w:tcPr/>
          <w:p>
            <w:pPr>
              <w:pStyle w:val="Compact"/>
            </w:pPr>
            <w:r>
              <w:t xml:space="preserve">Alto</w:t>
            </w:r>
          </w:p>
        </w:tc>
        <w:tc>
          <w:tcPr/>
          <w:p>
            <w:pPr>
              <w:pStyle w:val="Compact"/>
            </w:pPr>
            <w:r>
              <w:t xml:space="preserve">Rotatividade sazonal de trabalhadoras e clientes</w:t>
            </w:r>
          </w:p>
        </w:tc>
      </w:tr>
      <w:tr>
        <w:tc>
          <w:tcPr/>
          <w:p>
            <w:pPr>
              <w:pStyle w:val="Compact"/>
              <w:jc w:val="left"/>
            </w:pPr>
            <w:r>
              <w:t xml:space="preserve">Autoatendimento nacional</w:t>
            </w:r>
          </w:p>
        </w:tc>
        <w:tc>
          <w:tcPr/>
          <w:p>
            <w:pPr>
              <w:pStyle w:val="Compact"/>
              <w:jc w:val="right"/>
            </w:pPr>
            <w:r>
              <w:t xml:space="preserve">$135 em média</w:t>
            </w:r>
          </w:p>
        </w:tc>
        <w:tc>
          <w:tcPr/>
          <w:p>
            <w:pPr>
              <w:pStyle w:val="Compact"/>
            </w:pPr>
            <w:r>
              <w:t xml:space="preserve">$24-$31/h</w:t>
            </w:r>
          </w:p>
        </w:tc>
        <w:tc>
          <w:tcPr/>
          <w:p>
            <w:pPr>
              <w:pStyle w:val="Compact"/>
            </w:pPr>
            <w:r>
              <w:t xml:space="preserve">$60 em média</w:t>
            </w:r>
          </w:p>
        </w:tc>
        <w:tc>
          <w:tcPr/>
          <w:p>
            <w:pPr>
              <w:pStyle w:val="Compact"/>
            </w:pPr>
            <w:r>
              <w:t xml:space="preserve">Muito alto</w:t>
            </w:r>
          </w:p>
        </w:tc>
        <w:tc>
          <w:tcPr/>
          <w:p>
            <w:pPr>
              <w:pStyle w:val="Compact"/>
            </w:pPr>
            <w:r>
              <w:t xml:space="preserve">Qualidade e conformidade irregulares</w:t>
            </w:r>
          </w:p>
        </w:tc>
      </w:tr>
    </w:tbl>
    <w:bookmarkEnd w:id="19"/>
    <w:bookmarkEnd w:id="20"/>
    <w:bookmarkStart w:id="24" w:name="três-propostas-de-lançamento"/>
    <w:p>
      <w:pPr>
        <w:pStyle w:val="Heading1"/>
      </w:pPr>
      <w:r>
        <w:t xml:space="preserve">Três propostas de lançamento</w:t>
      </w:r>
    </w:p>
    <w:p>
      <w:pPr>
        <w:pStyle w:val="FirstParagraph"/>
      </w:pPr>
      <w:r>
        <w:t xml:space="preserve">Ao final do piloto, a equipe executiva havia desenvolvido três propostas.</w:t>
      </w:r>
    </w:p>
    <w:bookmarkStart w:id="21" w:name="X83f580c4cdf5cd367593085af313fb3ce99e3a6"/>
    <w:p>
      <w:pPr>
        <w:pStyle w:val="Heading2"/>
      </w:pPr>
      <w:r>
        <w:t xml:space="preserve">Proposta A - Estratégia de densidade em cinco cidades.</w:t>
      </w:r>
    </w:p>
    <w:p>
      <w:pPr>
        <w:pStyle w:val="FirstParagraph"/>
      </w:pPr>
      <w:r>
        <w:t xml:space="preserve">A BrightNest lançaria apenas onde pudesse recrutar pelo menos 150 faxineiras triadas antes que a principal publicidade para clientes começasse. Construiria parcerias locais, forneceria kits iniciais, garantiria blocos limitados de trabalho e enfatizaria as indicações. O plano exigia aproximadamente $11 milhões ao longo de 18 meses e visava 22.000 clientes recorrentes. Os defensores argumentavam que a densidade e a qualidade do serviço eram pré-requisitos para o crescimento. Os críticos se preocupavam que os concorrentes pudessem ocupar outros mercados primeiro.</w:t>
      </w:r>
    </w:p>
    <w:bookmarkEnd w:id="21"/>
    <w:bookmarkStart w:id="22" w:name="Xef3496b5106c6328a9e3aa41df23060bf7ffb71"/>
    <w:p>
      <w:pPr>
        <w:pStyle w:val="Heading2"/>
      </w:pPr>
      <w:r>
        <w:t xml:space="preserve">Proposta B - Estratégia de marketplace em vinte e cinco cidades.</w:t>
      </w:r>
    </w:p>
    <w:p>
      <w:pPr>
        <w:pStyle w:val="FirstParagraph"/>
      </w:pPr>
      <w:r>
        <w:t xml:space="preserve">A empresa usaria o WorkReach nacionalmente, mas ativaria o marketing para clientes em 25 cidades. A remuneração das faxineiras, os preços para os clientes, os descontos e as áreas de serviço seriam ajustados por mercado. A BrightNest gastaria $16 milhões e visaria 48.000 clientes recorrentes. A abordagem gerava mais aprendizado, mas exigia precificação local sofisticada, conformidade e controles de oferta-demanda ainda não comprovados.</w:t>
      </w:r>
    </w:p>
    <w:bookmarkEnd w:id="22"/>
    <w:bookmarkStart w:id="23" w:name="X2f541eb2fed3f9cd9e40200e7311e48048e04d4"/>
    <w:p>
      <w:pPr>
        <w:pStyle w:val="Heading2"/>
      </w:pPr>
      <w:r>
        <w:t xml:space="preserve">Proposta C - Estratégia de disponibilidade nacional.</w:t>
      </w:r>
    </w:p>
    <w:p>
      <w:pPr>
        <w:pStyle w:val="FirstParagraph"/>
      </w:pPr>
      <w:r>
        <w:t xml:space="preserve">Clientes em qualquer lugar dos Estados Unidos contíguos poderiam solicitar serviço. A BrightNest confirmaria um atendimento somente após combinar com uma faxineira disponível. O recrutamento de faxineiras funcionaria nacionalmente, sem horas garantidas e com suporte limitado de equipamento. O plano poderia produzir dados rapidamente a custo fixo relativamente baixo, mas longos tempos de confirmação, oferta escassa e serviço inconsistente poderiam prejudicar a marca antes que a empresa aprendesse quais mercados funcionavam.</w:t>
      </w:r>
    </w:p>
    <w:bookmarkEnd w:id="23"/>
    <w:bookmarkEnd w:id="24"/>
    <w:bookmarkStart w:id="26" w:name="o-que-os-pilotos-não-haviam-respondido"/>
    <w:p>
      <w:pPr>
        <w:pStyle w:val="Heading1"/>
      </w:pPr>
      <w:r>
        <w:t xml:space="preserve">O que os pilotos não haviam respondido</w:t>
      </w:r>
    </w:p>
    <w:p>
      <w:pPr>
        <w:pStyle w:val="FirstParagraph"/>
      </w:pPr>
      <w:r>
        <w:t xml:space="preserve">Os pilotos geraram dados, mas não consenso. A alta remuneração das faxineiras aumentava a aceitação de trabalhos, mas somente quando os atendimentos estavam geograficamente agrupados. Os descontos aumentavam os agendamentos, mas os clientes mais baratos também eram os menos propensos a voltar a pedir. Os clientes preferiam a mesma faxineira, enquanto o sistema de agendamento alcançava maior utilização atribuindo qualquer faxineira que estivesse próxima. A flexibilidade das faxineiras melhorava o recrutamento, mas a escolha ilimitada de horários dificultava prometer aos clientes um horário específico.</w:t>
      </w:r>
    </w:p>
    <w:p>
      <w:pPr>
        <w:pStyle w:val="BodyText"/>
      </w:pPr>
      <w:r>
        <w:t xml:space="preserve">A diretoria também não tinha uma definição compartilhada de sucesso. O crescimento enfatizava os agendamentos e a entrada no mercado. As operações enfatizavam as taxas de conclusão e as avaliações dos clientes. A equipe de rede de faxineiras enfatizava os ganhos por hora, a retenção e a escolha de horários. O financeiro enfatizava a margem de contribuição após o custo de aquisição. Uma cidade poderia parecer bem-sucedida sob uma medida e malsucedida sob outra.</w:t>
      </w:r>
    </w:p>
    <w:bookmarkStart w:id="25" w:name="X8587d6b2a0f7a37006070ef0ae818c7a068c084"/>
    <w:p>
      <w:pPr>
        <w:pStyle w:val="Heading2"/>
      </w:pPr>
      <w:r>
        <w:t xml:space="preserve">Exhibit 6. Resultados propostos de lançamento em 18 meses</w:t>
      </w:r>
    </w:p>
    <w:tbl>
      <w:tblPr>
        <w:tblStyle w:val="Table"/>
        <w:tblW w:type="pct" w:w="4914"/>
        <w:tblLayout w:type="fixed"/>
        <w:tblLook w:firstRow="1" w:lastRow="0" w:firstColumn="0" w:lastColumn="0" w:noHBand="0" w:noVBand="0" w:val="0020"/>
      </w:tblPr>
      <w:tblGrid>
        <w:gridCol w:w="3277"/>
        <w:gridCol w:w="1365"/>
        <w:gridCol w:w="1502"/>
        <w:gridCol w:w="1638"/>
      </w:tblGrid>
      <w:tr>
        <w:trPr>
          <w:tblHeader w:val="on"/>
        </w:trPr>
        <w:tc>
          <w:tcPr/>
          <w:p>
            <w:pPr>
              <w:pStyle w:val="Compact"/>
              <w:jc w:val="left"/>
            </w:pPr>
            <w:r>
              <w:t xml:space="preserve">Medida</w:t>
            </w:r>
          </w:p>
        </w:tc>
        <w:tc>
          <w:tcPr/>
          <w:p>
            <w:pPr>
              <w:pStyle w:val="Compact"/>
            </w:pPr>
            <w:r>
              <w:t xml:space="preserve">Densidade em cinco c</w:t>
            </w:r>
          </w:p>
        </w:tc>
        <w:tc>
          <w:tcPr/>
          <w:p>
            <w:pPr>
              <w:pStyle w:val="Compact"/>
            </w:pPr>
            <w:r>
              <w:t xml:space="preserve">idades Marketplace e</w:t>
            </w:r>
          </w:p>
        </w:tc>
        <w:tc>
          <w:tcPr/>
          <w:p>
            <w:pPr>
              <w:pStyle w:val="Compact"/>
            </w:pPr>
            <w:r>
              <w:t xml:space="preserve">m 25 cidades Disponibilidade nacional</w:t>
            </w:r>
          </w:p>
        </w:tc>
      </w:tr>
      <w:tr>
        <w:tc>
          <w:tcPr/>
          <w:p>
            <w:pPr>
              <w:pStyle w:val="Compact"/>
              <w:jc w:val="left"/>
            </w:pPr>
            <w:r>
              <w:t xml:space="preserve">Investimento necessário</w:t>
            </w:r>
          </w:p>
        </w:tc>
        <w:tc>
          <w:tcPr/>
          <w:p>
            <w:pPr>
              <w:pStyle w:val="Compact"/>
            </w:pPr>
            <w:r>
              <w:t xml:space="preserve">$11 milhões</w:t>
            </w:r>
          </w:p>
        </w:tc>
        <w:tc>
          <w:tcPr/>
          <w:p>
            <w:pPr>
              <w:pStyle w:val="Compact"/>
            </w:pPr>
            <w:r>
              <w:t xml:space="preserve">$16 milhões</w:t>
            </w:r>
          </w:p>
        </w:tc>
        <w:tc>
          <w:tcPr/>
          <w:p>
            <w:pPr>
              <w:pStyle w:val="Compact"/>
            </w:pPr>
            <w:r>
              <w:t xml:space="preserve">$13 milhões</w:t>
            </w:r>
          </w:p>
        </w:tc>
      </w:tr>
      <w:tr>
        <w:tc>
          <w:tcPr/>
          <w:p>
            <w:pPr>
              <w:pStyle w:val="Compact"/>
              <w:jc w:val="left"/>
            </w:pPr>
            <w:r>
              <w:t xml:space="preserve">Clientes recorrentes no mês 18</w:t>
            </w:r>
          </w:p>
        </w:tc>
        <w:tc>
          <w:tcPr/>
          <w:p>
            <w:pPr>
              <w:pStyle w:val="Compact"/>
            </w:pPr>
            <w:r>
              <w:t xml:space="preserve">22.000</w:t>
            </w:r>
          </w:p>
        </w:tc>
        <w:tc>
          <w:tcPr/>
          <w:p>
            <w:pPr>
              <w:pStyle w:val="Compact"/>
            </w:pPr>
            <w:r>
              <w:t xml:space="preserve">48.000</w:t>
            </w:r>
          </w:p>
        </w:tc>
        <w:tc>
          <w:tcPr/>
          <w:p>
            <w:pPr>
              <w:pStyle w:val="Compact"/>
            </w:pPr>
            <w:r>
              <w:t xml:space="preserve">55.000</w:t>
            </w:r>
          </w:p>
        </w:tc>
      </w:tr>
      <w:tr>
        <w:tc>
          <w:tcPr/>
          <w:p>
            <w:pPr>
              <w:pStyle w:val="Compact"/>
              <w:jc w:val="left"/>
            </w:pPr>
            <w:r>
              <w:t xml:space="preserve">Faxineiras ativas</w:t>
            </w:r>
          </w:p>
        </w:tc>
        <w:tc>
          <w:tcPr/>
          <w:p>
            <w:pPr>
              <w:pStyle w:val="Compact"/>
            </w:pPr>
            <w:r>
              <w:t xml:space="preserve">1.050</w:t>
            </w:r>
          </w:p>
        </w:tc>
        <w:tc>
          <w:tcPr/>
          <w:p>
            <w:pPr>
              <w:pStyle w:val="Compact"/>
            </w:pPr>
            <w:r>
              <w:t xml:space="preserve">2.750</w:t>
            </w:r>
          </w:p>
        </w:tc>
        <w:tc>
          <w:tcPr/>
          <w:p>
            <w:pPr>
              <w:pStyle w:val="Compact"/>
            </w:pPr>
            <w:r>
              <w:t xml:space="preserve">4.200</w:t>
            </w:r>
          </w:p>
        </w:tc>
      </w:tr>
      <w:tr>
        <w:tc>
          <w:tcPr/>
          <w:p>
            <w:pPr>
              <w:pStyle w:val="Compact"/>
              <w:jc w:val="left"/>
            </w:pPr>
            <w:r>
              <w:t xml:space="preserve">Taxa de conclusão projetada</w:t>
            </w:r>
          </w:p>
        </w:tc>
        <w:tc>
          <w:tcPr/>
          <w:p>
            <w:pPr>
              <w:pStyle w:val="Compact"/>
            </w:pPr>
            <w:r>
              <w:t xml:space="preserve">94%</w:t>
            </w:r>
          </w:p>
        </w:tc>
        <w:tc>
          <w:tcPr/>
          <w:p>
            <w:pPr>
              <w:pStyle w:val="Compact"/>
            </w:pPr>
            <w:r>
              <w:t xml:space="preserve">88%</w:t>
            </w:r>
          </w:p>
        </w:tc>
        <w:tc>
          <w:tcPr/>
          <w:p>
            <w:pPr>
              <w:pStyle w:val="Compact"/>
            </w:pPr>
            <w:r>
              <w:t xml:space="preserve">77%</w:t>
            </w:r>
          </w:p>
        </w:tc>
      </w:tr>
      <w:tr>
        <w:tc>
          <w:tcPr/>
          <w:p>
            <w:pPr>
              <w:pStyle w:val="Compact"/>
              <w:jc w:val="left"/>
            </w:pPr>
            <w:r>
              <w:t xml:space="preserve">Margem de contribuição por visita recorrente</w:t>
            </w:r>
          </w:p>
        </w:tc>
        <w:tc>
          <w:tcPr/>
          <w:p>
            <w:pPr>
              <w:pStyle w:val="Compact"/>
            </w:pPr>
            <w:r>
              <w:t xml:space="preserve">$18</w:t>
            </w:r>
          </w:p>
        </w:tc>
        <w:tc>
          <w:tcPr/>
          <w:p>
            <w:pPr>
              <w:pStyle w:val="Compact"/>
            </w:pPr>
            <w:r>
              <w:t xml:space="preserve">$12</w:t>
            </w:r>
          </w:p>
        </w:tc>
        <w:tc>
          <w:tcPr/>
          <w:p>
            <w:pPr>
              <w:pStyle w:val="Compact"/>
            </w:pPr>
            <w:r>
              <w:t xml:space="preserve">$7</w:t>
            </w:r>
          </w:p>
        </w:tc>
      </w:tr>
      <w:tr>
        <w:tc>
          <w:tcPr/>
          <w:p>
            <w:pPr>
              <w:pStyle w:val="Compact"/>
              <w:jc w:val="left"/>
            </w:pPr>
            <w:r>
              <w:t xml:space="preserve">Probabilidade de atingir o plano (estimativa da</w:t>
            </w:r>
          </w:p>
        </w:tc>
        <w:tc>
          <w:tcPr/>
          <w:p>
            <w:pPr>
              <w:pStyle w:val="Compact"/>
            </w:pPr>
            <w:r>
              <w:t xml:space="preserve">equipe) 65%</w:t>
            </w:r>
          </w:p>
        </w:tc>
        <w:tc>
          <w:tcPr/>
          <w:p>
            <w:pPr>
              <w:pStyle w:val="Compact"/>
            </w:pPr>
            <w:r>
              <w:t xml:space="preserve">45%</w:t>
            </w:r>
          </w:p>
        </w:tc>
        <w:tc>
          <w:tcPr/>
          <w:p>
            <w:pPr>
              <w:pStyle w:val="Compact"/>
            </w:pPr>
            <w:r>
              <w:t xml:space="preserve">30%</w:t>
            </w:r>
          </w:p>
        </w:tc>
      </w:tr>
    </w:tbl>
    <w:bookmarkEnd w:id="25"/>
    <w:bookmarkEnd w:id="26"/>
    <w:bookmarkStart w:id="27" w:name="a-decisão"/>
    <w:p>
      <w:pPr>
        <w:pStyle w:val="Heading1"/>
      </w:pPr>
      <w:r>
        <w:t xml:space="preserve">A decisão</w:t>
      </w:r>
    </w:p>
    <w:p>
      <w:pPr>
        <w:pStyle w:val="FirstParagraph"/>
      </w:pPr>
      <w:r>
        <w:t xml:space="preserve">Chen olhou novamente para o painel. A BrightNest tinha evidências de que os clientes queriam limpeza residencial conveniente e que milhares de pessoas clicariam em oportunidades flexíveis de limpeza. Ainda não sabia se poderia colocar a faxineira certa na residência certa, no horário certo, a um preço que satisfizesse ambos os lados repetidamente.</w:t>
      </w:r>
    </w:p>
    <w:p>
      <w:pPr>
        <w:pStyle w:val="BodyText"/>
      </w:pPr>
      <w:r>
        <w:t xml:space="preserve">A reunião do conselho estava a quatro semanas de distância. Antes disso, Chen tinha que decidir qual proposta de lançamento recomendar, quanto gastar em descontos introdutórios, qual pacote de remuneração e equipamento oferecer às faxineiras, e quais incertezas justificavam experimentos adicionais. Esperar preservaria capital, mas poderia enfraquecer o ímpeto de recrutamento. Expandir produziria informação mais rapidamente, mas poderia transformar falhas locais de compatibilização em um problema de reputação nacional.</w:t>
      </w:r>
    </w:p>
    <w:bookmarkEnd w:id="27"/>
    <w:bookmarkStart w:id="28" w:name="questões-de-discussão"/>
    <w:p>
      <w:pPr>
        <w:pStyle w:val="Heading1"/>
      </w:pPr>
      <w:r>
        <w:t xml:space="preserve">Questões de discussão</w:t>
      </w:r>
    </w:p>
    <w:p>
      <w:pPr>
        <w:numPr>
          <w:ilvl w:val="0"/>
          <w:numId w:val="1001"/>
        </w:numPr>
      </w:pPr>
      <w:r>
        <w:t xml:space="preserve">Como a BrightNest deveria definir seus mercados endereçável, atendível e realisticamente obtenível?</w:t>
      </w:r>
    </w:p>
    <w:p>
      <w:pPr>
        <w:numPr>
          <w:ilvl w:val="0"/>
          <w:numId w:val="1001"/>
        </w:numPr>
      </w:pPr>
      <w:r>
        <w:t xml:space="preserve">A restrição principal é a demanda dos clientes, a oferta de faxineiras, a compatibilização geográfica, a qualidade do serviço ou a economia unitária? Que evidência sustenta sua resposta?</w:t>
      </w:r>
    </w:p>
    <w:p>
      <w:pPr>
        <w:numPr>
          <w:ilvl w:val="0"/>
          <w:numId w:val="1001"/>
        </w:numPr>
      </w:pPr>
      <w:r>
        <w:t xml:space="preserve">Como a empresa deveria medir o valor de tempo de vida de um cliente quando a retenção pode depender de manter a mesma faxineira?</w:t>
      </w:r>
    </w:p>
    <w:p>
      <w:pPr>
        <w:numPr>
          <w:ilvl w:val="0"/>
          <w:numId w:val="1001"/>
        </w:numPr>
      </w:pPr>
      <w:r>
        <w:t xml:space="preserve">Que desconto introdutório, se algum, a BrightNest deveria oferecer? Como o desconto deveria variar por mercado ou cliente?</w:t>
      </w:r>
    </w:p>
    <w:p>
      <w:pPr>
        <w:numPr>
          <w:ilvl w:val="0"/>
          <w:numId w:val="1001"/>
        </w:numPr>
      </w:pPr>
      <w:r>
        <w:t xml:space="preserve">Que sistema de remuneração equilibraria ganhos atraentes, flexibilidade de horários, tempo de deslocamento, qualidade do serviço e margens da empresa?</w:t>
      </w:r>
    </w:p>
    <w:p>
      <w:pPr>
        <w:numPr>
          <w:ilvl w:val="0"/>
          <w:numId w:val="1001"/>
        </w:numPr>
      </w:pPr>
      <w:r>
        <w:t xml:space="preserve">A BrightNest deveria fornecer ferramentas e produtos de limpeza? Quais consequências operacionais e legais decorrem de cada modelo de suprimento?</w:t>
      </w:r>
    </w:p>
    <w:p>
      <w:pPr>
        <w:numPr>
          <w:ilvl w:val="0"/>
          <w:numId w:val="1001"/>
        </w:numPr>
      </w:pPr>
      <w:r>
        <w:t xml:space="preserve">Quais métricas de faxineiras a diretoria deveria monitorar: remuneração por hora ativa, remuneração por hora total, aceitação, cancelamentos, retenção, avaliações, ou outra coisa?</w:t>
      </w:r>
    </w:p>
    <w:p>
      <w:pPr>
        <w:numPr>
          <w:ilvl w:val="0"/>
          <w:numId w:val="1001"/>
        </w:numPr>
      </w:pPr>
      <w:r>
        <w:t xml:space="preserve">Como a incerteza da política de imigração deveria afetar a seleção de mercado, o recrutamento, a conformidade e o planejamento de cenários sem incentivar suposições discriminatórias?</w:t>
      </w:r>
    </w:p>
    <w:p>
      <w:pPr>
        <w:numPr>
          <w:ilvl w:val="0"/>
          <w:numId w:val="1001"/>
        </w:numPr>
      </w:pPr>
      <w:r>
        <w:t xml:space="preserve">A BrightNest deveria buscar densidade em cinco cidades, um marketplace de 25 cidades, disponibilidade nacional, ou outra sequência de expansão?</w:t>
      </w:r>
    </w:p>
    <w:p>
      <w:pPr>
        <w:numPr>
          <w:ilvl w:val="0"/>
          <w:numId w:val="1001"/>
        </w:numPr>
      </w:pPr>
      <w:r>
        <w:t xml:space="preserve">Que experimentos forneceriam o maior valor de informação antes que a empresa comprometesse a maior parte de seu capital?</w:t>
      </w:r>
    </w:p>
    <w:bookmarkEnd w:id="28"/>
    <w:bookmarkStart w:id="34" w:name="questões-de-enquadramento-da-decisão"/>
    <w:p>
      <w:pPr>
        <w:pStyle w:val="Heading1"/>
      </w:pPr>
      <w:r>
        <w:t xml:space="preserve">Questões de Enquadramento da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29">
        <w:r>
          <w:rPr>
            <w:rStyle w:val="Hyperlink"/>
          </w:rPr>
          <w:t xml:space="preserve">ferramenta da pirâmide de métricas</w:t>
        </w:r>
      </w:hyperlink>
      <w:r>
        <w:t xml:space="preserve"> </w:t>
      </w:r>
      <w:r>
        <w:t xml:space="preserve">para identificar e priorizar as diferentes métricas de desempenho. Clique na oval que contém a métrica para identificar se ela é uma métrica a ser maximizada (verde), minimizada (vermelho), uma meta que é um piso (verde claro) ou um teto (vermelho claro), ou finalmente um alvo (roxo).</w:t>
      </w:r>
    </w:p>
    <w:p>
      <w:pPr>
        <w:numPr>
          <w:ilvl w:val="0"/>
          <w:numId w:val="1002"/>
        </w:numPr>
      </w:pPr>
      <w:r>
        <w:t xml:space="preserve">Use a</w:t>
      </w:r>
      <w:r>
        <w:t xml:space="preserve"> </w:t>
      </w:r>
      <w:hyperlink r:id="rId30">
        <w:r>
          <w:rPr>
            <w:rStyle w:val="Hyperlink"/>
          </w:rPr>
          <w:t xml:space="preserve">ferramenta de priorização de decisões</w:t>
        </w:r>
      </w:hyperlink>
      <w:r>
        <w:t xml:space="preserve"> </w:t>
      </w:r>
      <w:r>
        <w:t xml:space="preserve">para primeiro listar os diferentes tipos de decisões (use os</w:t>
      </w:r>
      <w:r>
        <w:t xml:space="preserve"> </w:t>
      </w:r>
      <w:hyperlink r:id="rId31">
        <w:r>
          <w:rPr>
            <w:rStyle w:val="Hyperlink"/>
          </w:rPr>
          <w:t xml:space="preserve">tipos de decisões</w:t>
        </w:r>
      </w:hyperlink>
      <w:r>
        <w:t xml:space="preserve"> </w:t>
      </w:r>
      <w:r>
        <w:t xml:space="preserve">como guia). Estas então preencherão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pegar a alça (três barras) mais à esquerda em cada linha para movê-la para cima ou para baixo. Ordene as linhas de modo que as decisões com o maior impacto sobre as métricas mais importantes fiquem em direção ao topo. As células no canto superior esquerdo devem ter a maior concentração de células vermelhas e laranja. Neste ponto, identifique as decisões que deveriam receber mais atenção em seu estudo. Se você não tiver decisões com impacto médio ou alto sobre as métricas mais importantes, revise sua lista de decisões.</w:t>
      </w:r>
    </w:p>
    <w:p>
      <w:pPr>
        <w:numPr>
          <w:ilvl w:val="0"/>
          <w:numId w:val="1002"/>
        </w:numPr>
      </w:pPr>
      <w:r>
        <w:t xml:space="preserve">Repita o processo para listar e priorizar as incertezas usando a</w:t>
      </w:r>
      <w:r>
        <w:t xml:space="preserve"> </w:t>
      </w:r>
      <w:hyperlink r:id="rId32">
        <w:r>
          <w:rPr>
            <w:rStyle w:val="Hyperlink"/>
          </w:rPr>
          <w:t xml:space="preserve">ferramenta de priorização de incertezas</w:t>
        </w:r>
      </w:hyperlink>
      <w:r>
        <w:t xml:space="preserve">. Use as</w:t>
      </w:r>
      <w:r>
        <w:t xml:space="preserve"> </w:t>
      </w:r>
      <w:hyperlink r:id="rId33">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as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Que abordagem você acha que usaria para tomar essa decisão?</w:t>
      </w:r>
    </w:p>
    <w:p>
      <w:pPr>
        <w:numPr>
          <w:ilvl w:val="1"/>
          <w:numId w:val="1004"/>
        </w:numPr>
      </w:pPr>
      <w:r>
        <w:t xml:space="preserve">Que dados parecem ser necessários para tomar essa decisão, incluindo o cálculo de quaisquer métricas de desempenho em que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34"/>
    <w:bookmarkStart w:id="35" w:name="dados-públicos-e-premissas-do-caso"/>
    <w:p>
      <w:pPr>
        <w:pStyle w:val="Heading1"/>
      </w:pPr>
      <w:r>
        <w:t xml:space="preserve">Dados públicos e premissas do caso</w:t>
      </w:r>
    </w:p>
    <w:p>
      <w:pPr>
        <w:pStyle w:val="FirstParagraph"/>
      </w:pPr>
      <w:r>
        <w:t xml:space="preserve">O caso combina estatísticas públicas com dados fictícios da empresa. As estimativas de tamanho de mercado são cálculos de cenário, não medições oficiais dos gastos com limpeza residencial. O contexto público principal inclui:</w:t>
      </w:r>
    </w:p>
    <w:p>
      <w:pPr>
        <w:numPr>
          <w:ilvl w:val="0"/>
          <w:numId w:val="1005"/>
        </w:numPr>
      </w:pPr>
      <w:r>
        <w:t xml:space="preserve">U.S. Census Bureau QuickFacts: aproximadamente 2,53 pessoas por residência entre 2020-2024, combinado com estimativas populacionais nacionais, sustenta uma estimativa de ordem de grandeza de aproximadamente 132 milhões de residências.</w:t>
      </w:r>
    </w:p>
    <w:p>
      <w:pPr>
        <w:numPr>
          <w:ilvl w:val="0"/>
          <w:numId w:val="1005"/>
        </w:numPr>
      </w:pPr>
      <w:r>
        <w:t xml:space="preserve">U.S. Bureau of Labor Statistics, Occupational Employment and Wage Statistics de maio de 2025: 860.670 faxineiras e trabalhadoras de limpeza doméstica; salário-hora médio de $17,83; salário-hora mediano de $17,07.</w:t>
      </w:r>
    </w:p>
    <w:p>
      <w:pPr>
        <w:numPr>
          <w:ilvl w:val="0"/>
          <w:numId w:val="1005"/>
        </w:numPr>
      </w:pPr>
      <w:r>
        <w:t xml:space="preserve">BLS Foreign-Born Workers, 2025: trabalhadores nascidos no exterior tinham mais probabilidade do que trabalhadores nascidos no país de estarem empregados em ocupações de serviço, 21,2 por cento contra 15,6 por cento.</w:t>
      </w:r>
    </w:p>
    <w:p>
      <w:pPr>
        <w:numPr>
          <w:ilvl w:val="0"/>
          <w:numId w:val="1005"/>
        </w:numPr>
      </w:pPr>
      <w:r>
        <w:t xml:space="preserve">Census Nonemployer Statistics: os serviços de zeladoria estavam entre as maiores indústrias prováveis da economia de bicos, com aproximadamente $20 bilhões em receitas de 2023 para proprietários individuais.</w:t>
      </w:r>
    </w:p>
    <w:p>
      <w:pPr>
        <w:numPr>
          <w:ilvl w:val="0"/>
          <w:numId w:val="1005"/>
        </w:numPr>
      </w:pPr>
      <w:r>
        <w:t xml:space="preserve">Orientação do Formulário I-9 do USCIS: os empregadores dos EUA devem verificar a elegibilidade de emprego de cada empregado contratado, incluindo cidadãos dos EUA, ao mesmo tempo em que seguem os requisitos antidiscriminação.</w:t>
      </w:r>
    </w:p>
    <w:p>
      <w:pPr>
        <w:pStyle w:val="FirstParagraph"/>
      </w:pPr>
      <w:r>
        <w:t xml:space="preserve">Fontes consultadas (acessadas em julho de 2026): U.S. Bureau of Labor Statistics, Occupational Employment and Wage Statistics, maio de 2025; BLS, Labor Force Characteristics of Foreign-Born Workers, 2025; U.S. Census Bureau, QuickFacts e 2023 Nonemployer Statistics; U.S. Citizenship and Immigration Services, Form I-9 Central. Todos os preços, taxas de conversão, custos, previsões e eventos da empresa BrightNest são fictícios.</w:t>
      </w:r>
    </w:p>
    <w:bookmarkEnd w:id="35"/>
    <w:bookmarkStart w:id="36" w:name="comentários-do-chatgpt"/>
    <w:p>
      <w:pPr>
        <w:pStyle w:val="Heading1"/>
      </w:pPr>
      <w:r>
        <w:t xml:space="preserve">Comentários do ChatGPT</w:t>
      </w:r>
    </w:p>
    <w:p>
      <w:pPr>
        <w:pStyle w:val="FirstParagraph"/>
      </w:pPr>
      <w:r>
        <w:t xml:space="preserve">O caso examina uma startup fictícia que deve construir simultaneamente a demanda dos clientes e recrutar uma rede de faxineiras geograficamente densa e confiável. Ele inclui:</w:t>
      </w:r>
    </w:p>
    <w:p>
      <w:pPr>
        <w:numPr>
          <w:ilvl w:val="0"/>
          <w:numId w:val="1006"/>
        </w:numPr>
      </w:pPr>
      <w:r>
        <w:t xml:space="preserve">Alternativas de aquisição de clientes através de busca, mídias sociais, indicações, marketplaces e parcerias institucionais</w:t>
      </w:r>
    </w:p>
    <w:p>
      <w:pPr>
        <w:numPr>
          <w:ilvl w:val="0"/>
          <w:numId w:val="1006"/>
        </w:numPr>
      </w:pPr>
      <w:r>
        <w:t xml:space="preserve">Descontos introdutórios e incerteza sobre o valor de tempo de vida do cliente</w:t>
      </w:r>
    </w:p>
    <w:p>
      <w:pPr>
        <w:numPr>
          <w:ilvl w:val="0"/>
          <w:numId w:val="1006"/>
        </w:numPr>
      </w:pPr>
      <w:r>
        <w:t xml:space="preserve">Remuneração de faxineiras, flexibilidade, tempo de deslocamento, retenção e políticas de equipamento</w:t>
      </w:r>
    </w:p>
    <w:p>
      <w:pPr>
        <w:numPr>
          <w:ilvl w:val="0"/>
          <w:numId w:val="1006"/>
        </w:numPr>
      </w:pPr>
      <w:r>
        <w:t xml:space="preserve">Considerações sobre empregado versus contratante</w:t>
      </w:r>
    </w:p>
    <w:p>
      <w:pPr>
        <w:numPr>
          <w:ilvl w:val="0"/>
          <w:numId w:val="1006"/>
        </w:numPr>
      </w:pPr>
      <w:r>
        <w:t xml:space="preserve">Incerteza sobre política de imigração e verificação de emprego</w:t>
      </w:r>
    </w:p>
    <w:p>
      <w:pPr>
        <w:numPr>
          <w:ilvl w:val="0"/>
          <w:numId w:val="1006"/>
        </w:numPr>
      </w:pPr>
      <w:r>
        <w:t xml:space="preserve">Estratégias de lançamento regional, multicidades e nacional</w:t>
      </w:r>
    </w:p>
    <w:p>
      <w:pPr>
        <w:numPr>
          <w:ilvl w:val="0"/>
          <w:numId w:val="1006"/>
        </w:numPr>
      </w:pPr>
      <w:r>
        <w:t xml:space="preserve">Estimativas de demanda de mercado, economia unitária, funis de recrutamento e cenários de lançamento</w:t>
      </w:r>
    </w:p>
    <w:p>
      <w:pPr>
        <w:numPr>
          <w:ilvl w:val="0"/>
          <w:numId w:val="1006"/>
        </w:numPr>
      </w:pPr>
      <w:r>
        <w:t xml:space="preserve">Dez questões de discussão sem solução preferida</w:t>
      </w:r>
    </w:p>
    <w:p>
      <w:pPr>
        <w:pStyle w:val="FirstParagraph"/>
      </w:pPr>
      <w:r>
        <w:t xml:space="preserve">O contexto de mão de obra usa estimativas atuais do BLS de aproximadamente 860.670 faxineiras e trabalhadoras de limpeza doméstica, com ganhos médios por hora de $17,83 em maio de 2025. Também incorpora as descobertas do BLS de que trabalhadores nascidos no exterior estavam mais concentrados em ocupações de serviço do que trabalhadores nascidos no país em 2025.</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warrenpowell.org/decision-framing-tool/#decision-prioritization-tool" TargetMode="External" /><Relationship Type="http://schemas.openxmlformats.org/officeDocument/2006/relationships/hyperlink" Id="rId29" Target="https://warrenpowell.org/decision-framing-tool/#metrics-pyramid-tool" TargetMode="External" /><Relationship Type="http://schemas.openxmlformats.org/officeDocument/2006/relationships/hyperlink" Id="rId32" Target="https://warrenpowell.org/decision-framing-tool/#uncertainty-prioritization-tool" TargetMode="External" /><Relationship Type="http://schemas.openxmlformats.org/officeDocument/2006/relationships/hyperlink" Id="rId31" Target="https://warrenpowell.org/decisionsdecisions/#types-of-decision-settings" TargetMode="External" /><Relationship Type="http://schemas.openxmlformats.org/officeDocument/2006/relationships/hyperlink" Id="rId33"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30" Target="https://warrenpowell.org/decision-framing-tool/#decision-prioritization-tool" TargetMode="External" /><Relationship Type="http://schemas.openxmlformats.org/officeDocument/2006/relationships/hyperlink" Id="rId29" Target="https://warrenpowell.org/decision-framing-tool/#metrics-pyramid-tool" TargetMode="External" /><Relationship Type="http://schemas.openxmlformats.org/officeDocument/2006/relationships/hyperlink" Id="rId32" Target="https://warrenpowell.org/decision-framing-tool/#uncertainty-prioritization-tool" TargetMode="External" /><Relationship Type="http://schemas.openxmlformats.org/officeDocument/2006/relationships/hyperlink" Id="rId31" Target="https://warrenpowell.org/decisionsdecisions/#types-of-decision-settings" TargetMode="External" /><Relationship Type="http://schemas.openxmlformats.org/officeDocument/2006/relationships/hyperlink" Id="rId33"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2026-09-11T16:37:59Z</dcterms:created>
  <dcterms:modified xsi:type="dcterms:W3CDTF">2026-09-11T16:37:59Z</dcterms:modified>
</cp:coreProperties>
</file>

<file path=docProps/custom.xml><?xml version="1.0" encoding="utf-8"?>
<Properties xmlns="http://schemas.openxmlformats.org/officeDocument/2006/custom-properties" xmlns:vt="http://schemas.openxmlformats.org/officeDocument/2006/docPropsVTypes"/>
</file>