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Crestline Biotherapeutics</w:t>
      </w:r>
    </w:p>
    <w:p>
      <w:pPr>
        <w:pStyle w:val="BodyText"/>
      </w:pPr>
      <w:r>
        <w:t xml:space="preserve">A Decisão da Semana 28</w:t>
      </w:r>
    </w:p>
    <w:p>
      <w:pPr>
        <w:pStyle w:val="BodyText"/>
      </w:pPr>
      <w:r>
        <w:rPr>
          <w:i/>
          <w:iCs/>
        </w:rPr>
        <w:t xml:space="preserve">Um estudo de caso de desenvolvimento clínico sobre decidir o que aprender a seguir quando tempo, pacientes, capital e vida útil da patente são todos limitados</w:t>
      </w:r>
    </w:p>
    <w:p>
      <w:pPr>
        <w:pStyle w:val="BodyText"/>
      </w:pPr>
      <w:r>
        <w:t xml:space="preserve">Este caso é fictício e destinado à discussão instrucional. Nomes, eventos, produtos e dados da empresa são inventados; estatísticas públicas são citadas na nota de fonte.</w:t>
      </w:r>
    </w:p>
    <w:tbl>
      <w:tblPr>
        <w:tblStyle w:val="Table"/>
        <w:tblW w:type="auto" w:w="0"/>
        <w:tblLook w:firstRow="0" w:lastRow="0" w:firstColumn="0" w:lastColumn="0" w:noHBand="0" w:noVBand="0" w:val="0000"/>
      </w:tblPr>
      <w:tblGrid>
        <w:gridCol w:w="7920"/>
      </w:tblGrid>
      <w:tr>
        <w:tc>
          <w:tcPr/>
          <w:p>
            <w:pPr>
              <w:pStyle w:val="Compact"/>
            </w:pPr>
            <w:r>
              <w:t xml:space="preserve">Em outubro de 2026, a Crestline deve decidir se expande, redesenha, pausa ou encerra um ensaio de Fase II para um tratamento experimental para doença pulmonar inflamatória. Resultados iniciais sugerem melhora significativa para alguns pacientes, pouco benefício para outros, e um sinal de segurança que pode ou não estar relacionado ao tratamento. O recrutamento está seis meses atrasado em relação ao cronograma, um concorrente anunciou um ensaio pivotal, e a Crestline tem caixa suficiente para seguir apenas um grande programa de desenvolvimento.</w:t>
            </w:r>
          </w:p>
        </w:tc>
      </w:tr>
    </w:tbl>
    <w:p>
      <w:r>
        <w:pict>
          <v:rect style="width:0;height:1.5pt" o:hralign="center" o:hrstd="t" o:hr="t"/>
        </w:pict>
      </w:r>
    </w:p>
    <w:p>
      <w:pPr>
        <w:pStyle w:val="FirstParagraph"/>
      </w:pPr>
      <w:r>
        <w:t xml:space="preserve">Este caso é fictício e destinado à discussão instrucional. Nomes, eventos, resultados clínicos e dados financeiros internos foram criados para o caso. Estatísticas públicas são resumidas na nota de fonte.</w:t>
      </w:r>
    </w:p>
    <w:bookmarkStart w:id="9" w:name="a-revisão-interina"/>
    <w:p>
      <w:pPr>
        <w:pStyle w:val="Heading1"/>
      </w:pPr>
      <w:r>
        <w:t xml:space="preserve">A Revisão Interina</w:t>
      </w:r>
    </w:p>
    <w:p>
      <w:pPr>
        <w:pStyle w:val="FirstParagraph"/>
      </w:pPr>
      <w:r>
        <w:t xml:space="preserve">Às 7h30 da manhã de segunda-feira, a Dra. Elena Marquez, diretora médica da Crestline Biotherapeutics, abriu o relatório confidencial do comitê independente de monitoramento de dados. O composto principal da empresa, CLN-47, estava sendo testado em adultos com doença pulmonar inflamatória progressiva cujos sintomas permaneciam mal controlados sob a terapia padrão. O ensaio havia alcançado 164 pacientes randomizados, bem abaixo dos 240 planejados, mas a diretoria havia autorizado uma revisão interina depois que o recrutamento desacelerou e vários eventos adversos foram relatados.</w:t>
      </w:r>
    </w:p>
    <w:p>
      <w:pPr>
        <w:pStyle w:val="BodyText"/>
      </w:pPr>
      <w:r>
        <w:t xml:space="preserve">O relatório não forneceu a resposta simples que Marquez esperava. Pacientes que recebiam a dose mais alta mostraram uma melhora média maior na função pulmonar do que aqueles que recebiam placebo, mas a diferença ficou por pouco abaixo do limiar estatístico escrito no protocolo. Um subgrupo identificado por meio de um biomarcador sanguíneo pareceu responder fortemente. O subgrupo não havia sido designado como a população primária quando o ensaio começou, e o ensaio laboratorial usado para identificá-lo havia produzido resultados inconsistentes em dois locais do estudo.</w:t>
      </w:r>
    </w:p>
    <w:p>
      <w:pPr>
        <w:pStyle w:val="BodyText"/>
      </w:pPr>
      <w:r>
        <w:t xml:space="preserve">Cinco pacientes recebendo CLN-47 haviam apresentado elevações graves de enzimas hepáticas, em comparação com um paciente recebendo placebo. Todos se recuperaram após o tratamento ser interrompido. Os investigadores discordavam sobre se os eventos refletiam o medicamento, outros medicamentos, ou a doença subjacente. O comitê não recomendou interromper o ensaio, mas pediu que a Crestline fortalecesse o monitoramento e esclarecesse as condições sob as quais a dosagem seria suspensa.</w:t>
      </w:r>
    </w:p>
    <w:bookmarkEnd w:id="9"/>
    <w:bookmarkStart w:id="11" w:name="Xfb79ca73bc430eff6b87a9ed3cb8754b64344b0"/>
    <w:p>
      <w:pPr>
        <w:pStyle w:val="Heading1"/>
      </w:pPr>
      <w:r>
        <w:t xml:space="preserve">Um Caminho de Alto Custo com Baixa Probabilidade de Chegada</w:t>
      </w:r>
    </w:p>
    <w:p>
      <w:pPr>
        <w:pStyle w:val="FirstParagraph"/>
      </w:pPr>
      <w:r>
        <w:t xml:space="preserve">O desenvolvimento clínico exigia que as empresas comprometessem capital substancial antes de saber se um tratamento seria seguro, eficaz, aprovável, fabricável, ou comercialmente aceito. Ensaios de Fase III comumente recrutam centenas ou milhares de participantes e fornecem grande parte das evidências usadas na revisão regulatória. Estimativas do setor frequentemente colocam o custo total de desenvolvimento de um medicamento aprovado, incluindo programas malsucedidos, na casa dos bilhões de dólares e o tempo decorrido em 10 a 15 anos.</w:t>
      </w:r>
    </w:p>
    <w:p>
      <w:pPr>
        <w:pStyle w:val="BodyText"/>
      </w:pPr>
      <w:r>
        <w:t xml:space="preserve">O fracasso era comum. Estimativas publicadas variam por área de doença e metodologia, mas apenas uma minoria dos compostos que entram em testes humanos acaba recebendo aprovação. O próprio recrutamento poderia se tornar uma fonte importante de atraso: revisões de pesquisa relataram que muitos ensaios não atingem suas metas ou cronogramas originais de recrutamento, enquanto uma análise de ensaios registrados encontrou um atraso mediano de cerca de doze meses entre estudos concluídos e descontinuação em mais de um quinto da amostra.</w:t>
      </w:r>
    </w:p>
    <w:p>
      <w:pPr>
        <w:pStyle w:val="BodyText"/>
      </w:pPr>
      <w:r>
        <w:t xml:space="preserve">Para a Crestline, o atraso tinha outro custo. A patente principal do CLN-47 havia sido depositada sete anos antes. Cada ano adicional gasto em desenvolvimento reduzia o período em que a empresa poderia vender o tratamento sem concorrência direta de genéricos. No entanto, avançar rápido demais poderia produzir um estudo com poder estatístico insuficiente, expor pacientes a uma dose insegura, ou levar reguladores a rejeitar as evidências.</w:t>
      </w:r>
    </w:p>
    <w:bookmarkStart w:id="10" w:name="Xb596febbe5c0843e288f83510959992a29d85e1"/>
    <w:p>
      <w:pPr>
        <w:pStyle w:val="Heading2"/>
      </w:pPr>
      <w:r>
        <w:t xml:space="preserve">Exibição 1. Status do Ensaio de Fase II do CLN-47</w:t>
      </w:r>
    </w:p>
    <w:tbl>
      <w:tblPr>
        <w:tblStyle w:val="Table"/>
        <w:tblW w:type="pct" w:w="4936"/>
        <w:tblLayout w:type="fixed"/>
        <w:tblLook w:firstRow="1" w:lastRow="0" w:firstColumn="0" w:lastColumn="0" w:noHBand="0" w:noVBand="0" w:val="0020"/>
      </w:tblPr>
      <w:tblGrid>
        <w:gridCol w:w="1523"/>
        <w:gridCol w:w="1929"/>
        <w:gridCol w:w="2183"/>
        <w:gridCol w:w="2183"/>
      </w:tblGrid>
      <w:tr>
        <w:trPr>
          <w:tblHeader w:val="on"/>
        </w:trPr>
        <w:tc>
          <w:tcPr/>
          <w:p>
            <w:pPr>
              <w:pStyle w:val="Compact"/>
              <w:jc w:val="left"/>
            </w:pPr>
            <w:r>
              <w:t xml:space="preserve">Medida</w:t>
            </w:r>
          </w:p>
        </w:tc>
        <w:tc>
          <w:tcPr/>
          <w:p>
            <w:pPr>
              <w:pStyle w:val="Compact"/>
              <w:jc w:val="center"/>
            </w:pPr>
            <w:r>
              <w:t xml:space="preserve">Plano do protocolo</w:t>
            </w:r>
          </w:p>
        </w:tc>
        <w:tc>
          <w:tcPr/>
          <w:p>
            <w:pPr>
              <w:pStyle w:val="Compact"/>
              <w:jc w:val="center"/>
            </w:pPr>
            <w:r>
              <w:t xml:space="preserve">Status na semana 28</w:t>
            </w:r>
          </w:p>
        </w:tc>
        <w:tc>
          <w:tcPr/>
          <w:p>
            <w:pPr>
              <w:pStyle w:val="Compact"/>
              <w:jc w:val="center"/>
            </w:pPr>
            <w:r>
              <w:t xml:space="preserve">Preocupação da gestão</w:t>
            </w:r>
          </w:p>
        </w:tc>
      </w:tr>
      <w:tr>
        <w:tc>
          <w:tcPr/>
          <w:p>
            <w:pPr>
              <w:pStyle w:val="Compact"/>
              <w:jc w:val="left"/>
            </w:pPr>
            <w:r>
              <w:t xml:space="preserve">Pacientes randomizados</w:t>
            </w:r>
          </w:p>
        </w:tc>
        <w:tc>
          <w:tcPr/>
          <w:p>
            <w:pPr>
              <w:pStyle w:val="Compact"/>
              <w:jc w:val="center"/>
            </w:pPr>
            <w:r>
              <w:t xml:space="preserve">240</w:t>
            </w:r>
          </w:p>
        </w:tc>
        <w:tc>
          <w:tcPr/>
          <w:p>
            <w:pPr>
              <w:pStyle w:val="Compact"/>
              <w:jc w:val="center"/>
            </w:pPr>
            <w:r>
              <w:t xml:space="preserve">164</w:t>
            </w:r>
          </w:p>
        </w:tc>
        <w:tc>
          <w:tcPr/>
          <w:p>
            <w:pPr>
              <w:pStyle w:val="Compact"/>
              <w:jc w:val="center"/>
            </w:pPr>
            <w:r>
              <w:t xml:space="preserve">Recrutamento seis meses atrasado</w:t>
            </w:r>
          </w:p>
        </w:tc>
      </w:tr>
      <w:tr>
        <w:tc>
          <w:tcPr/>
          <w:p>
            <w:pPr>
              <w:pStyle w:val="Compact"/>
              <w:jc w:val="left"/>
            </w:pPr>
            <w:r>
              <w:t xml:space="preserve">Locais do ensaio</w:t>
            </w:r>
          </w:p>
        </w:tc>
        <w:tc>
          <w:tcPr/>
          <w:p>
            <w:pPr>
              <w:pStyle w:val="Compact"/>
              <w:jc w:val="center"/>
            </w:pPr>
            <w:r>
              <w:t xml:space="preserve">32</w:t>
            </w:r>
          </w:p>
        </w:tc>
        <w:tc>
          <w:tcPr/>
          <w:p>
            <w:pPr>
              <w:pStyle w:val="Compact"/>
              <w:jc w:val="center"/>
            </w:pPr>
            <w:r>
              <w:t xml:space="preserve">29 abertos; 18 recrutando ativamente</w:t>
            </w:r>
          </w:p>
        </w:tc>
        <w:tc>
          <w:tcPr/>
          <w:p>
            <w:pPr>
              <w:pStyle w:val="Compact"/>
              <w:jc w:val="center"/>
            </w:pPr>
            <w:r>
              <w:t xml:space="preserve">Grande variação entre os locais</w:t>
            </w:r>
          </w:p>
        </w:tc>
      </w:tr>
      <w:tr>
        <w:tc>
          <w:tcPr/>
          <w:p>
            <w:pPr>
              <w:pStyle w:val="Compact"/>
              <w:jc w:val="left"/>
            </w:pPr>
            <w:r>
              <w:t xml:space="preserve">Desfecho primário</w:t>
            </w:r>
          </w:p>
        </w:tc>
        <w:tc>
          <w:tcPr/>
          <w:p>
            <w:pPr>
              <w:pStyle w:val="Compact"/>
              <w:jc w:val="center"/>
            </w:pPr>
            <w:r>
              <w:t xml:space="preserve">Mudança na função pulmonar em 24 sema</w:t>
            </w:r>
          </w:p>
        </w:tc>
        <w:tc>
          <w:tcPr/>
          <w:p>
            <w:pPr>
              <w:pStyle w:val="Compact"/>
              <w:jc w:val="center"/>
            </w:pPr>
            <w:r>
              <w:t xml:space="preserve">nas Dose alta +3,8%; placebo +1,9%</w:t>
            </w:r>
          </w:p>
        </w:tc>
        <w:tc>
          <w:tcPr/>
          <w:p>
            <w:pPr>
              <w:pStyle w:val="Compact"/>
              <w:jc w:val="center"/>
            </w:pPr>
            <w:r>
              <w:t xml:space="preserve">Diferença abaixo do limiar pré-especificado</w:t>
            </w:r>
          </w:p>
        </w:tc>
      </w:tr>
      <w:tr>
        <w:tc>
          <w:tcPr/>
          <w:p>
            <w:pPr>
              <w:pStyle w:val="Compact"/>
              <w:jc w:val="left"/>
            </w:pPr>
            <w:r>
              <w:t xml:space="preserve">Subgrupo biomarcador-positivo</w:t>
            </w:r>
          </w:p>
        </w:tc>
        <w:tc>
          <w:tcPr/>
          <w:p>
            <w:pPr>
              <w:pStyle w:val="Compact"/>
              <w:jc w:val="center"/>
            </w:pPr>
            <w:r>
              <w:t xml:space="preserve">Apenas exploratório</w:t>
            </w:r>
          </w:p>
        </w:tc>
        <w:tc>
          <w:tcPr/>
          <w:p>
            <w:pPr>
              <w:pStyle w:val="Compact"/>
              <w:jc w:val="center"/>
            </w:pPr>
            <w:r>
              <w:t xml:space="preserve">Dose alta +6,4%; placebo +1,6%</w:t>
            </w:r>
          </w:p>
        </w:tc>
        <w:tc>
          <w:tcPr/>
          <w:p>
            <w:pPr>
              <w:pStyle w:val="Compact"/>
              <w:jc w:val="center"/>
            </w:pPr>
            <w:r>
              <w:t xml:space="preserve">Promissor mas não pré-especificado</w:t>
            </w:r>
          </w:p>
        </w:tc>
      </w:tr>
      <w:tr>
        <w:tc>
          <w:tcPr/>
          <w:p>
            <w:pPr>
              <w:pStyle w:val="Compact"/>
              <w:jc w:val="left"/>
            </w:pPr>
            <w:r>
              <w:t xml:space="preserve">Sinais hepáticos graves</w:t>
            </w:r>
          </w:p>
        </w:tc>
        <w:tc>
          <w:tcPr/>
          <w:p>
            <w:pPr>
              <w:pStyle w:val="Compact"/>
              <w:jc w:val="center"/>
            </w:pPr>
            <w:r>
              <w:t xml:space="preserve">Nenhum desequilíbrio esperado</w:t>
            </w:r>
          </w:p>
        </w:tc>
        <w:tc>
          <w:tcPr/>
          <w:p>
            <w:pPr>
              <w:pStyle w:val="Compact"/>
              <w:jc w:val="center"/>
            </w:pPr>
            <w:r>
              <w:t xml:space="preserve">5 tratamento; 1 placebo</w:t>
            </w:r>
          </w:p>
        </w:tc>
        <w:tc>
          <w:tcPr/>
          <w:p>
            <w:pPr>
              <w:pStyle w:val="Compact"/>
              <w:jc w:val="center"/>
            </w:pPr>
            <w:r>
              <w:t xml:space="preserve">Causalidade incerta</w:t>
            </w:r>
          </w:p>
        </w:tc>
      </w:tr>
      <w:tr>
        <w:tc>
          <w:tcPr/>
          <w:p>
            <w:pPr>
              <w:pStyle w:val="Compact"/>
              <w:jc w:val="left"/>
            </w:pPr>
            <w:r>
              <w:t xml:space="preserve">Desistências de participantes</w:t>
            </w:r>
          </w:p>
        </w:tc>
        <w:tc>
          <w:tcPr/>
          <w:p>
            <w:pPr>
              <w:pStyle w:val="Compact"/>
              <w:jc w:val="center"/>
            </w:pPr>
            <w:r>
              <w:t xml:space="preserve">Abaixo de 15%</w:t>
            </w:r>
          </w:p>
        </w:tc>
        <w:tc>
          <w:tcPr/>
          <w:p>
            <w:pPr>
              <w:pStyle w:val="Compact"/>
              <w:jc w:val="center"/>
            </w:pPr>
            <w:r>
              <w:t xml:space="preserve">18% dose alta; 12% dose baixa; 10% placebo</w:t>
            </w:r>
          </w:p>
        </w:tc>
        <w:tc>
          <w:tcPr/>
          <w:p>
            <w:pPr>
              <w:pStyle w:val="Compact"/>
              <w:jc w:val="center"/>
            </w:pPr>
            <w:r>
              <w:t xml:space="preserve">Efeitos colaterais e ônus de visitas</w:t>
            </w:r>
          </w:p>
        </w:tc>
      </w:tr>
      <w:tr>
        <w:tc>
          <w:tcPr/>
          <w:p>
            <w:pPr>
              <w:pStyle w:val="Compact"/>
              <w:jc w:val="left"/>
            </w:pPr>
            <w:r>
              <w:t xml:space="preserve">Gasto atual do ensaio</w:t>
            </w:r>
          </w:p>
        </w:tc>
        <w:tc>
          <w:tcPr/>
          <w:p>
            <w:pPr>
              <w:pStyle w:val="Compact"/>
              <w:jc w:val="center"/>
            </w:pPr>
            <w:r>
              <w:t xml:space="preserve">$42 milhões no total</w:t>
            </w:r>
          </w:p>
        </w:tc>
        <w:tc>
          <w:tcPr/>
          <w:p>
            <w:pPr>
              <w:pStyle w:val="Compact"/>
              <w:jc w:val="center"/>
            </w:pPr>
            <w:r>
              <w:t xml:space="preserve">$34,6 milhões comprometidos</w:t>
            </w:r>
          </w:p>
        </w:tc>
        <w:tc>
          <w:tcPr/>
          <w:p>
            <w:pPr>
              <w:pStyle w:val="Compact"/>
              <w:jc w:val="center"/>
            </w:pPr>
            <w:r>
              <w:t xml:space="preserve">Monitoramento adicional necessário</w:t>
            </w:r>
          </w:p>
        </w:tc>
      </w:tr>
    </w:tbl>
    <w:bookmarkEnd w:id="10"/>
    <w:bookmarkEnd w:id="11"/>
    <w:bookmarkStart w:id="13" w:name="Xb0cdfc433cb499348538ec3de387a6085b20d30"/>
    <w:p>
      <w:pPr>
        <w:pStyle w:val="Heading1"/>
      </w:pPr>
      <w:r>
        <w:t xml:space="preserve">Os Pacientes Que a Crestline Poderia Encontrar</w:t>
      </w:r>
    </w:p>
    <w:p>
      <w:pPr>
        <w:pStyle w:val="FirstParagraph"/>
      </w:pPr>
      <w:r>
        <w:t xml:space="preserve">A doença afetava um número estimado de 185.000 adultos nos Estados Unidos, mas apenas uma fração atendia aos critérios do estudo. Os candidatos precisavam ter progressão documentada, terapia de base estável, função hepática e renal adequada, e nenhuma participação recente em outro ensaio. Muitos eram idosos, moravam longe de centros especializados, ou dependiam de familiares para transporte. O protocolo exigia onze visitas presenciais, exames de sangue repetidos, imagens, e uma avaliação de caminhada de seis minutos ao longo de trinta e duas semanas.</w:t>
      </w:r>
    </w:p>
    <w:p>
      <w:pPr>
        <w:pStyle w:val="BodyText"/>
      </w:pPr>
      <w:r>
        <w:t xml:space="preserve">A Crestline havia inicialmente selecionado hospitais acadêmicos de destaque porque seus médicos entendiam a doença e conseguiam gerenciar pacientes complexos. Esses centros também tinham estudos concorrentes, processos de contratação longos, e capacidade limitada de coordenadores. Sete locais haviam recrutado menos de dois pacientes. Três consultórios pneumológicos comunitários recrutaram rapidamente mas geraram mais desvios de protocolo. Um fornecedor de pesquisa móvel propôs coletas de sangue domiciliares e monitoramento remoto de sintomas, mas os reguladores não haviam revisado o plano operacional revisado e vários investigadores questionaram se as avaliações descentralizadas seriam comparáveis às medições hospitalares.</w:t>
      </w:r>
    </w:p>
    <w:bookmarkStart w:id="12" w:name="Xfc63168eb0b186a17f428fa83bf3646147c421f"/>
    <w:p>
      <w:pPr>
        <w:pStyle w:val="Heading2"/>
      </w:pPr>
      <w:r>
        <w:t xml:space="preserve">Exibição 2. Desempenho de Recrutamento por Tipo de Local</w:t>
      </w:r>
    </w:p>
    <w:tbl>
      <w:tblPr>
        <w:tblStyle w:val="Table"/>
        <w:tblW w:type="pct" w:w="4933"/>
        <w:tblLayout w:type="fixed"/>
        <w:tblLook w:firstRow="1" w:lastRow="0" w:firstColumn="0" w:lastColumn="0" w:noHBand="0" w:noVBand="0" w:val="0020"/>
      </w:tblPr>
      <w:tblGrid>
        <w:gridCol w:w="1689"/>
        <w:gridCol w:w="686"/>
        <w:gridCol w:w="1161"/>
        <w:gridCol w:w="897"/>
        <w:gridCol w:w="1267"/>
        <w:gridCol w:w="2112"/>
      </w:tblGrid>
      <w:tr>
        <w:trPr>
          <w:tblHeader w:val="on"/>
        </w:trPr>
        <w:tc>
          <w:tcPr/>
          <w:p>
            <w:pPr>
              <w:pStyle w:val="Compact"/>
              <w:jc w:val="left"/>
            </w:pPr>
            <w:r>
              <w:t xml:space="preserve">Tipo de local</w:t>
            </w:r>
          </w:p>
        </w:tc>
        <w:tc>
          <w:tcPr/>
          <w:p>
            <w:pPr>
              <w:pStyle w:val="Compact"/>
              <w:jc w:val="right"/>
            </w:pPr>
            <w:r>
              <w:t xml:space="preserve">Locais abert</w:t>
            </w:r>
          </w:p>
        </w:tc>
        <w:tc>
          <w:tcPr/>
          <w:p>
            <w:pPr>
              <w:pStyle w:val="Compact"/>
            </w:pPr>
            <w:r>
              <w:t xml:space="preserve">os Pacientes randomi</w:t>
            </w:r>
          </w:p>
        </w:tc>
        <w:tc>
          <w:tcPr/>
          <w:p>
            <w:pPr>
              <w:pStyle w:val="Compact"/>
            </w:pPr>
            <w:r>
              <w:t xml:space="preserve">zados Falha de</w:t>
            </w:r>
          </w:p>
        </w:tc>
        <w:tc>
          <w:tcPr/>
          <w:p>
            <w:pPr>
              <w:pStyle w:val="Compact"/>
            </w:pPr>
            <w:r>
              <w:t xml:space="preserve">triagem Custo mensal p</w:t>
            </w:r>
          </w:p>
        </w:tc>
        <w:tc>
          <w:tcPr/>
          <w:p>
            <w:pPr>
              <w:pStyle w:val="Compact"/>
              <w:jc w:val="left"/>
            </w:pPr>
            <w:r>
              <w:t xml:space="preserve">or local Problema observado</w:t>
            </w:r>
          </w:p>
        </w:tc>
      </w:tr>
      <w:tr>
        <w:tc>
          <w:tcPr/>
          <w:p>
            <w:pPr>
              <w:pStyle w:val="Compact"/>
              <w:jc w:val="left"/>
            </w:pPr>
            <w:r>
              <w:t xml:space="preserve">Centros médicos acadêmicos</w:t>
            </w:r>
          </w:p>
        </w:tc>
        <w:tc>
          <w:tcPr/>
          <w:p>
            <w:pPr>
              <w:pStyle w:val="Compact"/>
              <w:jc w:val="right"/>
            </w:pPr>
            <w:r>
              <w:t xml:space="preserve">16</w:t>
            </w:r>
          </w:p>
        </w:tc>
        <w:tc>
          <w:tcPr/>
          <w:p>
            <w:pPr>
              <w:pStyle w:val="Compact"/>
            </w:pPr>
            <w:r>
              <w:t xml:space="preserve">91</w:t>
            </w:r>
          </w:p>
        </w:tc>
        <w:tc>
          <w:tcPr/>
          <w:p>
            <w:pPr>
              <w:pStyle w:val="Compact"/>
            </w:pPr>
            <w:r>
              <w:t xml:space="preserve">48%</w:t>
            </w:r>
          </w:p>
        </w:tc>
        <w:tc>
          <w:tcPr/>
          <w:p>
            <w:pPr>
              <w:pStyle w:val="Compact"/>
            </w:pPr>
            <w:r>
              <w:t xml:space="preserve">$68.000</w:t>
            </w:r>
          </w:p>
        </w:tc>
        <w:tc>
          <w:tcPr/>
          <w:p>
            <w:pPr>
              <w:pStyle w:val="Compact"/>
              <w:jc w:val="left"/>
            </w:pPr>
            <w:r>
              <w:t xml:space="preserve">Contratação lenta; forte qualidade de dados</w:t>
            </w:r>
          </w:p>
        </w:tc>
      </w:tr>
      <w:tr>
        <w:tc>
          <w:tcPr/>
          <w:p>
            <w:pPr>
              <w:pStyle w:val="Compact"/>
              <w:jc w:val="left"/>
            </w:pPr>
            <w:r>
              <w:t xml:space="preserve">Hospitais regionais</w:t>
            </w:r>
          </w:p>
        </w:tc>
        <w:tc>
          <w:tcPr/>
          <w:p>
            <w:pPr>
              <w:pStyle w:val="Compact"/>
              <w:jc w:val="right"/>
            </w:pPr>
            <w:r>
              <w:t xml:space="preserve">8</w:t>
            </w:r>
          </w:p>
        </w:tc>
        <w:tc>
          <w:tcPr/>
          <w:p>
            <w:pPr>
              <w:pStyle w:val="Compact"/>
            </w:pPr>
            <w:r>
              <w:t xml:space="preserve">38</w:t>
            </w:r>
          </w:p>
        </w:tc>
        <w:tc>
          <w:tcPr/>
          <w:p>
            <w:pPr>
              <w:pStyle w:val="Compact"/>
            </w:pPr>
            <w:r>
              <w:t xml:space="preserve">42%</w:t>
            </w:r>
          </w:p>
        </w:tc>
        <w:tc>
          <w:tcPr/>
          <w:p>
            <w:pPr>
              <w:pStyle w:val="Compact"/>
            </w:pPr>
            <w:r>
              <w:t xml:space="preserve">$47.000</w:t>
            </w:r>
          </w:p>
        </w:tc>
        <w:tc>
          <w:tcPr/>
          <w:p>
            <w:pPr>
              <w:pStyle w:val="Compact"/>
              <w:jc w:val="left"/>
            </w:pPr>
            <w:r>
              <w:t xml:space="preserve">Atenção variável dos investigadores</w:t>
            </w:r>
          </w:p>
        </w:tc>
      </w:tr>
      <w:tr>
        <w:tc>
          <w:tcPr/>
          <w:p>
            <w:pPr>
              <w:pStyle w:val="Compact"/>
              <w:jc w:val="left"/>
            </w:pPr>
            <w:r>
              <w:t xml:space="preserve">Consultórios pneumológicos comun</w:t>
            </w:r>
          </w:p>
        </w:tc>
        <w:tc>
          <w:tcPr/>
          <w:p>
            <w:pPr>
              <w:pStyle w:val="Compact"/>
              <w:jc w:val="right"/>
            </w:pPr>
            <w:r>
              <w:t xml:space="preserve">itários 5</w:t>
            </w:r>
          </w:p>
        </w:tc>
        <w:tc>
          <w:tcPr/>
          <w:p>
            <w:pPr>
              <w:pStyle w:val="Compact"/>
            </w:pPr>
            <w:r>
              <w:t xml:space="preserve">29</w:t>
            </w:r>
          </w:p>
        </w:tc>
        <w:tc>
          <w:tcPr/>
          <w:p>
            <w:pPr>
              <w:pStyle w:val="Compact"/>
            </w:pPr>
            <w:r>
              <w:t xml:space="preserve">31%</w:t>
            </w:r>
          </w:p>
        </w:tc>
        <w:tc>
          <w:tcPr/>
          <w:p>
            <w:pPr>
              <w:pStyle w:val="Compact"/>
            </w:pPr>
            <w:r>
              <w:t xml:space="preserve">$34.000</w:t>
            </w:r>
          </w:p>
        </w:tc>
        <w:tc>
          <w:tcPr/>
          <w:p>
            <w:pPr>
              <w:pStyle w:val="Compact"/>
              <w:jc w:val="left"/>
            </w:pPr>
            <w:r>
              <w:t xml:space="preserve">Recrutamento mais rápido; mais desvios</w:t>
            </w:r>
          </w:p>
        </w:tc>
      </w:tr>
      <w:tr>
        <w:tc>
          <w:tcPr/>
          <w:p>
            <w:pPr>
              <w:pStyle w:val="Compact"/>
              <w:jc w:val="left"/>
            </w:pPr>
            <w:r>
              <w:t xml:space="preserve">Clínicas de pesquisa dedicadas</w:t>
            </w:r>
          </w:p>
        </w:tc>
        <w:tc>
          <w:tcPr/>
          <w:p>
            <w:pPr>
              <w:pStyle w:val="Compact"/>
              <w:jc w:val="right"/>
            </w:pPr>
            <w:r>
              <w:t xml:space="preserve">3</w:t>
            </w:r>
          </w:p>
        </w:tc>
        <w:tc>
          <w:tcPr/>
          <w:p>
            <w:pPr>
              <w:pStyle w:val="Compact"/>
            </w:pPr>
            <w:r>
              <w:t xml:space="preserve">6</w:t>
            </w:r>
          </w:p>
        </w:tc>
        <w:tc>
          <w:tcPr/>
          <w:p>
            <w:pPr>
              <w:pStyle w:val="Compact"/>
            </w:pPr>
            <w:r>
              <w:t xml:space="preserve">55%</w:t>
            </w:r>
          </w:p>
        </w:tc>
        <w:tc>
          <w:tcPr/>
          <w:p>
            <w:pPr>
              <w:pStyle w:val="Compact"/>
            </w:pPr>
            <w:r>
              <w:t xml:space="preserve">$51.000</w:t>
            </w:r>
          </w:p>
        </w:tc>
        <w:tc>
          <w:tcPr/>
          <w:p>
            <w:pPr>
              <w:pStyle w:val="Compact"/>
              <w:jc w:val="left"/>
            </w:pPr>
            <w:r>
              <w:t xml:space="preserve">Rede de encaminhamento fraca</w:t>
            </w:r>
          </w:p>
        </w:tc>
      </w:tr>
    </w:tbl>
    <w:p>
      <w:pPr>
        <w:pStyle w:val="BodyText"/>
      </w:pPr>
      <w:r>
        <w:t xml:space="preserve">A equipe comercial propôs abrir doze clínicas dedicadas em locais varejistas metropolitanos e anunciar diretamente aos pacientes por meio de mídias sociais e grupos de defesa de pacientes. A equipe clínica se preocupou que um recrutamento agressivo pudesse produzir grandes números de candidatos inelegíveis, elevar expectativas entre pacientes gravemente doentes, e criar a aparência de que a empresa estava fazendo marketing de um medicamento antes da aprovação. Defensores de pacientes argumentaram que reembolso de viagem, consultas noturnas, materiais traduzidos, e visitas domiciliares fariam mais para ampliar o acesso do que a publicidade sozinha.</w:t>
      </w:r>
    </w:p>
    <w:bookmarkEnd w:id="12"/>
    <w:bookmarkEnd w:id="13"/>
    <w:bookmarkStart w:id="15" w:name="Xb5f31a48ddabfdd03b8e596371be0d69f6302a6"/>
    <w:p>
      <w:pPr>
        <w:pStyle w:val="Heading1"/>
      </w:pPr>
      <w:r>
        <w:t xml:space="preserve">O Que os Resultados Interinos Significavam</w:t>
      </w:r>
    </w:p>
    <w:p>
      <w:pPr>
        <w:pStyle w:val="FirstParagraph"/>
      </w:pPr>
      <w:r>
        <w:t xml:space="preserve">O estatístico do ensaio ofereceu três interpretações. A primeira era que o CLN-47 provavelmente produzia um benefício modesto em toda a população, mas o ensaio tinha poucos participantes demais para distingui-lo claramente do acaso. A segunda era que o tratamento funcionava principalmente em pacientes biomarcador-positivos. A terceira era que o resultado do subgrupo era um artefato criado ao testar muitas características possíveis de pacientes depois de ver os dados.</w:t>
      </w:r>
    </w:p>
    <w:p>
      <w:pPr>
        <w:pStyle w:val="BodyText"/>
      </w:pPr>
      <w:r>
        <w:t xml:space="preserve">Cada interpretação sugeria um próximo passo diferente. Completar o ensaio original preservaria o protocolo mas exigiria mais pacientes e talvez nove meses adicionais. Expandir o grupo biomarcador-positivo poderia fornecer evidências mais rápidas de um efeito maior, mas exigiria mudar a análise estatística e validar o ensaio laboratorial. Reduzir a dose alta poderia abordar preocupações de segurança mas enfraquecer a eficácia. A Crestline também poderia parar o estudo e conservar capital para um composto diferente cujos resultados de Fase I chegariam em quatro meses.</w:t>
      </w:r>
    </w:p>
    <w:bookmarkStart w:id="14" w:name="X42d9c8750e0ae57e56017345be300d2f58356a5"/>
    <w:p>
      <w:pPr>
        <w:pStyle w:val="Heading2"/>
      </w:pPr>
      <w:r>
        <w:t xml:space="preserve">Exibição 3. Alternativas de Desenvolvimento Preparadas para a Diretoria</w:t>
      </w:r>
    </w:p>
    <w:tbl>
      <w:tblPr>
        <w:tblStyle w:val="Table"/>
        <w:tblW w:type="pct" w:w="4940"/>
        <w:tblLayout w:type="fixed"/>
        <w:tblLook w:firstRow="1" w:lastRow="0" w:firstColumn="0" w:lastColumn="0" w:noHBand="0" w:noVBand="0" w:val="0020"/>
      </w:tblPr>
      <w:tblGrid>
        <w:gridCol w:w="1838"/>
        <w:gridCol w:w="2027"/>
        <w:gridCol w:w="801"/>
        <w:gridCol w:w="848"/>
        <w:gridCol w:w="2310"/>
      </w:tblGrid>
      <w:tr>
        <w:trPr>
          <w:tblHeader w:val="on"/>
        </w:trPr>
        <w:tc>
          <w:tcPr/>
          <w:p>
            <w:pPr>
              <w:pStyle w:val="Compact"/>
              <w:jc w:val="left"/>
            </w:pPr>
            <w:r>
              <w:t xml:space="preserve">Alternativa</w:t>
            </w:r>
          </w:p>
        </w:tc>
        <w:tc>
          <w:tcPr/>
          <w:p>
            <w:pPr>
              <w:pStyle w:val="Compact"/>
              <w:jc w:val="left"/>
            </w:pPr>
            <w:r>
              <w:t xml:space="preserve">Custo adicional</w:t>
            </w:r>
          </w:p>
        </w:tc>
        <w:tc>
          <w:tcPr/>
          <w:p>
            <w:pPr>
              <w:pStyle w:val="Compact"/>
              <w:jc w:val="left"/>
            </w:pPr>
            <w:r>
              <w:t xml:space="preserve">Tempo estimado</w:t>
            </w:r>
          </w:p>
        </w:tc>
        <w:tc>
          <w:tcPr/>
          <w:p>
            <w:pPr>
              <w:pStyle w:val="Compact"/>
            </w:pPr>
            <w:r>
              <w:t xml:space="preserve">Pacientes necessár</w:t>
            </w:r>
          </w:p>
        </w:tc>
        <w:tc>
          <w:tcPr/>
          <w:p>
            <w:pPr>
              <w:pStyle w:val="Compact"/>
              <w:jc w:val="left"/>
            </w:pPr>
            <w:r>
              <w:t xml:space="preserve">ios Exposição principal</w:t>
            </w:r>
          </w:p>
        </w:tc>
      </w:tr>
      <w:tr>
        <w:tc>
          <w:tcPr/>
          <w:p>
            <w:pPr>
              <w:pStyle w:val="Compact"/>
              <w:jc w:val="left"/>
            </w:pPr>
            <w:r>
              <w:t xml:space="preserve">Completar a Fase II original</w:t>
            </w:r>
          </w:p>
        </w:tc>
        <w:tc>
          <w:tcPr/>
          <w:p>
            <w:pPr>
              <w:pStyle w:val="Compact"/>
              <w:jc w:val="left"/>
            </w:pPr>
            <w:r>
              <w:t xml:space="preserve">$23 milhões</w:t>
            </w:r>
          </w:p>
        </w:tc>
        <w:tc>
          <w:tcPr/>
          <w:p>
            <w:pPr>
              <w:pStyle w:val="Compact"/>
              <w:jc w:val="left"/>
            </w:pPr>
            <w:r>
              <w:t xml:space="preserve">9-12 meses</w:t>
            </w:r>
          </w:p>
        </w:tc>
        <w:tc>
          <w:tcPr/>
          <w:p>
            <w:pPr>
              <w:pStyle w:val="Compact"/>
            </w:pPr>
            <w:r>
              <w:t xml:space="preserve">76</w:t>
            </w:r>
          </w:p>
        </w:tc>
        <w:tc>
          <w:tcPr/>
          <w:p>
            <w:pPr>
              <w:pStyle w:val="Compact"/>
              <w:jc w:val="left"/>
            </w:pPr>
            <w:r>
              <w:t xml:space="preserve">Efeito médio ambíguo pode persistir</w:t>
            </w:r>
          </w:p>
        </w:tc>
      </w:tr>
      <w:tr>
        <w:tc>
          <w:tcPr/>
          <w:p>
            <w:pPr>
              <w:pStyle w:val="Compact"/>
              <w:jc w:val="left"/>
            </w:pPr>
            <w:r>
              <w:t xml:space="preserve">Expandir para coorte biomarcador-positi</w:t>
            </w:r>
          </w:p>
        </w:tc>
        <w:tc>
          <w:tcPr/>
          <w:p>
            <w:pPr>
              <w:pStyle w:val="Compact"/>
              <w:jc w:val="left"/>
            </w:pPr>
            <w:r>
              <w:t xml:space="preserve">vo $38 milhões</w:t>
            </w:r>
          </w:p>
        </w:tc>
        <w:tc>
          <w:tcPr/>
          <w:p>
            <w:pPr>
              <w:pStyle w:val="Compact"/>
              <w:jc w:val="left"/>
            </w:pPr>
            <w:r>
              <w:t xml:space="preserve">12-15 meses</w:t>
            </w:r>
          </w:p>
        </w:tc>
        <w:tc>
          <w:tcPr/>
          <w:p>
            <w:pPr>
              <w:pStyle w:val="Compact"/>
            </w:pPr>
            <w:r>
              <w:t xml:space="preserve">120</w:t>
            </w:r>
          </w:p>
        </w:tc>
        <w:tc>
          <w:tcPr/>
          <w:p>
            <w:pPr>
              <w:pStyle w:val="Compact"/>
              <w:jc w:val="left"/>
            </w:pPr>
            <w:r>
              <w:t xml:space="preserve">Ensaio e subgrupo podem não ser aceitos</w:t>
            </w:r>
          </w:p>
        </w:tc>
      </w:tr>
      <w:tr>
        <w:tc>
          <w:tcPr/>
          <w:p>
            <w:pPr>
              <w:pStyle w:val="Compact"/>
              <w:jc w:val="left"/>
            </w:pPr>
            <w:r>
              <w:t xml:space="preserve">Redesenhar dose e monitoramento</w:t>
            </w:r>
          </w:p>
        </w:tc>
        <w:tc>
          <w:tcPr/>
          <w:p>
            <w:pPr>
              <w:pStyle w:val="Compact"/>
              <w:jc w:val="left"/>
            </w:pPr>
            <w:r>
              <w:t xml:space="preserve">$46 milhões</w:t>
            </w:r>
          </w:p>
        </w:tc>
        <w:tc>
          <w:tcPr/>
          <w:p>
            <w:pPr>
              <w:pStyle w:val="Compact"/>
              <w:jc w:val="left"/>
            </w:pPr>
            <w:r>
              <w:t xml:space="preserve">15-18 meses</w:t>
            </w:r>
          </w:p>
        </w:tc>
        <w:tc>
          <w:tcPr/>
          <w:p>
            <w:pPr>
              <w:pStyle w:val="Compact"/>
            </w:pPr>
            <w:r>
              <w:t xml:space="preserve">150</w:t>
            </w:r>
          </w:p>
        </w:tc>
        <w:tc>
          <w:tcPr/>
          <w:p>
            <w:pPr>
              <w:pStyle w:val="Compact"/>
              <w:jc w:val="left"/>
            </w:pPr>
            <w:r>
              <w:t xml:space="preserve">Dose menor pode perder eficácia</w:t>
            </w:r>
          </w:p>
        </w:tc>
      </w:tr>
      <w:tr>
        <w:tc>
          <w:tcPr/>
          <w:p>
            <w:pPr>
              <w:pStyle w:val="Compact"/>
              <w:jc w:val="left"/>
            </w:pPr>
            <w:r>
              <w:t xml:space="preserve">Iniciar planejamento da Fase III agora</w:t>
            </w:r>
          </w:p>
        </w:tc>
        <w:tc>
          <w:tcPr/>
          <w:p>
            <w:pPr>
              <w:pStyle w:val="Compact"/>
              <w:jc w:val="left"/>
            </w:pPr>
            <w:r>
              <w:t xml:space="preserve">$118 milhões antes da primeira grande le</w:t>
            </w:r>
          </w:p>
        </w:tc>
        <w:tc>
          <w:tcPr/>
          <w:p>
            <w:pPr>
              <w:pStyle w:val="Compact"/>
              <w:jc w:val="left"/>
            </w:pPr>
            <w:r>
              <w:t xml:space="preserve">itura 30-36 mes</w:t>
            </w:r>
          </w:p>
        </w:tc>
        <w:tc>
          <w:tcPr/>
          <w:p>
            <w:pPr>
              <w:pStyle w:val="Compact"/>
            </w:pPr>
            <w:r>
              <w:t xml:space="preserve">es 780</w:t>
            </w:r>
          </w:p>
        </w:tc>
        <w:tc>
          <w:tcPr/>
          <w:p>
            <w:pPr>
              <w:pStyle w:val="Compact"/>
              <w:jc w:val="left"/>
            </w:pPr>
            <w:r>
              <w:t xml:space="preserve">Compromete capital antes que a incerteza seja resolvida</w:t>
            </w:r>
          </w:p>
        </w:tc>
      </w:tr>
      <w:tr>
        <w:tc>
          <w:tcPr/>
          <w:p>
            <w:pPr>
              <w:pStyle w:val="Compact"/>
              <w:jc w:val="left"/>
            </w:pPr>
            <w:r>
              <w:t xml:space="preserve">Pausar o CLN-47 e aguardar outro progra</w:t>
            </w:r>
          </w:p>
        </w:tc>
        <w:tc>
          <w:tcPr/>
          <w:p>
            <w:pPr>
              <w:pStyle w:val="Compact"/>
              <w:jc w:val="left"/>
            </w:pPr>
            <w:r>
              <w:t xml:space="preserve">ma $6 milhões de encerramento e preserva</w:t>
            </w:r>
          </w:p>
        </w:tc>
        <w:tc>
          <w:tcPr/>
          <w:p>
            <w:pPr>
              <w:pStyle w:val="Compact"/>
              <w:jc w:val="left"/>
            </w:pPr>
            <w:r>
              <w:t xml:space="preserve">ção 4-6 meses</w:t>
            </w:r>
          </w:p>
        </w:tc>
        <w:tc>
          <w:tcPr/>
          <w:p>
            <w:pPr>
              <w:pStyle w:val="Compact"/>
            </w:pPr>
            <w:r>
              <w:t xml:space="preserve">0 novos</w:t>
            </w:r>
          </w:p>
        </w:tc>
        <w:tc>
          <w:tcPr/>
          <w:p>
            <w:pPr>
              <w:pStyle w:val="Compact"/>
              <w:jc w:val="left"/>
            </w:pPr>
            <w:r>
              <w:t xml:space="preserve">Locais e investidores podem perder confiança</w:t>
            </w:r>
          </w:p>
        </w:tc>
      </w:tr>
      <w:tr>
        <w:tc>
          <w:tcPr/>
          <w:p>
            <w:pPr>
              <w:pStyle w:val="Compact"/>
              <w:jc w:val="left"/>
            </w:pPr>
            <w:r>
              <w:t xml:space="preserve">Encerrar o CLN-47</w:t>
            </w:r>
          </w:p>
        </w:tc>
        <w:tc>
          <w:tcPr/>
          <w:p>
            <w:pPr>
              <w:pStyle w:val="Compact"/>
              <w:jc w:val="left"/>
            </w:pPr>
            <w:r>
              <w:t xml:space="preserve">$3 milhões de fechamento</w:t>
            </w:r>
          </w:p>
        </w:tc>
        <w:tc>
          <w:tcPr/>
          <w:p>
            <w:pPr>
              <w:pStyle w:val="Compact"/>
              <w:jc w:val="left"/>
            </w:pPr>
            <w:r>
              <w:t xml:space="preserve">3 meses</w:t>
            </w:r>
          </w:p>
        </w:tc>
        <w:tc>
          <w:tcPr/>
          <w:p>
            <w:pPr>
              <w:pStyle w:val="Compact"/>
            </w:pPr>
            <w:r>
              <w:t xml:space="preserve">0 novos Trata</w:t>
            </w:r>
          </w:p>
        </w:tc>
        <w:tc>
          <w:tcPr/>
          <w:p>
            <w:pPr>
              <w:pStyle w:val="Compact"/>
              <w:jc w:val="left"/>
            </w:pPr>
            <w:r>
              <w:t xml:space="preserve">mento potencialmente valioso abandonado</w:t>
            </w:r>
          </w:p>
        </w:tc>
      </w:tr>
    </w:tbl>
    <w:bookmarkEnd w:id="14"/>
    <w:bookmarkEnd w:id="15"/>
    <w:bookmarkStart w:id="17" w:name="questões-regulatórias-e-de-manufatura"/>
    <w:p>
      <w:pPr>
        <w:pStyle w:val="Heading1"/>
      </w:pPr>
      <w:r>
        <w:t xml:space="preserve">Questões Regulatórias e de Manufatura</w:t>
      </w:r>
    </w:p>
    <w:p>
      <w:pPr>
        <w:pStyle w:val="FirstParagraph"/>
      </w:pPr>
      <w:r>
        <w:t xml:space="preserve">Os assessores regulatórios da Crestline esperavam que a agência se concentrasse no sinal hepático, na importância clínica da mudança na função pulmonar, e na credibilidade do biomarcador. Uma reunião formal poderia esclarecer expectativas, mas os materiais de briefing levariam dez semanas para serem preparados e a resposta da agência poderia não resolver a discordância. Os reguladores poderiam solicitar um banco de dados de segurança maior, acompanhamento mais longo, um desfecho diferente, ou um braço de dose adicional.</w:t>
      </w:r>
    </w:p>
    <w:p>
      <w:pPr>
        <w:pStyle w:val="BodyText"/>
      </w:pPr>
      <w:r>
        <w:t xml:space="preserve">A manufatura acrescentou outra incerteza. A formulação atual exigia distribuição refrigerada e tinha vida útil de nove meses. Um fabricante contratado havia produzido material suficiente para concluir o estudo de Fase II, mas um programa de Fase III exigiria reservar uma linha de produção dentro de sessenta dias. O depósito de reserva era de $14 milhões e não reembolsável. Um segundo fabricante ofereceu um custo unitário menor mas precisaria repetir o trabalho de validação de processo. Engenheiros também estavam testando uma formulação à temperatura ambiente, embora ela pudesse não estar pronta antes do início de um ensaio pivotal.</w:t>
      </w:r>
    </w:p>
    <w:bookmarkStart w:id="16" w:name="Xdce2b52df1ec97a51088a06e63aaf477fb71e56"/>
    <w:p>
      <w:pPr>
        <w:pStyle w:val="Heading2"/>
      </w:pPr>
      <w:r>
        <w:t xml:space="preserve">Exibição 4. Premissas Comerciais Ilustrativas</w:t>
      </w:r>
    </w:p>
    <w:tbl>
      <w:tblPr>
        <w:tblStyle w:val="Table"/>
        <w:tblW w:type="pct" w:w="4928"/>
        <w:tblLayout w:type="fixed"/>
        <w:tblLook w:firstRow="1" w:lastRow="0" w:firstColumn="0" w:lastColumn="0" w:noHBand="0" w:noVBand="0" w:val="0020"/>
      </w:tblPr>
      <w:tblGrid>
        <w:gridCol w:w="2525"/>
        <w:gridCol w:w="1262"/>
        <w:gridCol w:w="1606"/>
        <w:gridCol w:w="2410"/>
      </w:tblGrid>
      <w:tr>
        <w:trPr>
          <w:tblHeader w:val="on"/>
        </w:trPr>
        <w:tc>
          <w:tcPr/>
          <w:p>
            <w:pPr>
              <w:pStyle w:val="Compact"/>
              <w:jc w:val="left"/>
            </w:pPr>
            <w:r>
              <w:t xml:space="preserve">Premissa</w:t>
            </w:r>
          </w:p>
        </w:tc>
        <w:tc>
          <w:tcPr/>
          <w:p>
            <w:pPr>
              <w:pStyle w:val="Compact"/>
            </w:pPr>
            <w:r>
              <w:t xml:space="preserve">Produto de rótulo ampl</w:t>
            </w:r>
          </w:p>
        </w:tc>
        <w:tc>
          <w:tcPr/>
          <w:p>
            <w:pPr>
              <w:pStyle w:val="Compact"/>
            </w:pPr>
            <w:r>
              <w:t xml:space="preserve">o Produto limitado a bioma</w:t>
            </w:r>
          </w:p>
        </w:tc>
        <w:tc>
          <w:tcPr/>
          <w:p>
            <w:pPr>
              <w:pStyle w:val="Compact"/>
              <w:jc w:val="left"/>
            </w:pPr>
            <w:r>
              <w:t xml:space="preserve">rcador Incerteza principal</w:t>
            </w:r>
          </w:p>
        </w:tc>
      </w:tr>
      <w:tr>
        <w:tc>
          <w:tcPr/>
          <w:p>
            <w:pPr>
              <w:pStyle w:val="Compact"/>
              <w:jc w:val="left"/>
            </w:pPr>
            <w:r>
              <w:t xml:space="preserve">Pacientes elegíveis nos EUA no lançamento</w:t>
            </w:r>
          </w:p>
        </w:tc>
        <w:tc>
          <w:tcPr/>
          <w:p>
            <w:pPr>
              <w:pStyle w:val="Compact"/>
            </w:pPr>
            <w:r>
              <w:t xml:space="preserve">78.000</w:t>
            </w:r>
          </w:p>
        </w:tc>
        <w:tc>
          <w:tcPr/>
          <w:p>
            <w:pPr>
              <w:pStyle w:val="Compact"/>
            </w:pPr>
            <w:r>
              <w:t xml:space="preserve">29.000</w:t>
            </w:r>
          </w:p>
        </w:tc>
        <w:tc>
          <w:tcPr/>
          <w:p>
            <w:pPr>
              <w:pStyle w:val="Compact"/>
              <w:jc w:val="left"/>
            </w:pPr>
            <w:r>
              <w:t xml:space="preserve">Diagnóstico, progressão, redação do rótulo</w:t>
            </w:r>
          </w:p>
        </w:tc>
      </w:tr>
      <w:tr>
        <w:tc>
          <w:tcPr/>
          <w:p>
            <w:pPr>
              <w:pStyle w:val="Compact"/>
              <w:jc w:val="left"/>
            </w:pPr>
            <w:r>
              <w:t xml:space="preserve">Adoção pelos médicos após três anos</w:t>
            </w:r>
          </w:p>
        </w:tc>
        <w:tc>
          <w:tcPr/>
          <w:p>
            <w:pPr>
              <w:pStyle w:val="Compact"/>
            </w:pPr>
            <w:r>
              <w:t xml:space="preserve">38%</w:t>
            </w:r>
          </w:p>
        </w:tc>
        <w:tc>
          <w:tcPr/>
          <w:p>
            <w:pPr>
              <w:pStyle w:val="Compact"/>
            </w:pPr>
            <w:r>
              <w:t xml:space="preserve">55%</w:t>
            </w:r>
          </w:p>
        </w:tc>
        <w:tc>
          <w:tcPr/>
          <w:p>
            <w:pPr>
              <w:pStyle w:val="Compact"/>
              <w:jc w:val="left"/>
            </w:pPr>
            <w:r>
              <w:t xml:space="preserve">Benefício percebido e ônus de monitoramento</w:t>
            </w:r>
          </w:p>
        </w:tc>
      </w:tr>
      <w:tr>
        <w:tc>
          <w:tcPr/>
          <w:p>
            <w:pPr>
              <w:pStyle w:val="Compact"/>
              <w:jc w:val="left"/>
            </w:pPr>
            <w:r>
              <w:t xml:space="preserve">Preço líquido anual por paciente tratado</w:t>
            </w:r>
          </w:p>
        </w:tc>
        <w:tc>
          <w:tcPr/>
          <w:p>
            <w:pPr>
              <w:pStyle w:val="Compact"/>
            </w:pPr>
            <w:r>
              <w:t xml:space="preserve">$48.000</w:t>
            </w:r>
          </w:p>
        </w:tc>
        <w:tc>
          <w:tcPr/>
          <w:p>
            <w:pPr>
              <w:pStyle w:val="Compact"/>
            </w:pPr>
            <w:r>
              <w:t xml:space="preserve">$56.000</w:t>
            </w:r>
          </w:p>
        </w:tc>
        <w:tc>
          <w:tcPr/>
          <w:p>
            <w:pPr>
              <w:pStyle w:val="Compact"/>
              <w:jc w:val="left"/>
            </w:pPr>
            <w:r>
              <w:t xml:space="preserve">Restrições de pagadores e concorrência</w:t>
            </w:r>
          </w:p>
        </w:tc>
      </w:tr>
      <w:tr>
        <w:tc>
          <w:tcPr/>
          <w:p>
            <w:pPr>
              <w:pStyle w:val="Compact"/>
              <w:jc w:val="left"/>
            </w:pPr>
            <w:r>
              <w:t xml:space="preserve">Custo anual de manufatura/distribuição</w:t>
            </w:r>
          </w:p>
        </w:tc>
        <w:tc>
          <w:tcPr/>
          <w:p>
            <w:pPr>
              <w:pStyle w:val="Compact"/>
            </w:pPr>
            <w:r>
              <w:t xml:space="preserve">$7.800</w:t>
            </w:r>
          </w:p>
        </w:tc>
        <w:tc>
          <w:tcPr/>
          <w:p>
            <w:pPr>
              <w:pStyle w:val="Compact"/>
            </w:pPr>
            <w:r>
              <w:t xml:space="preserve">$8.600</w:t>
            </w:r>
          </w:p>
        </w:tc>
        <w:tc>
          <w:tcPr/>
          <w:p>
            <w:pPr>
              <w:pStyle w:val="Compact"/>
              <w:jc w:val="left"/>
            </w:pPr>
            <w:r>
              <w:t xml:space="preserve">Escala, refrigeração, desperdício</w:t>
            </w:r>
          </w:p>
        </w:tc>
      </w:tr>
      <w:tr>
        <w:tc>
          <w:tcPr/>
          <w:p>
            <w:pPr>
              <w:pStyle w:val="Compact"/>
              <w:jc w:val="left"/>
            </w:pPr>
            <w:r>
              <w:t xml:space="preserve">Tempo até o mercado a partir da decisão atua</w:t>
            </w:r>
          </w:p>
        </w:tc>
        <w:tc>
          <w:tcPr/>
          <w:p>
            <w:pPr>
              <w:pStyle w:val="Compact"/>
            </w:pPr>
            <w:r>
              <w:t xml:space="preserve">l 4,5-5,5 anos</w:t>
            </w:r>
          </w:p>
        </w:tc>
        <w:tc>
          <w:tcPr/>
          <w:p>
            <w:pPr>
              <w:pStyle w:val="Compact"/>
            </w:pPr>
            <w:r>
              <w:t xml:space="preserve">4,0-5,0 anos</w:t>
            </w:r>
          </w:p>
        </w:tc>
        <w:tc>
          <w:tcPr/>
          <w:p>
            <w:pPr>
              <w:pStyle w:val="Compact"/>
              <w:jc w:val="left"/>
            </w:pPr>
            <w:r>
              <w:t xml:space="preserve">Resultado do ensaio e revisão regulatória</w:t>
            </w:r>
          </w:p>
        </w:tc>
      </w:tr>
      <w:tr>
        <w:tc>
          <w:tcPr/>
          <w:p>
            <w:pPr>
              <w:pStyle w:val="Compact"/>
              <w:jc w:val="left"/>
            </w:pPr>
            <w:r>
              <w:t xml:space="preserve">Vida útil efetiva restante da patente no lan</w:t>
            </w:r>
          </w:p>
        </w:tc>
        <w:tc>
          <w:tcPr/>
          <w:p>
            <w:pPr>
              <w:pStyle w:val="Compact"/>
            </w:pPr>
            <w:r>
              <w:t xml:space="preserve">çamento 7-9 anos</w:t>
            </w:r>
          </w:p>
        </w:tc>
        <w:tc>
          <w:tcPr/>
          <w:p>
            <w:pPr>
              <w:pStyle w:val="Compact"/>
            </w:pPr>
            <w:r>
              <w:t xml:space="preserve">8-10 anos</w:t>
            </w:r>
          </w:p>
        </w:tc>
        <w:tc>
          <w:tcPr/>
          <w:p>
            <w:pPr>
              <w:pStyle w:val="Compact"/>
              <w:jc w:val="left"/>
            </w:pPr>
            <w:r>
              <w:t xml:space="preserve">Atrasos e contestações de patente</w:t>
            </w:r>
          </w:p>
        </w:tc>
      </w:tr>
    </w:tbl>
    <w:bookmarkEnd w:id="16"/>
    <w:bookmarkEnd w:id="17"/>
    <w:bookmarkStart w:id="19" w:name="a-restrição-de-capital"/>
    <w:p>
      <w:pPr>
        <w:pStyle w:val="Heading1"/>
      </w:pPr>
      <w:r>
        <w:t xml:space="preserve">A Restrição de Capital</w:t>
      </w:r>
    </w:p>
    <w:p>
      <w:pPr>
        <w:pStyle w:val="FirstParagraph"/>
      </w:pPr>
      <w:r>
        <w:t xml:space="preserve">A Crestline tinha $186 milhões em caixa e títulos negociáveis. Compromissos existentes para o CLN-47, o segundo composto, operações corporativas, e serviço da dívida consumiriam aproximadamente $91 milhões nos próximos dezoito meses. Levantar novo capital acionário era possível, mas o preço das ações da empresa havia caído 37 por cento depois que o atraso no recrutamento foi divulgado. Uma parceria com uma empresa farmacêutica maior poderia fornecer capital e expertise em gestão de ensaios, mas parceiros potenciais queriam revisar os dados interinos e poderiam exigir controle sobre o desenvolvimento futuro e a precificação.</w:t>
      </w:r>
    </w:p>
    <w:p>
      <w:pPr>
        <w:pStyle w:val="BodyText"/>
      </w:pPr>
      <w:r>
        <w:t xml:space="preserve">A diretora financeira argumentou que a Crestline não poderia tratar cada questão científica como algo que exige outro estudo. O chefe de pesquisa respondeu que encerrar um programa depois de uma análise interina inconclusiva favoreceria sistematicamente tratamentos com efeitos rápidos e óbvios e abandonaria terapias que exigissem melhor seleção de pacientes. A chefe comercial acreditava que um produto definido por biomarcador poderia obter maior interesse dos médicos. O chefe de operações clínicas alertou que uma população mais estreita poderia ser mais difícil, não mais fácil, de recrutar.</w:t>
      </w:r>
    </w:p>
    <w:bookmarkStart w:id="18" w:name="X5857ca80a400911f617a9d000608f2aa2005f1e"/>
    <w:p>
      <w:pPr>
        <w:pStyle w:val="Heading2"/>
      </w:pPr>
      <w:r>
        <w:t xml:space="preserve">Exibição 5. Perspectiva de Caixa para Dezoito Meses</w:t>
      </w:r>
    </w:p>
    <w:tbl>
      <w:tblPr>
        <w:tblStyle w:val="Table"/>
        <w:tblW w:type="pct" w:w="4907"/>
        <w:tblLayout w:type="fixed"/>
        <w:tblLook w:firstRow="1" w:lastRow="0" w:firstColumn="0" w:lastColumn="0" w:noHBand="0" w:noVBand="0" w:val="0020"/>
      </w:tblPr>
      <w:tblGrid>
        <w:gridCol w:w="2346"/>
        <w:gridCol w:w="1760"/>
        <w:gridCol w:w="2053"/>
        <w:gridCol w:w="1613"/>
      </w:tblGrid>
      <w:tr>
        <w:trPr>
          <w:tblHeader w:val="on"/>
        </w:trPr>
        <w:tc>
          <w:tcPr/>
          <w:p>
            <w:pPr>
              <w:pStyle w:val="Compact"/>
              <w:jc w:val="left"/>
            </w:pPr>
            <w:r>
              <w:t xml:space="preserve">Uso do caixa</w:t>
            </w:r>
          </w:p>
        </w:tc>
        <w:tc>
          <w:tcPr/>
          <w:p>
            <w:pPr>
              <w:pStyle w:val="Compact"/>
              <w:jc w:val="right"/>
            </w:pPr>
            <w:r>
              <w:t xml:space="preserve">Comprometido / plano ba</w:t>
            </w:r>
          </w:p>
        </w:tc>
        <w:tc>
          <w:tcPr/>
          <w:p>
            <w:pPr>
              <w:pStyle w:val="Compact"/>
            </w:pPr>
            <w:r>
              <w:t xml:space="preserve">se Conclusão do ensaio ori</w:t>
            </w:r>
          </w:p>
        </w:tc>
        <w:tc>
          <w:tcPr/>
          <w:p>
            <w:pPr>
              <w:pStyle w:val="Compact"/>
            </w:pPr>
            <w:r>
              <w:t xml:space="preserve">ginal Expansão do biomarcador</w:t>
            </w:r>
          </w:p>
        </w:tc>
      </w:tr>
      <w:tr>
        <w:tc>
          <w:tcPr/>
          <w:p>
            <w:pPr>
              <w:pStyle w:val="Compact"/>
              <w:jc w:val="left"/>
            </w:pPr>
            <w:r>
              <w:t xml:space="preserve">Operações corporativas e dívida</w:t>
            </w:r>
          </w:p>
        </w:tc>
        <w:tc>
          <w:tcPr/>
          <w:p>
            <w:pPr>
              <w:pStyle w:val="Compact"/>
              <w:jc w:val="right"/>
            </w:pPr>
            <w:r>
              <w:t xml:space="preserve">$49 milhões</w:t>
            </w:r>
          </w:p>
        </w:tc>
        <w:tc>
          <w:tcPr/>
          <w:p>
            <w:pPr>
              <w:pStyle w:val="Compact"/>
            </w:pPr>
            <w:r>
              <w:t xml:space="preserve">$49 milhões</w:t>
            </w:r>
          </w:p>
        </w:tc>
        <w:tc>
          <w:tcPr/>
          <w:p>
            <w:pPr>
              <w:pStyle w:val="Compact"/>
            </w:pPr>
            <w:r>
              <w:t xml:space="preserve">$49 milhões</w:t>
            </w:r>
          </w:p>
        </w:tc>
      </w:tr>
      <w:tr>
        <w:tc>
          <w:tcPr/>
          <w:p>
            <w:pPr>
              <w:pStyle w:val="Compact"/>
              <w:jc w:val="left"/>
            </w:pPr>
            <w:r>
              <w:t xml:space="preserve">Obrigações atuais do CLN-47</w:t>
            </w:r>
          </w:p>
        </w:tc>
        <w:tc>
          <w:tcPr/>
          <w:p>
            <w:pPr>
              <w:pStyle w:val="Compact"/>
              <w:jc w:val="right"/>
            </w:pPr>
            <w:r>
              <w:t xml:space="preserve">$35 milhões</w:t>
            </w:r>
          </w:p>
        </w:tc>
        <w:tc>
          <w:tcPr/>
          <w:p>
            <w:pPr>
              <w:pStyle w:val="Compact"/>
            </w:pPr>
            <w:r>
              <w:t xml:space="preserve">$35 milhões</w:t>
            </w:r>
          </w:p>
        </w:tc>
        <w:tc>
          <w:tcPr/>
          <w:p>
            <w:pPr>
              <w:pStyle w:val="Compact"/>
            </w:pPr>
            <w:r>
              <w:t xml:space="preserve">$35 milhões</w:t>
            </w:r>
          </w:p>
        </w:tc>
      </w:tr>
      <w:tr>
        <w:tc>
          <w:tcPr/>
          <w:p>
            <w:pPr>
              <w:pStyle w:val="Compact"/>
              <w:jc w:val="left"/>
            </w:pPr>
            <w:r>
              <w:t xml:space="preserve">Programa adicional do CLN-47</w:t>
            </w:r>
          </w:p>
        </w:tc>
        <w:tc>
          <w:tcPr/>
          <w:p>
            <w:pPr>
              <w:pStyle w:val="Compact"/>
              <w:jc w:val="right"/>
            </w:pPr>
            <w:r>
              <w:t xml:space="preserve">$0</w:t>
            </w:r>
          </w:p>
        </w:tc>
        <w:tc>
          <w:tcPr/>
          <w:p>
            <w:pPr>
              <w:pStyle w:val="Compact"/>
            </w:pPr>
            <w:r>
              <w:t xml:space="preserve">$23 milhões</w:t>
            </w:r>
          </w:p>
        </w:tc>
        <w:tc>
          <w:tcPr/>
          <w:p>
            <w:pPr>
              <w:pStyle w:val="Compact"/>
            </w:pPr>
            <w:r>
              <w:t xml:space="preserve">$38 milhões</w:t>
            </w:r>
          </w:p>
        </w:tc>
      </w:tr>
      <w:tr>
        <w:tc>
          <w:tcPr/>
          <w:p>
            <w:pPr>
              <w:pStyle w:val="Compact"/>
              <w:jc w:val="left"/>
            </w:pPr>
            <w:r>
              <w:t xml:space="preserve">Segundo composto de desenvolvime</w:t>
            </w:r>
          </w:p>
        </w:tc>
        <w:tc>
          <w:tcPr/>
          <w:p>
            <w:pPr>
              <w:pStyle w:val="Compact"/>
              <w:jc w:val="right"/>
            </w:pPr>
            <w:r>
              <w:t xml:space="preserve">nto $31 milhões</w:t>
            </w:r>
          </w:p>
        </w:tc>
        <w:tc>
          <w:tcPr/>
          <w:p>
            <w:pPr>
              <w:pStyle w:val="Compact"/>
            </w:pPr>
            <w:r>
              <w:t xml:space="preserve">$31 milhões</w:t>
            </w:r>
          </w:p>
        </w:tc>
        <w:tc>
          <w:tcPr/>
          <w:p>
            <w:pPr>
              <w:pStyle w:val="Compact"/>
            </w:pPr>
            <w:r>
              <w:t xml:space="preserve">$31 milhões</w:t>
            </w:r>
          </w:p>
        </w:tc>
      </w:tr>
      <w:tr>
        <w:tc>
          <w:tcPr/>
          <w:p>
            <w:pPr>
              <w:pStyle w:val="Compact"/>
              <w:jc w:val="left"/>
            </w:pPr>
            <w:r>
              <w:t xml:space="preserve">Reserva de manufatura</w:t>
            </w:r>
          </w:p>
        </w:tc>
        <w:tc>
          <w:tcPr/>
          <w:p>
            <w:pPr>
              <w:pStyle w:val="Compact"/>
              <w:jc w:val="right"/>
            </w:pPr>
            <w:r>
              <w:t xml:space="preserve">$0</w:t>
            </w:r>
          </w:p>
        </w:tc>
        <w:tc>
          <w:tcPr/>
          <w:p>
            <w:pPr>
              <w:pStyle w:val="Compact"/>
            </w:pPr>
            <w:r>
              <w:t xml:space="preserve">$14 milhões</w:t>
            </w:r>
          </w:p>
        </w:tc>
        <w:tc>
          <w:tcPr/>
          <w:p>
            <w:pPr>
              <w:pStyle w:val="Compact"/>
            </w:pPr>
            <w:r>
              <w:t xml:space="preserve">$14 milhões</w:t>
            </w:r>
          </w:p>
        </w:tc>
      </w:tr>
      <w:tr>
        <w:tc>
          <w:tcPr/>
          <w:p>
            <w:pPr>
              <w:pStyle w:val="Compact"/>
              <w:jc w:val="left"/>
            </w:pPr>
            <w:r>
              <w:t xml:space="preserve">Caixa final projetado</w:t>
            </w:r>
          </w:p>
        </w:tc>
        <w:tc>
          <w:tcPr/>
          <w:p>
            <w:pPr>
              <w:pStyle w:val="Compact"/>
              <w:jc w:val="right"/>
            </w:pPr>
            <w:r>
              <w:t xml:space="preserve">$71 milhões</w:t>
            </w:r>
          </w:p>
        </w:tc>
        <w:tc>
          <w:tcPr/>
          <w:p>
            <w:pPr>
              <w:pStyle w:val="Compact"/>
            </w:pPr>
            <w:r>
              <w:t xml:space="preserve">$34 milhões</w:t>
            </w:r>
          </w:p>
        </w:tc>
        <w:tc>
          <w:tcPr/>
          <w:p>
            <w:pPr>
              <w:pStyle w:val="Compact"/>
            </w:pPr>
            <w:r>
              <w:t xml:space="preserve">$19 milhões</w:t>
            </w:r>
          </w:p>
        </w:tc>
      </w:tr>
    </w:tbl>
    <w:bookmarkEnd w:id="18"/>
    <w:bookmarkEnd w:id="19"/>
    <w:bookmarkStart w:id="20" w:name="a-reunião-de-quarta-feira-da-diretoria"/>
    <w:p>
      <w:pPr>
        <w:pStyle w:val="Heading1"/>
      </w:pPr>
      <w:r>
        <w:t xml:space="preserve">A Reunião de Quarta-feira da Diretoria</w:t>
      </w:r>
    </w:p>
    <w:p>
      <w:pPr>
        <w:pStyle w:val="FirstParagraph"/>
      </w:pPr>
      <w:r>
        <w:t xml:space="preserve">Na tarde de quarta-feira, Marquez havia recebido três novas informações. Um local comunitário relatou duas elevações adicionais de enzimas hepáticas, nenhuma ainda classificada como grave. O fornecedor do laboratório disse que poderia validar um ensaio de biomarcador aprimorado em cinco meses, mas somente se a Crestline se comprometesse imediatamente com $4,2 milhões. Um concorrente anunciou que seu ensaio de Fase III recrutaria 620 pacientes e usaria sobrevida livre de hospitalização em vez de função pulmonar como desfecho primário.</w:t>
      </w:r>
    </w:p>
    <w:p>
      <w:pPr>
        <w:pStyle w:val="BodyText"/>
      </w:pPr>
      <w:r>
        <w:t xml:space="preserve">O anúncio do concorrente poderia significar que médicos e hospitais teriam ainda menos capacidade para o ensaio da Crestline. Também poderia validar o interesse de investidores na doença. Ninguém sabia se o tratamento concorrente se provaria mais seguro ou mais eficaz, se chegaria ao mercado primeiro, ou se seu desenho de ensaio influenciaria as expectativas dos reguladores para o CLN-47.</w:t>
      </w:r>
    </w:p>
    <w:p>
      <w:pPr>
        <w:pStyle w:val="BodyText"/>
      </w:pPr>
      <w:r>
        <w:t xml:space="preserve">Marquez precisava recomendar um caminho naquela noite. A diretoria gostaria de saber se as evidências atuais justificavam a exposição contínua de pacientes e capital, quais informações adicionais mudariam materialmente a decisão, e com que rapidez essas informações poderiam ser obtidas. Também perguntaria se a Crestline deveria preservar uma ambição de tratamento amplo, focar nos pacientes que pareciam mais propensos a se beneficiar, buscar um parceiro, ou direcionar seus recursos restantes para outro lugar.</w:t>
      </w:r>
    </w:p>
    <w:p>
      <w:pPr>
        <w:pStyle w:val="BodyText"/>
      </w:pPr>
      <w:r>
        <w:t xml:space="preserve">Nenhuma opção protegia todos os objetivos. Expandir o estudo poderia revelar um tratamento clinicamente importante, mas poderia consumir o caixa da empresa antes que o resultado fosse conhecido. Iniciar o planejamento da Fase III poderia preservar tempo e capacidade de manufatura, mas ampliar as consequências de uma interpretação equivocada. Pausar poderia permitir que o ensaio e a estratégia regulatória amadurecessem, mas locais, pacientes, funcionários, e investidores poderiam não esperar. O encerramento forneceria clareza financeira ao mesmo tempo em que fecharia a possibilidade de que os dados desiguais contivessem um sinal terapêutico real.</w:t>
      </w:r>
    </w:p>
    <w:bookmarkEnd w:id="20"/>
    <w:bookmarkStart w:id="21" w:name="questões-de-discussão"/>
    <w:p>
      <w:pPr>
        <w:pStyle w:val="Heading1"/>
      </w:pPr>
      <w:r>
        <w:t xml:space="preserve">Questões de Discussão</w:t>
      </w:r>
    </w:p>
    <w:p>
      <w:pPr>
        <w:numPr>
          <w:ilvl w:val="0"/>
          <w:numId w:val="1001"/>
        </w:numPr>
      </w:pPr>
      <w:r>
        <w:t xml:space="preserve">Qual é o problema central enfrentado por Marquez e pela Crestline Biotherapeutics?</w:t>
      </w:r>
    </w:p>
    <w:p>
      <w:pPr>
        <w:numPr>
          <w:ilvl w:val="0"/>
          <w:numId w:val="1001"/>
        </w:numPr>
      </w:pPr>
      <w:r>
        <w:t xml:space="preserve">Como a empresa deveria interpretar o resultado médio do ensaio e a resposta mais forte no subgrupo biomarcador-positivo?</w:t>
      </w:r>
    </w:p>
    <w:p>
      <w:pPr>
        <w:numPr>
          <w:ilvl w:val="0"/>
          <w:numId w:val="1001"/>
        </w:numPr>
      </w:pPr>
      <w:r>
        <w:t xml:space="preserve">Qual informação adicional seria mais valiosa antes de se comprometer com outro grande estudo?</w:t>
      </w:r>
    </w:p>
    <w:p>
      <w:pPr>
        <w:numPr>
          <w:ilvl w:val="0"/>
          <w:numId w:val="1001"/>
        </w:numPr>
      </w:pPr>
      <w:r>
        <w:t xml:space="preserve">A Crestline deveria completar o protocolo original de Fase II, redesenhá-lo, ou avançar para a Fase III? Por quê?</w:t>
      </w:r>
    </w:p>
    <w:p>
      <w:pPr>
        <w:numPr>
          <w:ilvl w:val="0"/>
          <w:numId w:val="1001"/>
        </w:numPr>
      </w:pPr>
      <w:r>
        <w:t xml:space="preserve">Como as preocupações de segurança dos pacientes deveriam ser equilibradas contra a necessidade não atendida e a possibilidade de benefício?</w:t>
      </w:r>
    </w:p>
    <w:p>
      <w:pPr>
        <w:numPr>
          <w:ilvl w:val="0"/>
          <w:numId w:val="1001"/>
        </w:numPr>
      </w:pPr>
      <w:r>
        <w:t xml:space="preserve">Que mudanças na seleção de locais, recrutamento de pacientes, desenho de visitas, e reembolso poderiam melhorar o recrutamento sem enfraquecer a qualidade dos dados?</w:t>
      </w:r>
    </w:p>
    <w:p>
      <w:pPr>
        <w:numPr>
          <w:ilvl w:val="0"/>
          <w:numId w:val="1001"/>
        </w:numPr>
      </w:pPr>
      <w:r>
        <w:t xml:space="preserve">A Crestline deveria reservar capacidade de manufatura antes de ter resolvido as questões clínicas?</w:t>
      </w:r>
    </w:p>
    <w:p>
      <w:pPr>
        <w:numPr>
          <w:ilvl w:val="0"/>
          <w:numId w:val="1001"/>
        </w:numPr>
      </w:pPr>
      <w:r>
        <w:t xml:space="preserve">Como a vida útil da patente, a atividade concorrente, a aceitação médica, a precificação, e os requisitos de manufatura deveriam afetar a decisão de desenvolvimento?</w:t>
      </w:r>
    </w:p>
    <w:p>
      <w:pPr>
        <w:numPr>
          <w:ilvl w:val="0"/>
          <w:numId w:val="1001"/>
        </w:numPr>
      </w:pPr>
      <w:r>
        <w:t xml:space="preserve">Uma parceria melhoraria o programa, ou transferiria valor futuro e controle demais?</w:t>
      </w:r>
    </w:p>
    <w:p>
      <w:pPr>
        <w:numPr>
          <w:ilvl w:val="0"/>
          <w:numId w:val="1001"/>
        </w:numPr>
      </w:pPr>
      <w:r>
        <w:t xml:space="preserve">Sob quais achados futuros a Crestline deveria continuar, restringir, pausar, ou encerrar o CLN-47?</w:t>
      </w:r>
    </w:p>
    <w:bookmarkEnd w:id="21"/>
    <w:bookmarkStart w:id="27" w:name="questões-de-enquadramento-da-decisão"/>
    <w:p>
      <w:pPr>
        <w:pStyle w:val="Heading1"/>
      </w:pPr>
      <w:r>
        <w:t xml:space="preserve">Questões de Enquadramento da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22">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é uma métrica a ser maximizada (verde), minimizada (vermelho), uma meta que é um piso (verde claro) ou um teto (vermelho claro), ou finalmente um alvo (roxo).</w:t>
      </w:r>
    </w:p>
    <w:p>
      <w:pPr>
        <w:numPr>
          <w:ilvl w:val="0"/>
          <w:numId w:val="1002"/>
        </w:numPr>
      </w:pPr>
      <w:r>
        <w:t xml:space="preserve">Use a</w:t>
      </w:r>
      <w:r>
        <w:t xml:space="preserve"> </w:t>
      </w:r>
      <w:hyperlink r:id="rId23">
        <w:r>
          <w:rPr>
            <w:rStyle w:val="Hyperlink"/>
          </w:rPr>
          <w:t xml:space="preserve">ferramenta de priorização de decisões</w:t>
        </w:r>
      </w:hyperlink>
      <w:r>
        <w:t xml:space="preserve"> </w:t>
      </w:r>
      <w:r>
        <w:t xml:space="preserve">para primeiro listar os diferentes tipos de decisões (use os</w:t>
      </w:r>
      <w:r>
        <w:t xml:space="preserve"> </w:t>
      </w:r>
      <w:hyperlink r:id="rId24">
        <w:r>
          <w:rPr>
            <w:rStyle w:val="Hyperlink"/>
          </w:rPr>
          <w:t xml:space="preserve">tipos de decisões</w:t>
        </w:r>
      </w:hyperlink>
      <w:r>
        <w:t xml:space="preserve"> </w:t>
      </w:r>
      <w:r>
        <w:t xml:space="preserve">como guia). Elas então preencherão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segurar a alça (três barras) mais à esquerda em cada linha para movê-la para cima ou para baixo. Ordene as linhas de forma que as decisões com maior impacto nas métricas mais importantes fiquem em direção ao topo. As células no canto superior esquerdo devem ter a maior concentração de células vermelhas e laranjas. Neste ponto, identifique as decisões que deveriam receber mais atenção em seu estudo. Se você não tiver decisões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5">
        <w:r>
          <w:rPr>
            <w:rStyle w:val="Hyperlink"/>
          </w:rPr>
          <w:t xml:space="preserve">ferramenta de priorização de incertezas</w:t>
        </w:r>
      </w:hyperlink>
      <w:r>
        <w:t xml:space="preserve">. Use as</w:t>
      </w:r>
      <w:r>
        <w:t xml:space="preserve"> </w:t>
      </w:r>
      <w:hyperlink r:id="rId26">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onde a decisão teria impacto alto ou médio.</w:t>
      </w:r>
    </w:p>
    <w:p>
      <w:pPr>
        <w:numPr>
          <w:ilvl w:val="0"/>
          <w:numId w:val="1002"/>
        </w:numPr>
      </w:pPr>
      <w:r>
        <w:t xml:space="preserve">Usando a mesma decisão identificada em (7), identifique as pessoas, departamentos, grupos ou organizações com os quais você precisaria trabalhar para implementar a decisão.</w:t>
      </w:r>
    </w:p>
    <w:bookmarkEnd w:id="27"/>
    <w:bookmarkStart w:id="28" w:name="nota-de-fonte"/>
    <w:p>
      <w:pPr>
        <w:pStyle w:val="Heading1"/>
      </w:pPr>
      <w:r>
        <w:t xml:space="preserve">Nota de Fonte</w:t>
      </w:r>
    </w:p>
    <w:p>
      <w:pPr>
        <w:pStyle w:val="FirstParagraph"/>
      </w:pPr>
      <w:r>
        <w:t xml:space="preserve">O fundamento conceitual para este caso é a seção</w:t>
      </w:r>
      <w:r>
        <w:t xml:space="preserve"> </w:t>
      </w:r>
      <w:r>
        <w:t xml:space="preserve">“Running clinical trials for drug testing”</w:t>
      </w:r>
      <w:r>
        <w:t xml:space="preserve"> </w:t>
      </w:r>
      <w:r>
        <w:t xml:space="preserve">de Warren B. Powell, Bridging Decision Problems, Volume I: Framing the Problem, Capítulo 2. O caso incorpora as considerações clínicas, financeiras, operacionais, regulatórias, de manufatura, de marketing, e competitivas da seção na narrativa e nas exibições sem identificá-las como categorias analíticas separadas.</w:t>
      </w:r>
    </w:p>
    <w:p>
      <w:pPr>
        <w:pStyle w:val="BodyText"/>
      </w:pPr>
      <w:r>
        <w:t xml:space="preserve">Informações públicas usadas para motivar o cenário incluem descrições do FDA de ensaios de Fase III como comumente envolvendo aproximadamente 300 a 3.000 participantes e fornecendo grande parte da evidência de segurança usada para revisão; pesquisa publicada relatando que atrasos no recrutamento são generalizados, que ensaios concluídos em uma grande análise tiveram um atraso mediano de 12,2 meses, e que 21,5 por cento dos ensaios nessa amostra foram descontinuados; uma análise de 2025 estimando uma probabilidade média de primeira aprovação de 14,3 por cento entre grandes empresas farmacêuticas baseadas em pesquisa; e estimativas do setor de que o desenvolvimento de um novo medicamento comumente leva de 10 a 15 anos e custa aproximadamente $2,6 bilhões quando programas malsucedidos são incluídos. As estimativas diferem por área terapêutica, desenho de estudo, patrocinador, e metodologia. Todos os dados, pessoas, compostos, resultados, orçamentos, e eventos da Crestline são fictícios.</w:t>
      </w:r>
    </w:p>
    <w:bookmarkEnd w:id="28"/>
    <w:bookmarkStart w:id="31" w:name="notas-do-chatgpt"/>
    <w:p>
      <w:pPr>
        <w:pStyle w:val="Heading1"/>
      </w:pPr>
      <w:r>
        <w:t xml:space="preserve">Notas do ChatGPT</w:t>
      </w:r>
    </w:p>
    <w:bookmarkStart w:id="29" w:name="prompt"/>
    <w:p>
      <w:pPr>
        <w:pStyle w:val="Heading2"/>
      </w:pPr>
      <w:r>
        <w:t xml:space="preserve">Prompt</w:t>
      </w:r>
    </w:p>
    <w:p>
      <w:pPr>
        <w:pStyle w:val="FirstParagraph"/>
      </w:pPr>
      <w:r>
        <w:t xml:space="preserve">Escreva um estudo de caso de 4-6 páginas baseado no material da seção em https://warrenpowell.org/bridging-vol1/chapter-2/#clinicaltrials. Crie um contexto baseado nas métricas, decisões e incertezas na seção, mas sem chamar atenção explicitamente para elas. Motive seu problema de caso com dados.</w:t>
      </w:r>
    </w:p>
    <w:bookmarkEnd w:id="29"/>
    <w:bookmarkStart w:id="30" w:name="resumo"/>
    <w:p>
      <w:pPr>
        <w:pStyle w:val="Heading2"/>
      </w:pPr>
      <w:r>
        <w:t xml:space="preserve">Resumo</w:t>
      </w:r>
    </w:p>
    <w:p>
      <w:pPr>
        <w:pStyle w:val="FirstParagraph"/>
      </w:pPr>
      <w:r>
        <w:t xml:space="preserve">O caso acompanha uma empresa de biotecnologia decidindo se expande, redesenha, pausa, avança, ou encerra um ensaio de Fase II depois de receber resultados promissores mas inconclusivos. Ele incorpora:</w:t>
      </w:r>
    </w:p>
    <w:p>
      <w:pPr>
        <w:numPr>
          <w:ilvl w:val="0"/>
          <w:numId w:val="1005"/>
        </w:numPr>
      </w:pPr>
      <w:r>
        <w:t xml:space="preserve">Recrutamento de pacientes e seleção de locais de ensaio</w:t>
      </w:r>
    </w:p>
    <w:p>
      <w:pPr>
        <w:numPr>
          <w:ilvl w:val="0"/>
          <w:numId w:val="1005"/>
        </w:numPr>
      </w:pPr>
      <w:r>
        <w:t xml:space="preserve">Eficácia do tratamento e resposta de subgrupo</w:t>
      </w:r>
    </w:p>
    <w:p>
      <w:pPr>
        <w:numPr>
          <w:ilvl w:val="0"/>
          <w:numId w:val="1005"/>
        </w:numPr>
      </w:pPr>
      <w:r>
        <w:t xml:space="preserve">Sinais de segurança e seleção de dose</w:t>
      </w:r>
    </w:p>
    <w:p>
      <w:pPr>
        <w:numPr>
          <w:ilvl w:val="0"/>
          <w:numId w:val="1005"/>
        </w:numPr>
      </w:pPr>
      <w:r>
        <w:t xml:space="preserve">Requisitos regulatórios</w:t>
      </w:r>
    </w:p>
    <w:p>
      <w:pPr>
        <w:numPr>
          <w:ilvl w:val="0"/>
          <w:numId w:val="1005"/>
        </w:numPr>
      </w:pPr>
      <w:r>
        <w:t xml:space="preserve">Capacidade de manufatura e necessidades de refrigeração</w:t>
      </w:r>
    </w:p>
    <w:p>
      <w:pPr>
        <w:numPr>
          <w:ilvl w:val="0"/>
          <w:numId w:val="1005"/>
        </w:numPr>
      </w:pPr>
      <w:r>
        <w:t xml:space="preserve">Pressão de vida útil de patente</w:t>
      </w:r>
    </w:p>
    <w:p>
      <w:pPr>
        <w:numPr>
          <w:ilvl w:val="0"/>
          <w:numId w:val="1005"/>
        </w:numPr>
      </w:pPr>
      <w:r>
        <w:t xml:space="preserve">Atividade concorrente</w:t>
      </w:r>
    </w:p>
    <w:p>
      <w:pPr>
        <w:numPr>
          <w:ilvl w:val="0"/>
          <w:numId w:val="1005"/>
        </w:numPr>
      </w:pPr>
      <w:r>
        <w:t xml:space="preserve">Aceitação médica, precificação, e potencial comercial</w:t>
      </w:r>
    </w:p>
    <w:p>
      <w:pPr>
        <w:numPr>
          <w:ilvl w:val="0"/>
          <w:numId w:val="1005"/>
        </w:numPr>
      </w:pPr>
      <w:r>
        <w:t xml:space="preserve">Restrições de capital e alternativas de parceria</w:t>
      </w:r>
    </w:p>
    <w:p>
      <w:pPr>
        <w:numPr>
          <w:ilvl w:val="0"/>
          <w:numId w:val="1005"/>
        </w:numPr>
      </w:pPr>
      <w:r>
        <w:t xml:space="preserve">Cinco exibições quantitativas e dez questões de discussão</w:t>
      </w:r>
    </w:p>
    <w:p>
      <w:pPr>
        <w:pStyle w:val="FirstParagraph"/>
      </w:pPr>
      <w:r>
        <w:t xml:space="preserve">O cenário é motivado pela orientação do FDA de que estudos de Fase III frequentemente envolvem aproximadamente 300-3.000 participantes, evidências publicadas de que ensaios concluídos podem experimentar atrasos medianos de cerca de 12 meses, e pesquisas estimando que apenas uma minoria dos compostos que entram em ensaios humanos eventualmente obtêm aprovação.</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2026-09-11T16:39:24Z</dcterms:created>
  <dcterms:modified xsi:type="dcterms:W3CDTF">2026-09-11T16:39:24Z</dcterms:modified>
</cp:coreProperties>
</file>

<file path=docProps/custom.xml><?xml version="1.0" encoding="utf-8"?>
<Properties xmlns="http://schemas.openxmlformats.org/officeDocument/2006/custom-properties" xmlns:vt="http://schemas.openxmlformats.org/officeDocument/2006/docPropsVTypes"/>
</file>