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Dinâmica de Despacho:</w:t>
      </w:r>
    </w:p>
    <w:p>
      <w:pPr>
        <w:pStyle w:val="BodyText"/>
      </w:pPr>
      <w:r>
        <w:t xml:space="preserve">A Lacuna de Recomendação</w:t>
      </w:r>
    </w:p>
    <w:p>
      <w:pPr>
        <w:pStyle w:val="BodyText"/>
      </w:pPr>
      <w:r>
        <w:t xml:space="preserve">Uma empresa de automação de decisões enfrenta a última milha da implementação</w:t>
      </w:r>
    </w:p>
    <w:p>
      <w:pPr>
        <w:pStyle w:val="BodyText"/>
      </w:pPr>
      <w:r>
        <w:rPr>
          <w:b/>
          <w:bCs/>
        </w:rPr>
        <w:t xml:space="preserve">A Revisão de Segunda-feira</w:t>
      </w:r>
    </w:p>
    <w:p>
      <w:pPr>
        <w:pStyle w:val="BodyText"/>
      </w:pPr>
      <w:r>
        <w:t xml:space="preserve">Às 7h15 de uma segunda-feira, Maya Chen, diretora de clientes da Dispatch Dynamics, estudava um painel que parecia contradizer a narrativa de vendas da empresa. A empresa de software havia concluído doze implementações de sua plataforma de despacho de caminhões-carreta (truckload). Vários clientes relataram ganhos significativos em receita por trator, milhas carregadas, produtividade de planejamento e consistência de rede. No entanto, em todo o portfólio, apenas 43 por cento das recomendações elegíveis de motorista estavam sendo seguidas sem modificação material.</w:t>
      </w:r>
    </w:p>
    <w:p>
      <w:pPr>
        <w:pStyle w:val="BodyText"/>
      </w:pPr>
      <w:r>
        <w:t xml:space="preserve">O número era preocupante porque o sistema não se limitava a exibir previsões. A cada poucos minutos, ele avaliava motoristas disponíveis, cargas comprometidas, frete previsto, escalas de motoristas, requisitos de tempo em casa, restrições de equipamento e incerteza da rede. Em seguida, recomendava o que cada motorista deveria fazer a seguir. A equipe de produto acreditava que o uso mais amplo dessas recomendações era essencial: decisões locais que pareciam sensatas isoladamente poderiam reduzir opções futuras em outros pontos da rede.</w:t>
      </w:r>
    </w:p>
    <w:p>
      <w:pPr>
        <w:pStyle w:val="BodyText"/>
      </w:pPr>
      <w:r>
        <w:t xml:space="preserve">Mas a métrica de adoção ocultava tanto quanto revelava. Um cliente seguiu 82 por cento das recomendações e havia melhorado a receita por trator. Outro seguiu apenas 31 por cento, mas insistia que os despachantes estavam protegendo compromissos de serviço que o software não compreendia. Um terceiro parecia ter alta adoção, mas uma auditoria constatou que os planejadores estavam alterando dados de motoristas e cargas antes de as recomendações serem geradas, direcionando efetivamente a resposta enquanto preservavam a aparência de conformidade.</w:t>
      </w:r>
    </w:p>
    <w:p>
      <w:pPr>
        <w:pStyle w:val="BodyText"/>
      </w:pPr>
      <w:r>
        <w:t xml:space="preserve">Chen havia sido incumbida de propor uma resposta em nível de empresa na reunião operacional trimestral, em três semanas. A Dispatch Dynamics poderia investir em melhores explicações do produto, suporte de implementação mais intensivo, pesquisa formal sobre comportamento do usuário, diagnósticos de dados aprimorados ou redesenho do fluxo de trabalho de despacho. Também poderia concluir que a baixa adesão às vezes era racional e que o produto precisava aprender mais com as substituições (overrides). As evidências não apontavam claramente em uma única direção.</w:t>
      </w:r>
    </w:p>
    <w:bookmarkStart w:id="9" w:name="o-produto-e-sua-promessa"/>
    <w:p>
      <w:pPr>
        <w:pStyle w:val="Heading1"/>
      </w:pPr>
      <w:r>
        <w:t xml:space="preserve">O Produto e Sua Promessa</w:t>
      </w:r>
    </w:p>
    <w:p>
      <w:pPr>
        <w:pStyle w:val="FirstParagraph"/>
      </w:pPr>
      <w:r>
        <w:t xml:space="preserve">A Dispatch Dynamics vendia software de automação de decisões para transportadoras truckload de médio e grande porte. A plataforma gerava recomendações de aceitação de carga e despacho de motoristas, levando em conta consequências futuras. Sua afirmação central era que um planejador não deveria avaliar um pareamento motorista-carga apenas por sua receita imediata ou milhas vazias. O pareamento também alterava onde o motorista seria posicionado, quais cargas futuras permaneceriam viáveis, se compromissos de tempo em casa poderiam ser cumpridos e como a capacidade escassa seria distribuída pela rede.</w:t>
      </w:r>
    </w:p>
    <w:p>
      <w:pPr>
        <w:pStyle w:val="BodyText"/>
      </w:pPr>
      <w:r>
        <w:t xml:space="preserve">Implementações bem-sucedidas haviam mudado o papel dos despachantes. Em vez de buscar manualmente em cada atribuição viável, os usuários monitoravam recomendações, tratavam exceções, comunicavam-se com motoristas e clientes, e corrigiam informações ausentes. Nos sites de clientes mais fortes, a gerência descreveu a transição como uma mudança de modelo operacional, e não uma instalação de software. Nos sites mais fracos, o novo sistema havia sido inserido ao lado de planilhas existentes, cadeias de mensagens e regras informais.</w:t>
      </w:r>
    </w:p>
    <w:p>
      <w:pPr>
        <w:pStyle w:val="BodyText"/>
      </w:pPr>
      <w:r>
        <w:t xml:space="preserve">Exhibit 1. Resultados selecionados de implementação após seis meses</w:t>
      </w:r>
    </w:p>
    <w:tbl>
      <w:tblPr>
        <w:tblStyle w:val="Table"/>
        <w:tblW w:type="pct" w:w="4921"/>
        <w:tblLayout w:type="fixed"/>
        <w:tblLook w:firstRow="1" w:lastRow="0" w:firstColumn="0" w:lastColumn="0" w:noHBand="0" w:noVBand="0" w:val="0020"/>
      </w:tblPr>
      <w:tblGrid>
        <w:gridCol w:w="1320"/>
        <w:gridCol w:w="502"/>
        <w:gridCol w:w="1697"/>
        <w:gridCol w:w="1571"/>
        <w:gridCol w:w="1257"/>
        <w:gridCol w:w="1445"/>
      </w:tblGrid>
      <w:tr>
        <w:trPr>
          <w:tblHeader w:val="on"/>
        </w:trPr>
        <w:tc>
          <w:tcPr/>
          <w:p>
            <w:pPr>
              <w:pStyle w:val="Compact"/>
              <w:jc w:val="left"/>
            </w:pPr>
            <w:r>
              <w:t xml:space="preserve">Cliente</w:t>
            </w:r>
          </w:p>
        </w:tc>
        <w:tc>
          <w:tcPr/>
          <w:p>
            <w:pPr>
              <w:pStyle w:val="Compact"/>
              <w:jc w:val="center"/>
            </w:pPr>
            <w:r>
              <w:t xml:space="preserve">Frota</w:t>
            </w:r>
          </w:p>
        </w:tc>
        <w:tc>
          <w:tcPr/>
          <w:p>
            <w:pPr>
              <w:pStyle w:val="Compact"/>
              <w:jc w:val="right"/>
            </w:pPr>
            <w:r>
              <w:t xml:space="preserve">Adesão à recomendação Va</w:t>
            </w:r>
          </w:p>
        </w:tc>
        <w:tc>
          <w:tcPr/>
          <w:p>
            <w:pPr>
              <w:pStyle w:val="Compact"/>
            </w:pPr>
            <w:r>
              <w:t xml:space="preserve">riação em receita/trator</w:t>
            </w:r>
          </w:p>
        </w:tc>
        <w:tc>
          <w:tcPr/>
          <w:p>
            <w:pPr>
              <w:pStyle w:val="Compact"/>
              <w:jc w:val="right"/>
            </w:pPr>
            <w:r>
              <w:t xml:space="preserve">Variação em milhas</w:t>
            </w:r>
          </w:p>
        </w:tc>
        <w:tc>
          <w:tcPr/>
          <w:p>
            <w:pPr>
              <w:pStyle w:val="Compact"/>
              <w:jc w:val="right"/>
            </w:pPr>
            <w:r>
              <w:t xml:space="preserve">vazias Produtividade do planejador</w:t>
            </w:r>
          </w:p>
        </w:tc>
      </w:tr>
      <w:tr>
        <w:tc>
          <w:tcPr/>
          <w:p>
            <w:pPr>
              <w:pStyle w:val="Compact"/>
              <w:jc w:val="left"/>
            </w:pPr>
            <w:r>
              <w:t xml:space="preserve">Northstar Freight</w:t>
            </w:r>
          </w:p>
        </w:tc>
        <w:tc>
          <w:tcPr/>
          <w:p>
            <w:pPr>
              <w:pStyle w:val="Compact"/>
              <w:jc w:val="center"/>
            </w:pPr>
            <w:r>
              <w:t xml:space="preserve">420</w:t>
            </w:r>
          </w:p>
        </w:tc>
        <w:tc>
          <w:tcPr/>
          <w:p>
            <w:pPr>
              <w:pStyle w:val="Compact"/>
              <w:jc w:val="right"/>
            </w:pPr>
            <w:r>
              <w:t xml:space="preserve">82%</w:t>
            </w:r>
          </w:p>
        </w:tc>
        <w:tc>
          <w:tcPr/>
          <w:p>
            <w:pPr>
              <w:pStyle w:val="Compact"/>
            </w:pPr>
            <w:r>
              <w:t xml:space="preserve">+8.1%</w:t>
            </w:r>
          </w:p>
        </w:tc>
        <w:tc>
          <w:tcPr/>
          <w:p>
            <w:pPr>
              <w:pStyle w:val="Compact"/>
              <w:jc w:val="right"/>
            </w:pPr>
            <w:r>
              <w:t xml:space="preserve">-7.4%</w:t>
            </w:r>
          </w:p>
        </w:tc>
        <w:tc>
          <w:tcPr/>
          <w:p>
            <w:pPr>
              <w:pStyle w:val="Compact"/>
              <w:jc w:val="right"/>
            </w:pPr>
            <w:r>
              <w:t xml:space="preserve">+32%</w:t>
            </w:r>
          </w:p>
        </w:tc>
      </w:tr>
      <w:tr>
        <w:tc>
          <w:tcPr/>
          <w:p>
            <w:pPr>
              <w:pStyle w:val="Compact"/>
              <w:jc w:val="left"/>
            </w:pPr>
            <w:r>
              <w:t xml:space="preserve">Redwood Carriers</w:t>
            </w:r>
          </w:p>
        </w:tc>
        <w:tc>
          <w:tcPr/>
          <w:p>
            <w:pPr>
              <w:pStyle w:val="Compact"/>
              <w:jc w:val="center"/>
            </w:pPr>
            <w:r>
              <w:t xml:space="preserve">690</w:t>
            </w:r>
          </w:p>
        </w:tc>
        <w:tc>
          <w:tcPr/>
          <w:p>
            <w:pPr>
              <w:pStyle w:val="Compact"/>
              <w:jc w:val="right"/>
            </w:pPr>
            <w:r>
              <w:t xml:space="preserve">61%</w:t>
            </w:r>
          </w:p>
        </w:tc>
        <w:tc>
          <w:tcPr/>
          <w:p>
            <w:pPr>
              <w:pStyle w:val="Compact"/>
            </w:pPr>
            <w:r>
              <w:t xml:space="preserve">+3.6%</w:t>
            </w:r>
          </w:p>
        </w:tc>
        <w:tc>
          <w:tcPr/>
          <w:p>
            <w:pPr>
              <w:pStyle w:val="Compact"/>
              <w:jc w:val="right"/>
            </w:pPr>
            <w:r>
              <w:t xml:space="preserve">-2.1%</w:t>
            </w:r>
          </w:p>
        </w:tc>
        <w:tc>
          <w:tcPr/>
          <w:p>
            <w:pPr>
              <w:pStyle w:val="Compact"/>
              <w:jc w:val="right"/>
            </w:pPr>
            <w:r>
              <w:t xml:space="preserve">+18%</w:t>
            </w:r>
          </w:p>
        </w:tc>
      </w:tr>
      <w:tr>
        <w:tc>
          <w:tcPr/>
          <w:p>
            <w:pPr>
              <w:pStyle w:val="Compact"/>
              <w:jc w:val="left"/>
            </w:pPr>
            <w:r>
              <w:t xml:space="preserve">Crescent Transport</w:t>
            </w:r>
          </w:p>
        </w:tc>
        <w:tc>
          <w:tcPr/>
          <w:p>
            <w:pPr>
              <w:pStyle w:val="Compact"/>
              <w:jc w:val="center"/>
            </w:pPr>
            <w:r>
              <w:t xml:space="preserve">310</w:t>
            </w:r>
          </w:p>
        </w:tc>
        <w:tc>
          <w:tcPr/>
          <w:p>
            <w:pPr>
              <w:pStyle w:val="Compact"/>
              <w:jc w:val="right"/>
            </w:pPr>
            <w:r>
              <w:t xml:space="preserve">47%</w:t>
            </w:r>
          </w:p>
        </w:tc>
        <w:tc>
          <w:tcPr/>
          <w:p>
            <w:pPr>
              <w:pStyle w:val="Compact"/>
            </w:pPr>
            <w:r>
              <w:t xml:space="preserve">+1.2%</w:t>
            </w:r>
          </w:p>
        </w:tc>
        <w:tc>
          <w:tcPr/>
          <w:p>
            <w:pPr>
              <w:pStyle w:val="Compact"/>
              <w:jc w:val="right"/>
            </w:pPr>
            <w:r>
              <w:t xml:space="preserve">+0.8%</w:t>
            </w:r>
          </w:p>
        </w:tc>
        <w:tc>
          <w:tcPr/>
          <w:p>
            <w:pPr>
              <w:pStyle w:val="Compact"/>
              <w:jc w:val="right"/>
            </w:pPr>
            <w:r>
              <w:t xml:space="preserve">+11%</w:t>
            </w:r>
          </w:p>
        </w:tc>
      </w:tr>
      <w:tr>
        <w:tc>
          <w:tcPr/>
          <w:p>
            <w:pPr>
              <w:pStyle w:val="Compact"/>
              <w:jc w:val="left"/>
            </w:pPr>
            <w:r>
              <w:t xml:space="preserve">Pioneer Logistics</w:t>
            </w:r>
          </w:p>
        </w:tc>
        <w:tc>
          <w:tcPr/>
          <w:p>
            <w:pPr>
              <w:pStyle w:val="Compact"/>
              <w:jc w:val="center"/>
            </w:pPr>
            <w:r>
              <w:t xml:space="preserve">540</w:t>
            </w:r>
          </w:p>
        </w:tc>
        <w:tc>
          <w:tcPr/>
          <w:p>
            <w:pPr>
              <w:pStyle w:val="Compact"/>
              <w:jc w:val="right"/>
            </w:pPr>
            <w:r>
              <w:t xml:space="preserve">31%</w:t>
            </w:r>
          </w:p>
        </w:tc>
        <w:tc>
          <w:tcPr/>
          <w:p>
            <w:pPr>
              <w:pStyle w:val="Compact"/>
            </w:pPr>
            <w:r>
              <w:t xml:space="preserve">-0.4%</w:t>
            </w:r>
          </w:p>
        </w:tc>
        <w:tc>
          <w:tcPr/>
          <w:p>
            <w:pPr>
              <w:pStyle w:val="Compact"/>
              <w:jc w:val="right"/>
            </w:pPr>
            <w:r>
              <w:t xml:space="preserve">-1.7%</w:t>
            </w:r>
          </w:p>
        </w:tc>
        <w:tc>
          <w:tcPr/>
          <w:p>
            <w:pPr>
              <w:pStyle w:val="Compact"/>
              <w:jc w:val="right"/>
            </w:pPr>
            <w:r>
              <w:t xml:space="preserve">+6%</w:t>
            </w:r>
          </w:p>
        </w:tc>
      </w:tr>
      <w:tr>
        <w:tc>
          <w:tcPr/>
          <w:p>
            <w:pPr>
              <w:pStyle w:val="Compact"/>
              <w:jc w:val="left"/>
            </w:pPr>
            <w:r>
              <w:t xml:space="preserve">Summit Haulage</w:t>
            </w:r>
          </w:p>
        </w:tc>
        <w:tc>
          <w:tcPr/>
          <w:p>
            <w:pPr>
              <w:pStyle w:val="Compact"/>
              <w:jc w:val="center"/>
            </w:pPr>
            <w:r>
              <w:t xml:space="preserve">225</w:t>
            </w:r>
          </w:p>
        </w:tc>
        <w:tc>
          <w:tcPr/>
          <w:p>
            <w:pPr>
              <w:pStyle w:val="Compact"/>
              <w:jc w:val="right"/>
            </w:pPr>
            <w:r>
              <w:t xml:space="preserve">68%</w:t>
            </w:r>
          </w:p>
        </w:tc>
        <w:tc>
          <w:tcPr/>
          <w:p>
            <w:pPr>
              <w:pStyle w:val="Compact"/>
            </w:pPr>
            <w:r>
              <w:t xml:space="preserve">+5.0%</w:t>
            </w:r>
          </w:p>
        </w:tc>
        <w:tc>
          <w:tcPr/>
          <w:p>
            <w:pPr>
              <w:pStyle w:val="Compact"/>
              <w:jc w:val="right"/>
            </w:pPr>
            <w:r>
              <w:t xml:space="preserve">-5.9%</w:t>
            </w:r>
          </w:p>
        </w:tc>
        <w:tc>
          <w:tcPr/>
          <w:p>
            <w:pPr>
              <w:pStyle w:val="Compact"/>
              <w:jc w:val="right"/>
            </w:pPr>
            <w:r>
              <w:t xml:space="preserve">+24%</w:t>
            </w:r>
          </w:p>
        </w:tc>
      </w:tr>
      <w:tr>
        <w:tc>
          <w:tcPr/>
          <w:p>
            <w:pPr>
              <w:pStyle w:val="Compact"/>
              <w:jc w:val="left"/>
            </w:pPr>
            <w:r>
              <w:t xml:space="preserve">Mediana do portfólio</w:t>
            </w:r>
          </w:p>
        </w:tc>
        <w:tc>
          <w:tcPr/>
          <w:p>
            <w:pPr>
              <w:pStyle w:val="Compact"/>
              <w:jc w:val="center"/>
            </w:pPr>
            <w:r>
              <w:t xml:space="preserve">—</w:t>
            </w:r>
          </w:p>
        </w:tc>
        <w:tc>
          <w:tcPr/>
          <w:p>
            <w:pPr>
              <w:pStyle w:val="Compact"/>
              <w:jc w:val="right"/>
            </w:pPr>
            <w:r>
              <w:t xml:space="preserve">52%</w:t>
            </w:r>
          </w:p>
        </w:tc>
        <w:tc>
          <w:tcPr/>
          <w:p>
            <w:pPr>
              <w:pStyle w:val="Compact"/>
            </w:pPr>
            <w:r>
              <w:t xml:space="preserve">+2.9%</w:t>
            </w:r>
          </w:p>
        </w:tc>
        <w:tc>
          <w:tcPr/>
          <w:p>
            <w:pPr>
              <w:pStyle w:val="Compact"/>
              <w:jc w:val="right"/>
            </w:pPr>
            <w:r>
              <w:t xml:space="preserve">-1.9%</w:t>
            </w:r>
          </w:p>
        </w:tc>
        <w:tc>
          <w:tcPr/>
          <w:p>
            <w:pPr>
              <w:pStyle w:val="Compact"/>
              <w:jc w:val="right"/>
            </w:pPr>
            <w:r>
              <w:t xml:space="preserve">+17%</w:t>
            </w:r>
          </w:p>
        </w:tc>
      </w:tr>
    </w:tbl>
    <w:p>
      <w:pPr>
        <w:pStyle w:val="BodyText"/>
      </w:pPr>
      <w:r>
        <w:t xml:space="preserve">Nota: Todas as empresas e números são fictícios.</w:t>
      </w:r>
      <w:r>
        <w:t xml:space="preserve"> </w:t>
      </w:r>
      <w:r>
        <w:t xml:space="preserve">“Adesão”</w:t>
      </w:r>
      <w:r>
        <w:t xml:space="preserve"> </w:t>
      </w:r>
      <w:r>
        <w:t xml:space="preserve">significa que a ação recomendada de motorista-carga foi executada sem alteração material dentro da janela de decisão. As variações de desempenho são medidas em relação à referência (baseline) pré-implementação de cada cliente e não são experimentos controlados.</w:t>
      </w:r>
    </w:p>
    <w:bookmarkEnd w:id="9"/>
    <w:bookmarkStart w:id="10" w:name="o-que-era-uma-substituição-override"/>
    <w:p>
      <w:pPr>
        <w:pStyle w:val="Heading1"/>
      </w:pPr>
      <w:r>
        <w:t xml:space="preserve">O Que Era uma Substituição (Override)?</w:t>
      </w:r>
    </w:p>
    <w:p>
      <w:pPr>
        <w:pStyle w:val="FirstParagraph"/>
      </w:pPr>
      <w:r>
        <w:t xml:space="preserve">A equipe de sucesso do cliente havia inicialmente tratado toda substituição como evidência de que o usuário havia rejeitado a recomendação. Os despachantes se opuseram. Argumentaram que o rótulo combinava pelo menos quatro situações diferentes: a recomendação era inviável porque os dados estavam errados; a recomendação era viável mas não refletia um compromisso de cliente ou motorista; o usuário preferia uma ação diferente com base na experiência; ou um evento operacional mudou antes da execução.</w:t>
      </w:r>
    </w:p>
    <w:p>
      <w:pPr>
        <w:pStyle w:val="BodyText"/>
      </w:pPr>
      <w:r>
        <w:t xml:space="preserve">A plataforma capturava se uma recomendação era seguida, mas não capturava de forma consistente o motivo da alteração. As notas de texto livre eram opcionais, e a terminologia variava por cliente. Em uma auditoria de duas semanas, analistas reconstruíram 1.284 substituições entrevistando planejadores e revisando mensagens, telemetria e históricos de pedidos. Os resultados enfraqueceram a interpretação simplista de que os usuários simplesmente não confiavam no sistema.</w:t>
      </w:r>
    </w:p>
    <w:p>
      <w:pPr>
        <w:pStyle w:val="BodyText"/>
      </w:pPr>
      <w:r>
        <w:t xml:space="preserve">Exhibit 2. Motivos reconstruídos para 1.284 substituições de recomendação</w:t>
      </w:r>
    </w:p>
    <w:tbl>
      <w:tblPr>
        <w:tblStyle w:val="Table"/>
        <w:tblW w:type="pct" w:w="4930"/>
        <w:tblLayout w:type="fixed"/>
        <w:tblLook w:firstRow="1" w:lastRow="0" w:firstColumn="0" w:lastColumn="0" w:noHBand="0" w:noVBand="0" w:val="0020"/>
      </w:tblPr>
      <w:tblGrid>
        <w:gridCol w:w="2603"/>
        <w:gridCol w:w="1329"/>
        <w:gridCol w:w="3876"/>
      </w:tblGrid>
      <w:tr>
        <w:trPr>
          <w:tblHeader w:val="on"/>
        </w:trPr>
        <w:tc>
          <w:tcPr/>
          <w:p>
            <w:pPr>
              <w:pStyle w:val="Compact"/>
              <w:jc w:val="left"/>
            </w:pPr>
            <w:r>
              <w:t xml:space="preserve">Motivo atribuído após revisão</w:t>
            </w:r>
          </w:p>
        </w:tc>
        <w:tc>
          <w:tcPr/>
          <w:p>
            <w:pPr>
              <w:pStyle w:val="Compact"/>
              <w:jc w:val="center"/>
            </w:pPr>
            <w:r>
              <w:t xml:space="preserve">Participação</w:t>
            </w:r>
          </w:p>
        </w:tc>
        <w:tc>
          <w:tcPr/>
          <w:p>
            <w:pPr>
              <w:pStyle w:val="Compact"/>
              <w:jc w:val="center"/>
            </w:pPr>
            <w:r>
              <w:t xml:space="preserve">Questão ilustrativa</w:t>
            </w:r>
          </w:p>
        </w:tc>
      </w:tr>
      <w:tr>
        <w:tc>
          <w:tcPr/>
          <w:p>
            <w:pPr>
              <w:pStyle w:val="Compact"/>
              <w:jc w:val="left"/>
            </w:pPr>
            <w:r>
              <w:t xml:space="preserve">Dados operacionais ausentes ou desatualizados</w:t>
            </w:r>
          </w:p>
        </w:tc>
        <w:tc>
          <w:tcPr/>
          <w:p>
            <w:pPr>
              <w:pStyle w:val="Compact"/>
              <w:jc w:val="center"/>
            </w:pPr>
            <w:r>
              <w:t xml:space="preserve">24%</w:t>
            </w:r>
          </w:p>
        </w:tc>
        <w:tc>
          <w:tcPr/>
          <w:p>
            <w:pPr>
              <w:pStyle w:val="Compact"/>
              <w:jc w:val="center"/>
            </w:pPr>
            <w:r>
              <w:t xml:space="preserve">Localização do motorista, horas, equipamento, agendamento ou status da carga</w:t>
            </w:r>
          </w:p>
        </w:tc>
      </w:tr>
      <w:tr>
        <w:tc>
          <w:tcPr/>
          <w:p>
            <w:pPr>
              <w:pStyle w:val="Compact"/>
              <w:jc w:val="left"/>
            </w:pPr>
            <w:r>
              <w:t xml:space="preserve">Compromisso ou preferência não modelada</w:t>
            </w:r>
          </w:p>
        </w:tc>
        <w:tc>
          <w:tcPr/>
          <w:p>
            <w:pPr>
              <w:pStyle w:val="Compact"/>
              <w:jc w:val="center"/>
            </w:pPr>
            <w:r>
              <w:t xml:space="preserve">21%</w:t>
            </w:r>
          </w:p>
        </w:tc>
        <w:tc>
          <w:tcPr/>
          <w:p>
            <w:pPr>
              <w:pStyle w:val="Compact"/>
              <w:jc w:val="center"/>
            </w:pPr>
            <w:r>
              <w:t xml:space="preserve">Tempo em casa, promessa ao cliente, relação com motorista, visita à oficina</w:t>
            </w:r>
          </w:p>
        </w:tc>
      </w:tr>
      <w:tr>
        <w:tc>
          <w:tcPr/>
          <w:p>
            <w:pPr>
              <w:pStyle w:val="Compact"/>
              <w:jc w:val="left"/>
            </w:pPr>
            <w:r>
              <w:t xml:space="preserve">Recomendação não estava mais atual</w:t>
            </w:r>
          </w:p>
        </w:tc>
        <w:tc>
          <w:tcPr/>
          <w:p>
            <w:pPr>
              <w:pStyle w:val="Compact"/>
              <w:jc w:val="center"/>
            </w:pPr>
            <w:r>
              <w:t xml:space="preserve">16%</w:t>
            </w:r>
          </w:p>
        </w:tc>
        <w:tc>
          <w:tcPr/>
          <w:p>
            <w:pPr>
              <w:pStyle w:val="Compact"/>
              <w:jc w:val="center"/>
            </w:pPr>
            <w:r>
              <w:t xml:space="preserve">Coleta atrasada, cancelamento, quebra, clima ou nova carga prioritária</w:t>
            </w:r>
          </w:p>
        </w:tc>
      </w:tr>
      <w:tr>
        <w:tc>
          <w:tcPr/>
          <w:p>
            <w:pPr>
              <w:pStyle w:val="Compact"/>
              <w:jc w:val="left"/>
            </w:pPr>
            <w:r>
              <w:t xml:space="preserve">Despachante previa melhor resultado de rede 1</w:t>
            </w:r>
          </w:p>
        </w:tc>
        <w:tc>
          <w:tcPr/>
          <w:p>
            <w:pPr>
              <w:pStyle w:val="Compact"/>
              <w:jc w:val="center"/>
            </w:pPr>
            <w:r>
              <w:t xml:space="preserve">5% J</w:t>
            </w:r>
          </w:p>
        </w:tc>
        <w:tc>
          <w:tcPr/>
          <w:p>
            <w:pPr>
              <w:pStyle w:val="Compact"/>
              <w:jc w:val="center"/>
            </w:pPr>
            <w:r>
              <w:t xml:space="preserve">ulgamento de posicionamento ou frete antecipado não visível no sistema</w:t>
            </w:r>
          </w:p>
        </w:tc>
      </w:tr>
      <w:tr>
        <w:tc>
          <w:tcPr/>
          <w:p>
            <w:pPr>
              <w:pStyle w:val="Compact"/>
              <w:jc w:val="left"/>
            </w:pPr>
            <w:r>
              <w:t xml:space="preserve">Conflito de KPI local ou incentivo</w:t>
            </w:r>
          </w:p>
        </w:tc>
        <w:tc>
          <w:tcPr/>
          <w:p>
            <w:pPr>
              <w:pStyle w:val="Compact"/>
              <w:jc w:val="center"/>
            </w:pPr>
            <w:r>
              <w:t xml:space="preserve">11%</w:t>
            </w:r>
          </w:p>
        </w:tc>
        <w:tc>
          <w:tcPr/>
          <w:p>
            <w:pPr>
              <w:pStyle w:val="Compact"/>
              <w:jc w:val="center"/>
            </w:pPr>
            <w:r>
              <w:t xml:space="preserve">Meta de milhas vazias, boletim de desempenho do cliente, propriedade da frota, regra de bônus</w:t>
            </w:r>
          </w:p>
        </w:tc>
      </w:tr>
      <w:tr>
        <w:tc>
          <w:tcPr/>
          <w:p>
            <w:pPr>
              <w:pStyle w:val="Compact"/>
              <w:jc w:val="left"/>
            </w:pPr>
            <w:r>
              <w:t xml:space="preserve">Atrito de fluxo de trabalho ou interface</w:t>
            </w:r>
          </w:p>
        </w:tc>
        <w:tc>
          <w:tcPr/>
          <w:p>
            <w:pPr>
              <w:pStyle w:val="Compact"/>
              <w:jc w:val="center"/>
            </w:pPr>
            <w:r>
              <w:t xml:space="preserve">8%</w:t>
            </w:r>
          </w:p>
        </w:tc>
        <w:tc>
          <w:tcPr/>
          <w:p>
            <w:pPr>
              <w:pStyle w:val="Compact"/>
              <w:jc w:val="center"/>
            </w:pPr>
            <w:r>
              <w:t xml:space="preserve">Recomendação chegou atrasada ou exigiu entrada duplicada</w:t>
            </w:r>
          </w:p>
        </w:tc>
      </w:tr>
      <w:tr>
        <w:tc>
          <w:tcPr/>
          <w:p>
            <w:pPr>
              <w:pStyle w:val="Compact"/>
              <w:jc w:val="left"/>
            </w:pPr>
            <w:r>
              <w:t xml:space="preserve">Nenhum motivo defensável identificado</w:t>
            </w:r>
          </w:p>
        </w:tc>
        <w:tc>
          <w:tcPr/>
          <w:p>
            <w:pPr>
              <w:pStyle w:val="Compact"/>
              <w:jc w:val="center"/>
            </w:pPr>
            <w:r>
              <w:t xml:space="preserve">5%</w:t>
            </w:r>
          </w:p>
        </w:tc>
        <w:tc>
          <w:tcPr/>
          <w:p>
            <w:pPr>
              <w:pStyle w:val="Compact"/>
              <w:jc w:val="center"/>
            </w:pPr>
            <w:r>
              <w:t xml:space="preserve">Hábito, desconforto ou preferência não documentada</w:t>
            </w:r>
          </w:p>
        </w:tc>
      </w:tr>
    </w:tbl>
    <w:bookmarkEnd w:id="10"/>
    <w:bookmarkStart w:id="11" w:name="cinco-explicações-concorrentes"/>
    <w:p>
      <w:pPr>
        <w:pStyle w:val="Heading1"/>
      </w:pPr>
      <w:r>
        <w:t xml:space="preserve">Cinco Explicações Concorrentes</w:t>
      </w:r>
    </w:p>
    <w:p>
      <w:pPr>
        <w:pStyle w:val="FirstParagraph"/>
      </w:pPr>
      <w:r>
        <w:rPr>
          <w:b/>
          <w:bCs/>
        </w:rPr>
        <w:t xml:space="preserve">O problema de explicação do produto.</w:t>
      </w:r>
      <w:r>
        <w:t xml:space="preserve"> </w:t>
      </w:r>
      <w:r>
        <w:t xml:space="preserve">Os despachantes conseguiam ver a ação recomendada, mas nem sempre as compensações (tradeoffs) por trás dela. Alguns queriam saber quais cargas futuras, restrições de motorista ou efeitos de rede tornavam a recomendação atraente. Os líderes de produto propuseram um recurso de explicação em linguagem natural, mas pesquisadores alertaram que uma explicação persuasiva poderia aumentar a conformidade mesmo quando os dados subjacentes estivessem errados.</w:t>
      </w:r>
    </w:p>
    <w:p>
      <w:pPr>
        <w:pStyle w:val="BodyText"/>
      </w:pPr>
      <w:r>
        <w:rPr>
          <w:b/>
          <w:bCs/>
        </w:rPr>
        <w:t xml:space="preserve">O problema de prontidão dos dados.</w:t>
      </w:r>
      <w:r>
        <w:t xml:space="preserve"> </w:t>
      </w:r>
      <w:r>
        <w:t xml:space="preserve">O motor de otimização dependia de informações oportunas e precisas. Alguns clientes tinham processos frágeis para atualizar disponibilidade de motoristas, status de carga, flexibilidade de agendamento ou compromissos de tempo em casa. Executivos de clientes frequentemente descreviam isso como erros de software, enquanto despachantes corrigiam silenciosamente o registro por meio de decisões manuais.</w:t>
      </w:r>
    </w:p>
    <w:p>
      <w:pPr>
        <w:pStyle w:val="BodyText"/>
      </w:pPr>
      <w:r>
        <w:rPr>
          <w:b/>
          <w:bCs/>
        </w:rPr>
        <w:t xml:space="preserve">O problema do modelo operacional.</w:t>
      </w:r>
      <w:r>
        <w:t xml:space="preserve"> </w:t>
      </w:r>
      <w:r>
        <w:t xml:space="preserve">Em várias transportadoras, a autoridade de despacho permanecia dividida entre planejadores regionais, gerentes de motoristas, representantes de atendimento ao cliente e equipes de corretagem. O software otimizava em toda a rede, mas os funcionários eram avaliados por serviço local, milhas vazias ou o desempenho de sua frota designada. Uma recomendação poderia ser a melhor para a empresa e, ainda assim, custosa para a pessoa encarregada de executá-la.</w:t>
      </w:r>
    </w:p>
    <w:p>
      <w:pPr>
        <w:pStyle w:val="BodyText"/>
      </w:pPr>
      <w:r>
        <w:rPr>
          <w:b/>
          <w:bCs/>
        </w:rPr>
        <w:t xml:space="preserve">O problema de capacidade e identidade.</w:t>
      </w:r>
      <w:r>
        <w:t xml:space="preserve"> </w:t>
      </w:r>
      <w:r>
        <w:t xml:space="preserve">Despachantes experientes haviam construído carreiras com base em julgamento, relacionamentos e resolução rápida de problemas. Alguns interpretaram a automação como um desafio à sua expertise ou segurança no emprego. Outros receberam com satisfação o alívio da busca repetitiva, mas temiam ser responsabilizados por uma recomendação que não haviam criado.</w:t>
      </w:r>
    </w:p>
    <w:p>
      <w:pPr>
        <w:pStyle w:val="BodyText"/>
      </w:pPr>
      <w:r>
        <w:rPr>
          <w:b/>
          <w:bCs/>
        </w:rPr>
        <w:t xml:space="preserve">O problema de aprendizado do algoritmo.</w:t>
      </w:r>
      <w:r>
        <w:t xml:space="preserve"> </w:t>
      </w:r>
      <w:r>
        <w:t xml:space="preserve">A equipe de produto reconheceu que algumas substituições continham informações que o modelo não possuía. Tratar toda exceção como não conformidade poderia suprimir aprendizado valioso. No entanto, permitir ampla discricionariedade sem retroalimentação estruturada dificultava distinguir exceções legítimas de rejeição habitual.</w:t>
      </w:r>
    </w:p>
    <w:bookmarkEnd w:id="11"/>
    <w:bookmarkStart w:id="12" w:name="o-contraste-entre-clientes"/>
    <w:p>
      <w:pPr>
        <w:pStyle w:val="Heading1"/>
      </w:pPr>
      <w:r>
        <w:t xml:space="preserve">O Contraste entre Clientes</w:t>
      </w:r>
    </w:p>
    <w:p>
      <w:pPr>
        <w:pStyle w:val="FirstParagraph"/>
      </w:pPr>
      <w:r>
        <w:t xml:space="preserve">A Northstar Freight havia alcançado alta adesão rapidamente. Seu presidente anunciou que a plataforma se tornaria o processo de decisão padrão, tranquilizou os funcionários de que os papéis mudariam em vez de desaparecer, e transferiu os planejadores para uma mesa operacional compartilhada. Durante o primeiro mês, funcionários da Dispatch Dynamics participaram de sessões diárias de revisão. Toda substituição exigia um de seis códigos de motivo, e a gerência alterou os boletins de desempenho para que os planejadores não fossem penalizados por movimentos vazios em nível de rede que apoiassem um plano melhor a jusante.</w:t>
      </w:r>
    </w:p>
    <w:p>
      <w:pPr>
        <w:pStyle w:val="BodyText"/>
      </w:pPr>
      <w:r>
        <w:t xml:space="preserve">A Pioneer Logistics seguiu um caminho diferente. O software foi adicionado ao sistema de gerenciamento de transporte existente, mas os grupos regionais de despacho mantiveram seus próprios métodos e metas de desempenho. O treinamento se concentrou na navegação pela interface. Os supervisores disseram aos usuários para aplicar julgamento sempre que uma recomendação</w:t>
      </w:r>
      <w:r>
        <w:t xml:space="preserve"> </w:t>
      </w:r>
      <w:r>
        <w:t xml:space="preserve">“não parecesse certa”</w:t>
      </w:r>
      <w:r>
        <w:t xml:space="preserve">. Os despachantes continuaram a depender de planilhas privadas e mensagens de texto de motoristas. O diretor de operações da Pioneer argumentou que essas práticas preservavam o atendimento ao cliente; a equipe de contas da Dispatch Dynamics acreditava que elas impediam que a plataforma jamais recebesse um teste justo.</w:t>
      </w:r>
    </w:p>
    <w:p>
      <w:pPr>
        <w:pStyle w:val="BodyText"/>
      </w:pPr>
      <w:r>
        <w:t xml:space="preserve">O contraste era sugestivo, mas não conclusivo. A Northstar tinha uma rede mais densa, dados mais limpos e uma cultura mais centralizada antes da implementação. A Pioneer atendia clientes mais irregulares e tinha mais motoristas com escalas individualizadas. Uma intervenção de gestão de mudança que funcionou na Northstar poderia falhar na Pioneer – ou poderia simplesmente expor limitações do produto mais cedo.</w:t>
      </w:r>
    </w:p>
    <w:bookmarkEnd w:id="12"/>
    <w:bookmarkStart w:id="13" w:name="uma-agenda-de-aprendizado-proposta"/>
    <w:p>
      <w:pPr>
        <w:pStyle w:val="Heading1"/>
      </w:pPr>
      <w:r>
        <w:t xml:space="preserve">Uma Agenda de Aprendizado Proposta</w:t>
      </w:r>
    </w:p>
    <w:p>
      <w:pPr>
        <w:pStyle w:val="FirstParagraph"/>
      </w:pPr>
      <w:r>
        <w:t xml:space="preserve">Chen pediu a quatro equipes internas que propusessem como a Dispatch Dynamics deveria gastar um orçamento de adoção recém-aprovado de $1,2 milhão. As propostas competiam pela mesma equipe de implementação e capacidade de engenharia.</w:t>
      </w:r>
    </w:p>
    <w:p>
      <w:pPr>
        <w:pStyle w:val="BodyText"/>
      </w:pPr>
      <w:r>
        <w:t xml:space="preserve">Exhibit 3. Iniciativas candidatas para os próximos doze meses</w:t>
      </w:r>
    </w:p>
    <w:tbl>
      <w:tblPr>
        <w:tblStyle w:val="Table"/>
        <w:tblW w:type="pct" w:w="4948"/>
        <w:tblLayout w:type="fixed"/>
        <w:tblLook w:firstRow="1" w:lastRow="0" w:firstColumn="0" w:lastColumn="0" w:noHBand="0" w:noVBand="0" w:val="0020"/>
      </w:tblPr>
      <w:tblGrid>
        <w:gridCol w:w="1741"/>
        <w:gridCol w:w="746"/>
        <w:gridCol w:w="2736"/>
        <w:gridCol w:w="2612"/>
      </w:tblGrid>
      <w:tr>
        <w:trPr>
          <w:tblHeader w:val="on"/>
        </w:trPr>
        <w:tc>
          <w:tcPr/>
          <w:p>
            <w:pPr>
              <w:pStyle w:val="Compact"/>
              <w:jc w:val="left"/>
            </w:pPr>
            <w:r>
              <w:t xml:space="preserve">Iniciativa</w:t>
            </w:r>
          </w:p>
        </w:tc>
        <w:tc>
          <w:tcPr/>
          <w:p>
            <w:pPr>
              <w:pStyle w:val="Compact"/>
              <w:jc w:val="left"/>
            </w:pPr>
            <w:r>
              <w:t xml:space="preserve">Custo</w:t>
            </w:r>
          </w:p>
        </w:tc>
        <w:tc>
          <w:tcPr/>
          <w:p>
            <w:pPr>
              <w:pStyle w:val="Compact"/>
              <w:jc w:val="center"/>
            </w:pPr>
            <w:r>
              <w:t xml:space="preserve">Questão principal</w:t>
            </w:r>
          </w:p>
        </w:tc>
        <w:tc>
          <w:tcPr/>
          <w:p>
            <w:pPr>
              <w:pStyle w:val="Compact"/>
              <w:jc w:val="center"/>
            </w:pPr>
            <w:r>
              <w:t xml:space="preserve">Limitação principal</w:t>
            </w:r>
          </w:p>
        </w:tc>
      </w:tr>
      <w:tr>
        <w:tc>
          <w:tcPr/>
          <w:p>
            <w:pPr>
              <w:pStyle w:val="Compact"/>
              <w:jc w:val="left"/>
            </w:pPr>
            <w:r>
              <w:t xml:space="preserve">Pesquisa de campo incorporada em 3 cliente</w:t>
            </w:r>
          </w:p>
        </w:tc>
        <w:tc>
          <w:tcPr/>
          <w:p>
            <w:pPr>
              <w:pStyle w:val="Compact"/>
              <w:jc w:val="left"/>
            </w:pPr>
            <w:r>
              <w:t xml:space="preserve">s $360,000</w:t>
            </w:r>
          </w:p>
        </w:tc>
        <w:tc>
          <w:tcPr/>
          <w:p>
            <w:pPr>
              <w:pStyle w:val="Compact"/>
              <w:jc w:val="center"/>
            </w:pPr>
            <w:r>
              <w:t xml:space="preserve">O que acontece no momento da aceitação ou substituição?</w:t>
            </w:r>
          </w:p>
        </w:tc>
        <w:tc>
          <w:tcPr/>
          <w:p>
            <w:pPr>
              <w:pStyle w:val="Compact"/>
              <w:jc w:val="center"/>
            </w:pPr>
            <w:r>
              <w:t xml:space="preserve">Amostra pequena; o comportamento pode mudar sob observação</w:t>
            </w:r>
          </w:p>
        </w:tc>
      </w:tr>
      <w:tr>
        <w:tc>
          <w:tcPr/>
          <w:p>
            <w:pPr>
              <w:pStyle w:val="Compact"/>
              <w:jc w:val="left"/>
            </w:pPr>
            <w:r>
              <w:t xml:space="preserve">Motivos estruturados obrigatórios de subst</w:t>
            </w:r>
          </w:p>
        </w:tc>
        <w:tc>
          <w:tcPr/>
          <w:p>
            <w:pPr>
              <w:pStyle w:val="Compact"/>
              <w:jc w:val="left"/>
            </w:pPr>
            <w:r>
              <w:t xml:space="preserve">ituição $220,0</w:t>
            </w:r>
          </w:p>
        </w:tc>
        <w:tc>
          <w:tcPr/>
          <w:p>
            <w:pPr>
              <w:pStyle w:val="Compact"/>
              <w:jc w:val="center"/>
            </w:pPr>
            <w:r>
              <w:t xml:space="preserve">00 Quais exceções são legítimas, recorrentes ou evitáveis?</w:t>
            </w:r>
          </w:p>
        </w:tc>
        <w:tc>
          <w:tcPr/>
          <w:p>
            <w:pPr>
              <w:pStyle w:val="Compact"/>
              <w:jc w:val="center"/>
            </w:pPr>
            <w:r>
              <w:t xml:space="preserve">Aumenta a carga do usuário; códigos de motivo podem ser manipulados</w:t>
            </w:r>
          </w:p>
        </w:tc>
      </w:tr>
      <w:tr>
        <w:tc>
          <w:tcPr/>
          <w:p>
            <w:pPr>
              <w:pStyle w:val="Compact"/>
              <w:jc w:val="left"/>
            </w:pPr>
            <w:r>
              <w:t xml:space="preserve">Interface de explicação e confiança $4</w:t>
            </w:r>
          </w:p>
        </w:tc>
        <w:tc>
          <w:tcPr/>
          <w:p>
            <w:pPr>
              <w:pStyle w:val="Compact"/>
              <w:jc w:val="left"/>
            </w:pPr>
            <w:r>
              <w:t xml:space="preserve">10,000 A t</w:t>
            </w:r>
          </w:p>
        </w:tc>
        <w:tc>
          <w:tcPr/>
          <w:p>
            <w:pPr>
              <w:pStyle w:val="Compact"/>
              <w:jc w:val="center"/>
            </w:pPr>
            <w:r>
              <w:t xml:space="preserve">ransparência aumenta a confiança apropriada? Pode</w:t>
            </w:r>
          </w:p>
        </w:tc>
        <w:tc>
          <w:tcPr/>
          <w:p>
            <w:pPr>
              <w:pStyle w:val="Compact"/>
              <w:jc w:val="center"/>
            </w:pPr>
            <w:r>
              <w:t xml:space="preserve">criar falsa confiança ou sobrecarga de informação</w:t>
            </w:r>
          </w:p>
        </w:tc>
      </w:tr>
      <w:tr>
        <w:tc>
          <w:tcPr/>
          <w:p>
            <w:pPr>
              <w:pStyle w:val="Compact"/>
              <w:jc w:val="left"/>
            </w:pPr>
            <w:r>
              <w:t xml:space="preserve">Diagnósticos de qualidade de dados e fluxo</w:t>
            </w:r>
          </w:p>
        </w:tc>
        <w:tc>
          <w:tcPr/>
          <w:p>
            <w:pPr>
              <w:pStyle w:val="Compact"/>
              <w:jc w:val="left"/>
            </w:pPr>
            <w:r>
              <w:t xml:space="preserve">de trabalho $</w:t>
            </w:r>
          </w:p>
        </w:tc>
        <w:tc>
          <w:tcPr/>
          <w:p>
            <w:pPr>
              <w:pStyle w:val="Compact"/>
              <w:jc w:val="center"/>
            </w:pPr>
            <w:r>
              <w:t xml:space="preserve">330,000 As recomendações são rejeitadas porque os insumos</w:t>
            </w:r>
          </w:p>
        </w:tc>
        <w:tc>
          <w:tcPr/>
          <w:p>
            <w:pPr>
              <w:pStyle w:val="Compact"/>
              <w:jc w:val="center"/>
            </w:pPr>
            <w:r>
              <w:t xml:space="preserve">ou o momento são fracos? Pode ser vista como culpar o cliente</w:t>
            </w:r>
          </w:p>
        </w:tc>
      </w:tr>
      <w:tr>
        <w:tc>
          <w:tcPr/>
          <w:p>
            <w:pPr>
              <w:pStyle w:val="Compact"/>
              <w:jc w:val="left"/>
            </w:pPr>
            <w:r>
              <w:t xml:space="preserve">Pilotos de redesenho de boletim de desempe</w:t>
            </w:r>
          </w:p>
        </w:tc>
        <w:tc>
          <w:tcPr/>
          <w:p>
            <w:pPr>
              <w:pStyle w:val="Compact"/>
              <w:jc w:val="left"/>
            </w:pPr>
            <w:r>
              <w:t xml:space="preserve">nho de supervisore</w:t>
            </w:r>
          </w:p>
        </w:tc>
        <w:tc>
          <w:tcPr/>
          <w:p>
            <w:pPr>
              <w:pStyle w:val="Compact"/>
              <w:jc w:val="center"/>
            </w:pPr>
            <w:r>
              <w:t xml:space="preserve">s $180,000 Os incentivos e KPIs locais impulsionam a r</w:t>
            </w:r>
          </w:p>
        </w:tc>
        <w:tc>
          <w:tcPr/>
          <w:p>
            <w:pPr>
              <w:pStyle w:val="Compact"/>
              <w:jc w:val="center"/>
            </w:pPr>
            <w:r>
              <w:t xml:space="preserve">ejeição? Requer cooperação executiva e mudanças sensíveis ao trabalho</w:t>
            </w:r>
          </w:p>
        </w:tc>
      </w:tr>
      <w:tr>
        <w:tc>
          <w:tcPr/>
          <w:p>
            <w:pPr>
              <w:pStyle w:val="Compact"/>
              <w:jc w:val="left"/>
            </w:pPr>
            <w:r>
              <w:t xml:space="preserve">Implantação randomizada de suportes de ado</w:t>
            </w:r>
          </w:p>
        </w:tc>
        <w:tc>
          <w:tcPr/>
          <w:p>
            <w:pPr>
              <w:pStyle w:val="Compact"/>
              <w:jc w:val="left"/>
            </w:pPr>
            <w:r>
              <w:t xml:space="preserve">ção $290,000</w:t>
            </w:r>
          </w:p>
        </w:tc>
        <w:tc>
          <w:tcPr/>
          <w:p>
            <w:pPr>
              <w:pStyle w:val="Compact"/>
              <w:jc w:val="center"/>
            </w:pPr>
            <w:r>
              <w:t xml:space="preserve">Quais práticas de implementação melhoram causalmente o uso?</w:t>
            </w:r>
          </w:p>
        </w:tc>
        <w:tc>
          <w:tcPr/>
          <w:p>
            <w:pPr>
              <w:pStyle w:val="Compact"/>
              <w:jc w:val="center"/>
            </w:pPr>
            <w:r>
              <w:t xml:space="preserve">Operacionalmente difícil; clientes podem resistir a grupos de controle</w:t>
            </w:r>
          </w:p>
        </w:tc>
      </w:tr>
    </w:tbl>
    <w:p>
      <w:pPr>
        <w:pStyle w:val="BodyText"/>
      </w:pPr>
      <w:r>
        <w:t xml:space="preserve">O diretor de produto favorecia explicações e indicadores de confiança. O chefe de implementação argumentou que a empresa deveria primeiro impor substituições estruturadas e revisões operacionais diárias. O diretor de dados acreditava que nenhuma das abordagens funcionaria até que a qualidade dos dados do cliente pudesse ser medida continuamente. Os líderes de vendas se preocupavam que processos obrigatórios prolongassem as implementações e fizessem o produto parecer difícil de usar. Um membro do conselho fez uma pergunta mais incômoda: A adesão era sequer o objetivo certo, ou a Dispatch Dynamics deveria medir a qualidade das decisões humano-máquina em vez da porcentagem de recomendações seguidas?</w:t>
      </w:r>
    </w:p>
    <w:p>
      <w:pPr>
        <w:pStyle w:val="BodyText"/>
      </w:pPr>
      <w:r>
        <w:t xml:space="preserve">Chen também precisava decidir o quão francamente discutir a questão com os clientes. Publicar referências de adesão em nível de portfólio poderia criar urgência, mas os clientes diferiam em design de rede e complexidade operacional. Vincular taxas ou garantias de desempenho à adesão poderia alinhar incentivos, mas poderia incentivar conformidade superficial. Redefinir o produto em torno de</w:t>
      </w:r>
      <w:r>
        <w:t xml:space="preserve"> </w:t>
      </w:r>
      <w:r>
        <w:t xml:space="preserve">“automação guiada por humanos”</w:t>
      </w:r>
      <w:r>
        <w:t xml:space="preserve"> </w:t>
      </w:r>
      <w:r>
        <w:t xml:space="preserve">poderia melhorar a credibilidade, mas enfraquecer a promessa da empresa de automação de decisões escalável.</w:t>
      </w:r>
    </w:p>
    <w:bookmarkEnd w:id="13"/>
    <w:bookmarkStart w:id="14" w:name="a-decisão"/>
    <w:p>
      <w:pPr>
        <w:pStyle w:val="Heading1"/>
      </w:pPr>
      <w:r>
        <w:t xml:space="preserve">A Decisão</w:t>
      </w:r>
    </w:p>
    <w:p>
      <w:pPr>
        <w:pStyle w:val="FirstParagraph"/>
      </w:pPr>
      <w:r>
        <w:t xml:space="preserve">Na reunião trimestral, esperava-se que Chen recomendasse tanto uma política imediata para os clientes quanto um programa de pesquisa de longo prazo. Ela precisava decidir o que a Dispatch Dynamics deveria tentar aprender, quais evidências distinguiriam entre explicações concorrentes, e como a empresa deveria agir enquanto essas evidências fossem coletadas.</w:t>
      </w:r>
    </w:p>
    <w:p>
      <w:pPr>
        <w:pStyle w:val="BodyText"/>
      </w:pPr>
      <w:r>
        <w:t xml:space="preserve">O que estava em jogo ia além das renovações atuais. Se a empresa tratasse a baixa adesão como um problema de treinamento quando a causa real fosse dados ruins ou restrições ausentes, poderia prejudicar a confiança. Se tratasse toda substituição como valiosa percepção humana, poderia preservar exatamente os hábitos que o software foi projetado para substituir. Se otimizasse apenas para a adesão, poderia incentivar os usuários a seguir as recomendações mecanicamente em vez de exercer julgamento quando as circunstâncias genuinamente mudassem.</w:t>
      </w:r>
    </w:p>
    <w:p>
      <w:pPr>
        <w:pStyle w:val="BodyText"/>
      </w:pPr>
      <w:r>
        <w:t xml:space="preserve">Chen fechou o painel e escreveu uma pergunta no topo de suas anotações: O que significaria para um cliente usar bem a Dispatch Dynamics?</w:t>
      </w:r>
    </w:p>
    <w:bookmarkEnd w:id="14"/>
    <w:bookmarkStart w:id="15" w:name="questões-de-discussão"/>
    <w:p>
      <w:pPr>
        <w:pStyle w:val="Heading1"/>
      </w:pPr>
      <w:r>
        <w:t xml:space="preserve">Questões de Discussão</w:t>
      </w:r>
    </w:p>
    <w:p>
      <w:pPr>
        <w:numPr>
          <w:ilvl w:val="0"/>
          <w:numId w:val="1001"/>
        </w:numPr>
      </w:pPr>
      <w:r>
        <w:t xml:space="preserve">Como a Dispatch Dynamics deveria definir o uso bem-sucedido: adesão à recomendação, desempenho de negócios, qualidade das exceções, ou alguma combinação?</w:t>
      </w:r>
    </w:p>
    <w:p>
      <w:pPr>
        <w:numPr>
          <w:ilvl w:val="0"/>
          <w:numId w:val="1001"/>
        </w:numPr>
      </w:pPr>
      <w:r>
        <w:t xml:space="preserve">Quais hipóteses poderiam explicar a baixa adoção, e quais evidências discriminariam entre elas?</w:t>
      </w:r>
    </w:p>
    <w:p>
      <w:pPr>
        <w:numPr>
          <w:ilvl w:val="0"/>
          <w:numId w:val="1001"/>
        </w:numPr>
      </w:pPr>
      <w:r>
        <w:t xml:space="preserve">Quais categorias de substituição representam defeitos do produto, defeitos de dados, conflitos organizacionais, ou informação humana valiosa?</w:t>
      </w:r>
    </w:p>
    <w:p>
      <w:pPr>
        <w:numPr>
          <w:ilvl w:val="0"/>
          <w:numId w:val="1001"/>
        </w:numPr>
      </w:pPr>
      <w:r>
        <w:t xml:space="preserve">Como a empresa deveria redesenhar implementação, treinamento, incentivos, fluxo de trabalho, ou o próprio produto?</w:t>
      </w:r>
    </w:p>
    <w:p>
      <w:pPr>
        <w:numPr>
          <w:ilvl w:val="0"/>
          <w:numId w:val="1001"/>
        </w:numPr>
      </w:pPr>
      <w:r>
        <w:t xml:space="preserve">Quais iniciativas no Exhibit 3 deveriam receber o orçamento de $1,2 milhão, e em qual sequência?</w:t>
      </w:r>
    </w:p>
    <w:p>
      <w:pPr>
        <w:numPr>
          <w:ilvl w:val="0"/>
          <w:numId w:val="1001"/>
        </w:numPr>
      </w:pPr>
      <w:r>
        <w:t xml:space="preserve">Quais riscos surgem ao aumentar a adesão de forma muito agressiva?</w:t>
      </w:r>
    </w:p>
    <w:p>
      <w:pPr>
        <w:numPr>
          <w:ilvl w:val="0"/>
          <w:numId w:val="1001"/>
        </w:numPr>
      </w:pPr>
      <w:r>
        <w:t xml:space="preserve">Como a Dispatch Dynamics deveria aprender com as substituições dos clientes sem permitir que os usuários contornem o sistema indefinidamente?</w:t>
      </w:r>
    </w:p>
    <w:bookmarkEnd w:id="15"/>
    <w:bookmarkStart w:id="21"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estabelecer o escopo do problema.</w:t>
      </w:r>
    </w:p>
    <w:p>
      <w:pPr>
        <w:numPr>
          <w:ilvl w:val="0"/>
          <w:numId w:val="1002"/>
        </w:numPr>
      </w:pPr>
      <w:r>
        <w:t xml:space="preserve">Use a</w:t>
      </w:r>
      <w:r>
        <w:t xml:space="preserve"> </w:t>
      </w:r>
      <w:hyperlink r:id="rId16">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finalmente um alvo (roxo).</w:t>
      </w:r>
    </w:p>
    <w:p>
      <w:pPr>
        <w:numPr>
          <w:ilvl w:val="0"/>
          <w:numId w:val="1002"/>
        </w:numPr>
      </w:pPr>
      <w:r>
        <w:t xml:space="preserve">Use a</w:t>
      </w:r>
      <w:r>
        <w:t xml:space="preserve"> </w:t>
      </w:r>
      <w:hyperlink r:id="rId17">
        <w:r>
          <w:rPr>
            <w:rStyle w:val="Hyperlink"/>
          </w:rPr>
          <w:t xml:space="preserve">ferramenta de priorização de decisões</w:t>
        </w:r>
      </w:hyperlink>
      <w:r>
        <w:t xml:space="preserve"> </w:t>
      </w:r>
      <w:r>
        <w:t xml:space="preserve">para primeiro listar os diferentes tipos de decisões (use os</w:t>
      </w:r>
      <w:r>
        <w:t xml:space="preserve"> </w:t>
      </w:r>
      <w:hyperlink r:id="rId18">
        <w:r>
          <w:rPr>
            <w:rStyle w:val="Hyperlink"/>
          </w:rPr>
          <w:t xml:space="preserve">tipos de decisões</w:t>
        </w:r>
      </w:hyperlink>
      <w:r>
        <w:t xml:space="preserve"> </w:t>
      </w:r>
      <w:r>
        <w:t xml:space="preserve">como guia). Essas então preencherão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pegar a alça (três barras) mais à esquerda em cada linha para movê-la para cima ou para baixo. Ordene as linhas para que as decisões com o maior impacto nas métricas mais importantes fiquem no topo. As células no canto superior esquerdo devem ter a maior concentração de células vermelhas e laranja. Neste ponto, identifique as decisões que deveriam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19">
        <w:r>
          <w:rPr>
            <w:rStyle w:val="Hyperlink"/>
          </w:rPr>
          <w:t xml:space="preserve">ferramenta de priorização de incertezas</w:t>
        </w:r>
      </w:hyperlink>
      <w:r>
        <w:t xml:space="preserve">. Use as</w:t>
      </w:r>
      <w:r>
        <w:t xml:space="preserve"> </w:t>
      </w:r>
      <w:hyperlink r:id="rId20">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Qual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1"/>
    <w:bookmarkStart w:id="22" w:name="nota-do-caso"/>
    <w:p>
      <w:pPr>
        <w:pStyle w:val="Heading1"/>
      </w:pPr>
      <w:r>
        <w:t xml:space="preserve">Nota do Caso</w:t>
      </w:r>
    </w:p>
    <w:p>
      <w:pPr>
        <w:pStyle w:val="FirstParagraph"/>
      </w:pPr>
      <w:r>
        <w:t xml:space="preserve">Este caso de ensino fictício foi informado por temas recorrentes nos estudos de caso de automação de decisões truckload e materiais de gestão de mudança carregados: vínculos entre adoção e desempenho, confiança nas recomendações, a transição do planejamento manual para o gerenciamento de exceções, a importância do alinhamento de fluxo de trabalho e liderança, papéis de funcionários em evolução, prontidão de dados, e a necessidade contínua de intervenção humana legítima. Todas as organizações, pessoas, eventos e exibições numéricas neste caso são inventados para uso instrucional.</w:t>
      </w:r>
    </w:p>
    <w:bookmarkEnd w:id="22"/>
    <w:bookmarkStart w:id="25" w:name="notas-do-chatgpt"/>
    <w:p>
      <w:pPr>
        <w:pStyle w:val="Heading1"/>
      </w:pPr>
      <w:r>
        <w:t xml:space="preserve">Notas do ChatGPT:</w:t>
      </w:r>
    </w:p>
    <w:bookmarkStart w:id="23" w:name="prompt"/>
    <w:p>
      <w:pPr>
        <w:pStyle w:val="Heading2"/>
      </w:pPr>
      <w:r>
        <w:t xml:space="preserve">Prompt</w:t>
      </w:r>
    </w:p>
    <w:p>
      <w:pPr>
        <w:pStyle w:val="FirstParagraph"/>
      </w:pPr>
      <w:r>
        <w:t xml:space="preserve">Escreva um estudo de caso usando o contexto de uma empresa de software,</w:t>
      </w:r>
      <w:r>
        <w:t xml:space="preserve"> </w:t>
      </w:r>
      <w:r>
        <w:t xml:space="preserve">“Dynamic Dispatching”</w:t>
      </w:r>
      <w:r>
        <w:t xml:space="preserve">, que desenvolve software para a indústria truckload. Você pode usar os estudos de caso na pasta C:</w:t>
      </w:r>
      <w:r>
        <w:t xml:space="preserve">Powell</w:t>
      </w:r>
      <w:r>
        <w:t xml:space="preserve">documents</w:t>
      </w:r>
      <w:r>
        <w:t xml:space="preserve">Dynamics</w:t>
      </w:r>
      <w:r>
        <w:t xml:space="preserve">case studies, mas não use nomes de empresas reais. A</w:t>
      </w:r>
      <w:r>
        <w:t xml:space="preserve"> </w:t>
      </w:r>
      <w:r>
        <w:t xml:space="preserve">“Dispatch Dynamics”</w:t>
      </w:r>
      <w:r>
        <w:t xml:space="preserve"> </w:t>
      </w:r>
      <w:r>
        <w:t xml:space="preserve">desfrutou de várias implementações bem-sucedidas de seu software de despacho, mas há muitas empresas que não usam as recomendações sobre o que fazer com cada motorista. O desafio de negócios é descobrir por que esses clientes não estão usando o sistema, e explorar os passos que a</w:t>
      </w:r>
      <w:r>
        <w:t xml:space="preserve"> </w:t>
      </w:r>
      <w:r>
        <w:t xml:space="preserve">“Dispatch Dynamics”</w:t>
      </w:r>
      <w:r>
        <w:t xml:space="preserve"> </w:t>
      </w:r>
      <w:r>
        <w:t xml:space="preserve">poderia tomar para entender melhor a aceitação do usuário.</w:t>
      </w:r>
    </w:p>
    <w:bookmarkEnd w:id="23"/>
    <w:bookmarkStart w:id="24" w:name="resumo"/>
    <w:p>
      <w:pPr>
        <w:pStyle w:val="Heading2"/>
      </w:pPr>
      <w:r>
        <w:t xml:space="preserve">Resumo</w:t>
      </w:r>
    </w:p>
    <w:p>
      <w:pPr>
        <w:pStyle w:val="FirstParagraph"/>
      </w:pPr>
      <w:r>
        <w:t xml:space="preserve">O novo caso incorpora temas recorrentes dos materiais carregados, incluindo:</w:t>
      </w:r>
    </w:p>
    <w:p>
      <w:pPr>
        <w:numPr>
          <w:ilvl w:val="0"/>
          <w:numId w:val="1005"/>
        </w:numPr>
      </w:pPr>
      <w:r>
        <w:t xml:space="preserve">A relação entre adoção de recomendação e desempenho operacional</w:t>
      </w:r>
    </w:p>
    <w:p>
      <w:pPr>
        <w:numPr>
          <w:ilvl w:val="0"/>
          <w:numId w:val="1005"/>
        </w:numPr>
      </w:pPr>
      <w:r>
        <w:t xml:space="preserve">A transição do despacho manual para o gerenciamento de exceções</w:t>
      </w:r>
    </w:p>
    <w:p>
      <w:pPr>
        <w:numPr>
          <w:ilvl w:val="0"/>
          <w:numId w:val="1005"/>
        </w:numPr>
      </w:pPr>
      <w:r>
        <w:t xml:space="preserve">Confiança em recomendações automatizadas</w:t>
      </w:r>
    </w:p>
    <w:p>
      <w:pPr>
        <w:numPr>
          <w:ilvl w:val="0"/>
          <w:numId w:val="1005"/>
        </w:numPr>
      </w:pPr>
      <w:r>
        <w:t xml:space="preserve">Qualidade de dados e restrições operacionais ausentes</w:t>
      </w:r>
    </w:p>
    <w:p>
      <w:pPr>
        <w:numPr>
          <w:ilvl w:val="0"/>
          <w:numId w:val="1005"/>
        </w:numPr>
      </w:pPr>
      <w:r>
        <w:t xml:space="preserve">Conflitos entre recomendações em nível de rede e medidas de desempenho locais</w:t>
      </w:r>
    </w:p>
    <w:p>
      <w:pPr>
        <w:numPr>
          <w:ilvl w:val="0"/>
          <w:numId w:val="1005"/>
        </w:numPr>
      </w:pPr>
      <w:r>
        <w:t xml:space="preserve">Papéis dos despachantes, identidade profissional e preocupações com segurança no emprego</w:t>
      </w:r>
    </w:p>
    <w:p>
      <w:pPr>
        <w:numPr>
          <w:ilvl w:val="0"/>
          <w:numId w:val="1005"/>
        </w:numPr>
      </w:pPr>
      <w:r>
        <w:t xml:space="preserve">Motivos estruturados para substituir recomendações</w:t>
      </w:r>
    </w:p>
    <w:p>
      <w:pPr>
        <w:numPr>
          <w:ilvl w:val="0"/>
          <w:numId w:val="1005"/>
        </w:numPr>
      </w:pPr>
      <w:r>
        <w:t xml:space="preserve">A necessidade de distinguir intervenção humana legítima de não uso habitual</w:t>
      </w:r>
    </w:p>
    <w:p>
      <w:pPr>
        <w:numPr>
          <w:ilvl w:val="0"/>
          <w:numId w:val="1005"/>
        </w:numPr>
      </w:pPr>
      <w:r>
        <w:t xml:space="preserve">Iniciativas alternativas de pesquisa, produto e implementação</w:t>
      </w:r>
    </w:p>
    <w:p>
      <w:pPr>
        <w:pStyle w:val="FirstParagraph"/>
      </w:pPr>
      <w:r>
        <w:t xml:space="preserve">Todos os nomes de empresas e indivíduos, eventos e exibições numéricas são fictícios. O caso deliberadamente deixa em aberto se o problema principal está no software, nos dados do cliente, nas práticas de implementação, nos incentivos, no design organizacional, na confiança do usuário, ou na definição de</w:t>
      </w:r>
      <w:r>
        <w:t xml:space="preserve"> </w:t>
      </w:r>
      <w:r>
        <w:t xml:space="preserve">“uso bem-sucedido”</w:t>
      </w:r>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2026-09-11T16:40:34Z</dcterms:created>
  <dcterms:modified xsi:type="dcterms:W3CDTF">2026-09-11T16:40:34Z</dcterms:modified>
</cp:coreProperties>
</file>

<file path=docProps/custom.xml><?xml version="1.0" encoding="utf-8"?>
<Properties xmlns="http://schemas.openxmlformats.org/officeDocument/2006/custom-properties" xmlns:vt="http://schemas.openxmlformats.org/officeDocument/2006/docPropsVTypes"/>
</file>