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Como uma comunidade deve responder quando o risco de sarampo está concentrado, a confiança na vacinação está caindo e os custos da prevenção são imediatos — mas os benefícios são, em grande parte, invisíveis?</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CENÁRIO**</w:t>
            </w:r>
            <w:r>
              <w:rPr>
                <w:b/>
                <w:bCs/>
              </w:rPr>
              <w:t xml:space="preserve"> </w:t>
            </w:r>
            <w:r>
              <w:t xml:space="preserve">TOMADOR DE DECISÃO** DATA DA DECISÃO\</w:t>
            </w:r>
          </w:p>
        </w:tc>
      </w:tr>
      <w:tr>
        <w:tc>
          <w:tcPr/>
          <w:p>
            <w:pPr>
              <w:pStyle w:val="Compact"/>
              <w:jc w:val="left"/>
            </w:pPr>
            <w:r>
              <w:t xml:space="preserve">Harbor County, um condado suburbano-rural fictício Dra. Maya Patel, Diretora de Saúde do Condado Agosto de 2026</w:t>
            </w:r>
          </w:p>
        </w:tc>
      </w:tr>
    </w:tbl>
    <w:p>
      <w:r>
        <w:pict>
          <v:rect style="width:0;height:1.5pt" o:hralign="center" o:hrstd="t" o:hr="t"/>
        </w:pict>
      </w:r>
    </w:p>
    <w:bookmarkStart w:id="9" w:name="section"/>
    <w:p>
      <w:pPr>
        <w:pStyle w:val="Heading1"/>
      </w:pPr>
    </w:p>
    <w:bookmarkEnd w:id="9"/>
    <w:bookmarkStart w:id="11" w:name="uma-mensagem-antes-do-amanhecer"/>
    <w:p>
      <w:pPr>
        <w:pStyle w:val="Heading1"/>
      </w:pPr>
      <w:r>
        <w:t xml:space="preserve">Uma mensagem antes do amanhecer</w:t>
      </w:r>
    </w:p>
    <w:p>
      <w:pPr>
        <w:pStyle w:val="FirstParagraph"/>
      </w:pPr>
      <w:r>
        <w:t xml:space="preserve">Às 5h42, a Dra. Maya Patel recebeu uma mensagem de texto do epidemiologista estadual: um laboratório havia confirmado sarampo em um estudante de nove anos de Harbor County. A criança havia frequentado a escola por quatro dias enquanto estava infecciosa, visitado uma clínica de pronto atendimento, jogado em um torneio de basquete de fim de semana e passado duas horas em um terminal de aeroporto lotado antes que a erupção cutânea aparecesse.</w:t>
      </w:r>
    </w:p>
    <w:p>
      <w:pPr>
        <w:pStyle w:val="BodyText"/>
      </w:pPr>
      <w:r>
        <w:t xml:space="preserve">Às 7h00, o departamento de saúde do condado havia identificado 186 pessoas que poderiam ter sido expostas. O número aumentaria. Alguns contatos tinham registros eletrônicos de vacinação; outros tinham registros espalhados por consultórios pediátricos, escolas, farmácias e outros estados. Vinte e sete bebês eram jovens demais para a vacinação de rotina. Pelo menos onze pessoas expostas estavam grávidas ou imunocomprometidas. O distrito escolar queria saber se os alunos sem imunidade documentada deveriam ser excluídos das aulas — e por quanto tempo.</w:t>
      </w:r>
    </w:p>
    <w:p>
      <w:pPr>
        <w:pStyle w:val="BodyText"/>
      </w:pPr>
      <w:r>
        <w:t xml:space="preserve">O caso confirmado surgiu durante um ressurgimento nacional. Em 23 de julho de 2026, os Estados Unidos haviam registrado 2.318 casos confirmados de sarampo, com 93% associados a surtos. O total do ano completo de 2025 havia sido de 2.289 casos, em comparação com 285 em 2024.¹</w:t>
      </w:r>
    </w:p>
    <w:p>
      <w:pPr>
        <w:pStyle w:val="BodyText"/>
      </w:pPr>
      <w:r>
        <w:t xml:space="preserve">Harbor County não tinha transmissão local confirmada havia mais de uma década. No entanto, Patel sabia que a ausência de doença não era o mesmo que ausência de risco. A cobertura da vacina MMR em todo o condado entre alunos de jardim de infância era de 91,8%, mas a média ocultava ampla variação entre escolas e bairros. O executivo-chefe do condado havia agendado uma reunião de emergência para as 15h30. Esperava-se que Patel recomendasse uma resposta imediata e uma estratégia de vacinação de longo prazo — sem inflamar a desconfiança ou prometer que um surto poderia ser evitado.</w:t>
      </w:r>
    </w:p>
    <w:bookmarkStart w:id="10" w:name="o-desafio-central"/>
    <w:p>
      <w:pPr>
        <w:pStyle w:val="Heading2"/>
      </w:pPr>
      <w:r>
        <w:t xml:space="preserve">O desafio central</w:t>
      </w:r>
    </w:p>
    <w:p>
      <w:pPr>
        <w:pStyle w:val="FirstParagraph"/>
      </w:pPr>
      <w:r>
        <w:t xml:space="preserve">Harbor County deveria tratar o caso como uma exposição contida que exige uma resposta intensiva de curto prazo, ou como evidência de uma lacuna de imunidade mais profunda que justifica intervenção sustentada em escolas, clínicas e comunidades?</w:t>
      </w:r>
    </w:p>
    <w:bookmarkEnd w:id="10"/>
    <w:bookmarkEnd w:id="11"/>
    <w:bookmarkStart w:id="12" w:name="harbor-county"/>
    <w:p>
      <w:pPr>
        <w:pStyle w:val="Heading1"/>
      </w:pPr>
      <w:r>
        <w:t xml:space="preserve">Harbor County</w:t>
      </w:r>
    </w:p>
    <w:p>
      <w:pPr>
        <w:pStyle w:val="FirstParagraph"/>
      </w:pPr>
      <w:r>
        <w:t xml:space="preserve">Harbor County tinha 742.000 habitantes. Seus subúrbios costeiros incluíam vários grandes empregadores, um aeroporto regional e um centro médico universitário. As comunidades do interior eram mais rurais, com menos consultórios pediátricos e transporte noturno limitado. O condado era economicamente diverso: a renda familiar média era de $86.900, mas 14% das crianças viviam abaixo da linha federal de pobreza. Aproximadamente 24% dos residentes falavam um idioma diferente do inglês em casa. Todos os dados de Harbor County neste caso são fictícios, mas foram projetados para refletir condições enfrentadas por comunidades dos EUA.</w:t>
      </w:r>
    </w:p>
    <w:bookmarkEnd w:id="12"/>
    <w:bookmarkStart w:id="13" w:name="Xd1159efe702d5afdfce8f371cce08e5d9ee099f"/>
    <w:p>
      <w:pPr>
        <w:pStyle w:val="Heading1"/>
      </w:pPr>
      <w:r>
        <w:t xml:space="preserve">Uma doença evitável com requisitos de controle exigentes</w:t>
      </w:r>
    </w:p>
    <w:p>
      <w:pPr>
        <w:pStyle w:val="FirstParagraph"/>
      </w:pPr>
      <w:r>
        <w:t xml:space="preserve">O sarampo está entre as infecções humanas mais contagiosas. Os sintomas costumam começar de 7 a 14 dias após a exposição, permitindo que pessoas infectadas circulem por escolas, clínicas, lojas, locais de trabalho e sistemas de transporte antes que a doença seja reconhecida. Cerca de um em cada cinco pacientes não vacinados nos EUA com sarampo é hospitalizado; pneumonia ocorre em até um em cada vinte crianças, e encefalite em cerca de um em cada mil.²</w:t>
      </w:r>
    </w:p>
    <w:p>
      <w:pPr>
        <w:pStyle w:val="BodyText"/>
      </w:pPr>
      <w:r>
        <w:t xml:space="preserve">Duas doses de MMR fornecem a melhor proteção, e a maioria das pessoas vacinadas está protegida por toda a vida. Recomenda-se rotineiramente que as crianças recebam a primeira dose entre 12 e 15 meses e a segunda entre 4 e 6 anos.³ A proteção comunitária geralmente exige cobertura vacinal acima de 95%, um limiar que deve ser sustentado localmente, e não apenas nas médias de todo o condado.¹</w:t>
      </w:r>
    </w:p>
    <w:p>
      <w:pPr>
        <w:pStyle w:val="BodyText"/>
      </w:pPr>
      <w:r>
        <w:t xml:space="preserve">A cobertura nacional de MMR entre alunos de jardim de infância caiu de 95,2% em 2019–2020 para 92,5% em 2024–2025, deixando cerca de 286.000 alunos de jardim de infância sem documentação de conclusão da série. As isenções de uma ou mais vacinas subiram para 3,6%, e dezessete estados relataram taxas de isenção acima de 5%.⁴</w:t>
      </w:r>
    </w:p>
    <w:bookmarkEnd w:id="13"/>
    <w:bookmarkStart w:id="14" w:name="o-mapa-local-de-imunidade"/>
    <w:p>
      <w:pPr>
        <w:pStyle w:val="Heading1"/>
      </w:pPr>
      <w:r>
        <w:t xml:space="preserve">O mapa local de imunidade</w:t>
      </w:r>
    </w:p>
    <w:p>
      <w:pPr>
        <w:pStyle w:val="FirstParagraph"/>
      </w:pPr>
      <w:r>
        <w:t xml:space="preserve">A média de Harbor County parecia administrável até que analistas mapearam a cobertura em nível escolar. Quarenta e três das 128 escolas primárias do condado excederam 95% de cobertura documentada de MMR. Trinta e uma escolas estavam abaixo de 90%, incluindo nove abaixo de 85%. Várias escolas com baixa cobertura estavam geograficamente agrupadas, mas suas circunstâncias diferiam. Algumas atendiam famílias que tinham dificuldade em agendar consultas ou recuperar registros. Outras tinham redes organizadas de pais que questionavam as exigências de vacinação. Algumas escolas particulares tinham altas taxas de isenção, mas relações fortes com as famílias e pouca confiança no governo do condado.</w:t>
      </w:r>
    </w:p>
    <w:p>
      <w:pPr>
        <w:pStyle w:val="BodyText"/>
      </w:pPr>
      <w:r>
        <w:t xml:space="preserve">Os dados eram incompletos. O registro estadual de imunização não capturava de forma confiável as vacinações administradas antes de as famílias se mudarem para o estado. Os registros escolares contavam a documentação ausente como não vacinado, o que superestimava a suscetibilidade em alguns lugares. Ao mesmo tempo, as médias escolares podiam subestimar o risco, porque famílias não vacinadas frequentemente interagiam por meio de equipes esportivas, comunidades religiosas, redes de creches e grupos de ensino domiciliar que cruzavam os limites de matrícula.</w:t>
      </w:r>
    </w:p>
    <w:bookmarkEnd w:id="14"/>
    <w:bookmarkStart w:id="15" w:name="a-resposta-imediata"/>
    <w:p>
      <w:pPr>
        <w:pStyle w:val="Heading1"/>
      </w:pPr>
      <w:r>
        <w:t xml:space="preserve">A resposta imediata</w:t>
      </w:r>
    </w:p>
    <w:p>
      <w:pPr>
        <w:pStyle w:val="FirstParagraph"/>
      </w:pPr>
      <w:r>
        <w:t xml:space="preserve">Investigação de casos e rastreamento de contatos: Entrevistar a família, reconstruir locais e horários, notificar as pessoas expostas e monitorar sintomas por 21 dias após a última exposição.</w:t>
      </w:r>
    </w:p>
    <w:p>
      <w:pPr>
        <w:pStyle w:val="BodyText"/>
      </w:pPr>
      <w:r>
        <w:t xml:space="preserve">Proteção pós-exposição: Providenciar vacinação rápida com MMR para contatos elegíveis dentro de 72 horas após a exposição e imunoglobulina para certas pessoas de alto risco dentro de seis dias.³</w:t>
      </w:r>
    </w:p>
    <w:p>
      <w:pPr>
        <w:pStyle w:val="BodyText"/>
      </w:pPr>
      <w:r>
        <w:t xml:space="preserve">Controles escolares: Verificar registros, identificar alunos e funcionários suscetíveis, e determinar se a exclusão é legalmente exigida ou operacionalmente viável.</w:t>
      </w:r>
    </w:p>
    <w:p>
      <w:pPr>
        <w:pStyle w:val="BodyText"/>
      </w:pPr>
      <w:r>
        <w:t xml:space="preserve">Prontidão clínica: Alertar hospitais e consultórios, estabelecer procedimentos de isolamento e reduzir o risco de que pacientes suspeitos exponham salas de espera.</w:t>
      </w:r>
    </w:p>
    <w:p>
      <w:pPr>
        <w:pStyle w:val="BodyText"/>
      </w:pPr>
      <w:r>
        <w:t xml:space="preserve">Comunicação pública: Informar a comunidade rapidamente o suficiente para incentivar a ação, evitando ao mesmo tempo divulgar a identidade da criança ou linguagem que possa estigmatizar uma escola, comunidade religiosa, grupo de imigrantes ou famílias hesitantes quanto à vacinação.</w:t>
      </w:r>
    </w:p>
    <w:bookmarkEnd w:id="15"/>
    <w:bookmarkStart w:id="16" w:name="visões-conflitantes"/>
    <w:p>
      <w:pPr>
        <w:pStyle w:val="Heading1"/>
      </w:pPr>
      <w:r>
        <w:t xml:space="preserve">Visões conflitantes</w:t>
      </w:r>
    </w:p>
    <w:p>
      <w:pPr>
        <w:pStyle w:val="FirstParagraph"/>
      </w:pPr>
      <w:r>
        <w:t xml:space="preserve">A superintendente Laura Chen queria uma regra uniforme. Os diretores não conseguiam interpretar registros e isenções diferentes enquanto também lidavam com pais ansiosos e ausências de funcionários. O procurador do condado alertou que as regras de exclusão eram regidas pela lei estadual e por requisitos de devido processo legal. Os pediatras apoiaram as clínicas de vacinação, mas disseram que muitos consultórios não tinham pessoal extra nem armazenamento refrigerado para uma campanha repentina. Executivos hospitalares pediram ao condado que financiasse capacidade dedicada de triagem e testagem, para que pacientes suspeitos não entrassem nas salas de espera comuns dos prontos-socorros.</w:t>
      </w:r>
    </w:p>
    <w:p>
      <w:pPr>
        <w:pStyle w:val="BodyText"/>
      </w:pPr>
      <w:r>
        <w:t xml:space="preserve">Os grupos de pais discordavam fortemente. Alguns exigiam a exclusão imediata de todos os alunos sem imunidade verificada. Outros argumentavam que um único caso importado não justificava interromper a educação ou tratar famílias isentas como irresponsáveis. Organizações comunitárias disseram que as mensagens do condado eram técnicas demais e focadas demais em persuasão. Elas queriam apoio prático — tradução, transporte, clínicas noturnas, recuperação de registros e mensageiros confiáveis — antes da aplicação de regras.</w:t>
      </w:r>
    </w:p>
    <w:bookmarkEnd w:id="16"/>
    <w:bookmarkStart w:id="17" w:name="a-decisão-de-financiamento"/>
    <w:p>
      <w:pPr>
        <w:pStyle w:val="Heading1"/>
      </w:pPr>
      <w:r>
        <w:t xml:space="preserve">A decisão de financiamento</w:t>
      </w:r>
    </w:p>
    <w:p>
      <w:pPr>
        <w:pStyle w:val="FirstParagraph"/>
      </w:pPr>
      <w:r>
        <w:t xml:space="preserve">Patel podia acessar $1,9 milhão em reservas de emergência. Um subsídio estadual para surtos poderia reembolsar até $1,2 milhão, mas somente após as despesas serem documentadas e aprovadas. O executivo-chefe do condado estava disposto a considerar uma dotação adicional se Patel pudesse explicar o que seria comprado, por quanto tempo funcionaria e quando o condado interromperia. Cada dólar comprometido com o sarampo ficaria indisponível para inspeções de restaurantes, clínicas de infecções sexualmente transmissíveis, visitas de saúde materna, controle de tuberculose e preparativos para a temporada de vírus respiratórios do outono.</w:t>
      </w:r>
    </w:p>
    <w:bookmarkEnd w:id="17"/>
    <w:bookmarkStart w:id="18" w:name="programas-em-análise"/>
    <w:p>
      <w:pPr>
        <w:pStyle w:val="Heading1"/>
      </w:pPr>
      <w:r>
        <w:t xml:space="preserve">Programas em análise</w:t>
      </w:r>
    </w:p>
    <w:p>
      <w:pPr>
        <w:pStyle w:val="FirstParagraph"/>
      </w:pPr>
      <w:r>
        <w:t xml:space="preserve">Nota: Custos, resultados e estimativas locais são fictícios. Os números de capacidade mostram o que poderia ser entregue durante os primeiros 90 dias.</w:t>
      </w:r>
    </w:p>
    <w:tbl>
      <w:tblPr>
        <w:tblStyle w:val="Table"/>
        <w:tblW w:type="pct" w:w="4950"/>
        <w:tblLayout w:type="fixed"/>
        <w:tblLook w:firstRow="1" w:lastRow="0" w:firstColumn="0" w:lastColumn="0" w:noHBand="0" w:noVBand="0" w:val="0020"/>
      </w:tblPr>
      <w:tblGrid>
        <w:gridCol w:w="1221"/>
        <w:gridCol w:w="551"/>
        <w:gridCol w:w="1694"/>
        <w:gridCol w:w="2324"/>
        <w:gridCol w:w="2048"/>
      </w:tblGrid>
      <w:tr>
        <w:trPr>
          <w:tblHeader w:val="on"/>
        </w:trPr>
        <w:tc>
          <w:tcPr/>
          <w:p>
            <w:pPr>
              <w:pStyle w:val="Compact"/>
            </w:pPr>
            <w:r>
              <w:t xml:space="preserve">Intervenção C</w:t>
            </w:r>
          </w:p>
        </w:tc>
        <w:tc>
          <w:tcPr/>
          <w:p>
            <w:pPr>
              <w:pStyle w:val="Compact"/>
            </w:pPr>
            <w:r>
              <w:t xml:space="preserve">usto em 90 dia</w:t>
            </w:r>
          </w:p>
        </w:tc>
        <w:tc>
          <w:tcPr/>
          <w:p>
            <w:pPr>
              <w:pStyle w:val="Compact"/>
              <w:jc w:val="left"/>
            </w:pPr>
            <w:r>
              <w:t xml:space="preserve">s Capacidade potencial</w:t>
            </w:r>
          </w:p>
        </w:tc>
        <w:tc>
          <w:tcPr/>
          <w:p>
            <w:pPr>
              <w:pStyle w:val="Compact"/>
              <w:jc w:val="center"/>
            </w:pPr>
            <w:r>
              <w:t xml:space="preserve">Incerteza primária</w:t>
            </w:r>
          </w:p>
        </w:tc>
        <w:tc>
          <w:tcPr/>
          <w:p>
            <w:pPr>
              <w:pStyle w:val="Compact"/>
              <w:jc w:val="center"/>
            </w:pPr>
            <w:r>
              <w:t xml:space="preserve">Restrição operacional</w:t>
            </w:r>
          </w:p>
        </w:tc>
      </w:tr>
      <w:tr>
        <w:tc>
          <w:tcPr/>
          <w:p>
            <w:pPr>
              <w:pStyle w:val="Compact"/>
            </w:pPr>
            <w:r>
              <w:t xml:space="preserve">Clínicas nas escolas</w:t>
            </w:r>
          </w:p>
        </w:tc>
        <w:tc>
          <w:tcPr/>
          <w:p>
            <w:pPr>
              <w:pStyle w:val="Compact"/>
            </w:pPr>
            <w:r>
              <w:t xml:space="preserve">$620.000</w:t>
            </w:r>
          </w:p>
        </w:tc>
        <w:tc>
          <w:tcPr/>
          <w:p>
            <w:pPr>
              <w:pStyle w:val="Compact"/>
              <w:jc w:val="left"/>
            </w:pPr>
            <w:r>
              <w:t xml:space="preserve">18.000 vacinações ou revisões de registros</w:t>
            </w:r>
          </w:p>
        </w:tc>
        <w:tc>
          <w:tcPr/>
          <w:p>
            <w:pPr>
              <w:pStyle w:val="Compact"/>
              <w:jc w:val="center"/>
            </w:pPr>
            <w:r>
              <w:t xml:space="preserve">Quantos alunos sem documentação já são imunes?</w:t>
            </w:r>
          </w:p>
        </w:tc>
        <w:tc>
          <w:tcPr/>
          <w:p>
            <w:pPr>
              <w:pStyle w:val="Compact"/>
              <w:jc w:val="center"/>
            </w:pPr>
            <w:r>
              <w:t xml:space="preserve">Requer consentimento escolar, pessoal e cadeia de frio</w:t>
            </w:r>
          </w:p>
        </w:tc>
      </w:tr>
      <w:tr>
        <w:tc>
          <w:tcPr/>
          <w:p>
            <w:pPr>
              <w:pStyle w:val="Compact"/>
            </w:pPr>
            <w:r>
              <w:t xml:space="preserve">Clínicas móveis/comunitárias</w:t>
            </w:r>
          </w:p>
        </w:tc>
        <w:tc>
          <w:tcPr/>
          <w:p>
            <w:pPr>
              <w:pStyle w:val="Compact"/>
            </w:pPr>
            <w:r>
              <w:t xml:space="preserve">$410.000</w:t>
            </w:r>
          </w:p>
        </w:tc>
        <w:tc>
          <w:tcPr/>
          <w:p>
            <w:pPr>
              <w:pStyle w:val="Compact"/>
              <w:jc w:val="left"/>
            </w:pPr>
            <w:r>
              <w:t xml:space="preserve">7.500 vacinações; 36 eventos noturnos</w:t>
            </w:r>
          </w:p>
        </w:tc>
        <w:tc>
          <w:tcPr/>
          <w:p>
            <w:pPr>
              <w:pStyle w:val="Compact"/>
              <w:jc w:val="center"/>
            </w:pPr>
            <w:r>
              <w:t xml:space="preserve">Os grupos com baixa cobertura comparecerão a eventos pa</w:t>
            </w:r>
          </w:p>
        </w:tc>
        <w:tc>
          <w:tcPr/>
          <w:p>
            <w:pPr>
              <w:pStyle w:val="Compact"/>
              <w:jc w:val="center"/>
            </w:pPr>
            <w:r>
              <w:t xml:space="preserve">trocinados pelo condado? Locais e parceiros de confiança variam por bairro</w:t>
            </w:r>
          </w:p>
        </w:tc>
      </w:tr>
      <w:tr>
        <w:tc>
          <w:tcPr/>
          <w:p>
            <w:pPr>
              <w:pStyle w:val="Compact"/>
            </w:pPr>
            <w:r>
              <w:t xml:space="preserve">Equipe de reconciliação de regi</w:t>
            </w:r>
          </w:p>
        </w:tc>
        <w:tc>
          <w:tcPr/>
          <w:p>
            <w:pPr>
              <w:pStyle w:val="Compact"/>
            </w:pPr>
            <w:r>
              <w:t xml:space="preserve">stros $28</w:t>
            </w:r>
          </w:p>
        </w:tc>
        <w:tc>
          <w:tcPr/>
          <w:p>
            <w:pPr>
              <w:pStyle w:val="Compact"/>
              <w:jc w:val="left"/>
            </w:pPr>
            <w:r>
              <w:t xml:space="preserve">0.000 25.000 registros de alunos revisa</w:t>
            </w:r>
          </w:p>
        </w:tc>
        <w:tc>
          <w:tcPr/>
          <w:p>
            <w:pPr>
              <w:pStyle w:val="Compact"/>
              <w:jc w:val="center"/>
            </w:pPr>
            <w:r>
              <w:t xml:space="preserve">dos A melhoria dos registros mudará materialmente as e</w:t>
            </w:r>
          </w:p>
        </w:tc>
        <w:tc>
          <w:tcPr/>
          <w:p>
            <w:pPr>
              <w:pStyle w:val="Compact"/>
              <w:jc w:val="center"/>
            </w:pPr>
            <w:r>
              <w:t xml:space="preserve">stimativas de risco? Compartilhamento de dados e verificação manual</w:t>
            </w:r>
          </w:p>
        </w:tc>
      </w:tr>
      <w:tr>
        <w:tc>
          <w:tcPr/>
          <w:p>
            <w:pPr>
              <w:pStyle w:val="Compact"/>
            </w:pPr>
            <w:r>
              <w:t xml:space="preserve">Suporte de isolamento clínico</w:t>
            </w:r>
          </w:p>
        </w:tc>
        <w:tc>
          <w:tcPr/>
          <w:p>
            <w:pPr>
              <w:pStyle w:val="Compact"/>
            </w:pPr>
            <w:r>
              <w:t xml:space="preserve">$360.000</w:t>
            </w:r>
          </w:p>
        </w:tc>
        <w:tc>
          <w:tcPr/>
          <w:p>
            <w:pPr>
              <w:pStyle w:val="Compact"/>
              <w:jc w:val="left"/>
            </w:pPr>
            <w:r>
              <w:t xml:space="preserve">12 instalações equipadas e treinadas</w:t>
            </w:r>
          </w:p>
        </w:tc>
        <w:tc>
          <w:tcPr/>
          <w:p>
            <w:pPr>
              <w:pStyle w:val="Compact"/>
              <w:jc w:val="center"/>
            </w:pPr>
            <w:r>
              <w:t xml:space="preserve">Quantos casos suspeitos buscarão atendimento?</w:t>
            </w:r>
          </w:p>
        </w:tc>
        <w:tc>
          <w:tcPr/>
          <w:p>
            <w:pPr>
              <w:pStyle w:val="Compact"/>
              <w:jc w:val="center"/>
            </w:pPr>
            <w:r>
              <w:t xml:space="preserve">Os fluxos de trabalho hospitalares e de consultórios diferem</w:t>
            </w:r>
          </w:p>
        </w:tc>
      </w:tr>
      <w:tr>
        <w:tc>
          <w:tcPr/>
          <w:p>
            <w:pPr>
              <w:pStyle w:val="Compact"/>
            </w:pPr>
            <w:r>
              <w:t xml:space="preserve">Comunicação e mensageiros $2</w:t>
            </w:r>
          </w:p>
        </w:tc>
        <w:tc>
          <w:tcPr/>
          <w:p>
            <w:pPr>
              <w:pStyle w:val="Compact"/>
            </w:pPr>
            <w:r>
              <w:t xml:space="preserve">40.000 Cam</w:t>
            </w:r>
          </w:p>
        </w:tc>
        <w:tc>
          <w:tcPr/>
          <w:p>
            <w:pPr>
              <w:pStyle w:val="Compact"/>
              <w:jc w:val="left"/>
            </w:pPr>
            <w:r>
              <w:t xml:space="preserve">panha multilíngue; 40 subsídios a parceiros</w:t>
            </w:r>
          </w:p>
        </w:tc>
        <w:tc>
          <w:tcPr/>
          <w:p>
            <w:pPr>
              <w:pStyle w:val="Compact"/>
              <w:jc w:val="center"/>
            </w:pPr>
            <w:r>
              <w:t xml:space="preserve">As mensagens poderiam aumentar a resistência ou o estigm</w:t>
            </w:r>
          </w:p>
        </w:tc>
        <w:tc>
          <w:tcPr/>
          <w:p>
            <w:pPr>
              <w:pStyle w:val="Compact"/>
              <w:jc w:val="center"/>
            </w:pPr>
            <w:r>
              <w:t xml:space="preserve">a? O impacto é difícil de atribuir</w:t>
            </w:r>
          </w:p>
        </w:tc>
      </w:tr>
      <w:tr>
        <w:tc>
          <w:tcPr/>
          <w:p>
            <w:pPr>
              <w:pStyle w:val="Compact"/>
            </w:pPr>
            <w:r>
              <w:t xml:space="preserve">Reserva de rastreamento ampliad</w:t>
            </w:r>
          </w:p>
        </w:tc>
        <w:tc>
          <w:tcPr/>
          <w:p>
            <w:pPr>
              <w:pStyle w:val="Compact"/>
            </w:pPr>
            <w:r>
              <w:t xml:space="preserve">a $510.000</w:t>
            </w:r>
          </w:p>
        </w:tc>
        <w:tc>
          <w:tcPr/>
          <w:p>
            <w:pPr>
              <w:pStyle w:val="Compact"/>
              <w:jc w:val="left"/>
            </w:pPr>
            <w:r>
              <w:t xml:space="preserve">Até 1.800 contatos monitorados Núm</w:t>
            </w:r>
          </w:p>
        </w:tc>
        <w:tc>
          <w:tcPr/>
          <w:p>
            <w:pPr>
              <w:pStyle w:val="Compact"/>
              <w:jc w:val="center"/>
            </w:pPr>
            <w:r>
              <w:t xml:space="preserve">ero e complexidade de futuros casos In</w:t>
            </w:r>
          </w:p>
        </w:tc>
        <w:tc>
          <w:tcPr/>
          <w:p>
            <w:pPr>
              <w:pStyle w:val="Compact"/>
              <w:jc w:val="center"/>
            </w:pPr>
            <w:r>
              <w:t xml:space="preserve">tensivo em mão de obra; a demanda pode desaparecer ou aumentar</w:t>
            </w:r>
          </w:p>
        </w:tc>
      </w:tr>
    </w:tbl>
    <w:bookmarkEnd w:id="18"/>
    <w:bookmarkStart w:id="19" w:name="X4ce4a88118028239f4b03356148c286e20ff867"/>
    <w:p>
      <w:pPr>
        <w:pStyle w:val="Heading1"/>
      </w:pPr>
      <w:r>
        <w:t xml:space="preserve">Direções possíveis — não mutuamente exclusivas</w:t>
      </w:r>
    </w:p>
    <w:p>
      <w:pPr>
        <w:pStyle w:val="FirstParagraph"/>
      </w:pPr>
      <w:r>
        <w:t xml:space="preserve">Conter a exposição atual. Concentrar recursos em rastreamento, profilaxia pós-exposição, verificações de registros escolares e isolamento clínico; evitar uma campanha mais ampla, a menos que surjam casos secundários.</w:t>
      </w:r>
    </w:p>
    <w:p>
      <w:pPr>
        <w:pStyle w:val="BodyText"/>
      </w:pPr>
      <w:r>
        <w:t xml:space="preserve">Fechar lacunas documentadas de acesso. Expandir a vacinação conveniente e a recuperação de registros em escolas com baixa cobertura, independentemente das crenças declaradas das famílias.</w:t>
      </w:r>
    </w:p>
    <w:p>
      <w:pPr>
        <w:pStyle w:val="BodyText"/>
      </w:pPr>
      <w:r>
        <w:t xml:space="preserve">Usar aplicação escolar mais rigorosa. Apertar prazos e práticas de exclusão para aumentar a imunidade documentada, aceitando a perturbação política e educacional.</w:t>
      </w:r>
    </w:p>
    <w:p>
      <w:pPr>
        <w:pStyle w:val="BodyText"/>
      </w:pPr>
      <w:r>
        <w:t xml:space="preserve">Investir em confiança e relacionamentos. Financiar organizações locais e clínicos para envolver famílias hesitantes ao longo do tempo, mesmo que resultados mensuráveis possam ser lentos e incertos.</w:t>
      </w:r>
    </w:p>
    <w:p>
      <w:pPr>
        <w:pStyle w:val="BodyText"/>
      </w:pPr>
      <w:r>
        <w:t xml:space="preserve">Adotar um portfólio acionado por risco. Predefinir limiares — novos casos, ambientes de exposição, cobertura escolar, capacidade hospitalar — que expandem ou contraem automaticamente as intervenções.</w:t>
      </w:r>
    </w:p>
    <w:bookmarkEnd w:id="19"/>
    <w:bookmarkStart w:id="20" w:name="o-que-significaria-sucesso"/>
    <w:p>
      <w:pPr>
        <w:pStyle w:val="Heading1"/>
      </w:pPr>
      <w:r>
        <w:t xml:space="preserve">O que significaria sucesso?</w:t>
      </w:r>
    </w:p>
    <w:p>
      <w:pPr>
        <w:pStyle w:val="FirstParagraph"/>
      </w:pPr>
      <w:r>
        <w:t xml:space="preserve">As partes interessadas não concordavam sobre o objetivo. Os epidemiologistas enfatizavam a prevenção da transmissão secundária. As escolas queriam estabilidade de frequência e regras claras. Os hospitais priorizavam triagem segura e evitar exposições. Os pais se concentravam na segurança das crianças, na autonomia, ou em ambas. Os grupos comunitários enfatizavam confiança e acesso equitativo. Os funcionários financeiros queriam saber o custo por vacinação, por registro verificado, por caso detectado, ou por infecção evitada — embora esta última medida nunca pudesse ser observada diretamente.</w:t>
      </w:r>
    </w:p>
    <w:p>
      <w:pPr>
        <w:pStyle w:val="BodyText"/>
      </w:pPr>
      <w:r>
        <w:t xml:space="preserve">Patel também enfrentava um problema de tempo. Uma resposta enérgica poderia parecer desperdício se nenhum segundo caso ocorresse. Uma resposta contida poderia parecer prudente — até que o reconhecimento tardio permitisse a transmissão em várias escolas. Melhores dados poderiam reduzir a incerteza, mas esperar por melhores dados era, em si, uma decisão.</w:t>
      </w:r>
    </w:p>
    <w:bookmarkEnd w:id="20"/>
    <w:bookmarkStart w:id="21" w:name="X021e305ab0d1a09b8f66e3378625674e1080f55"/>
    <w:p>
      <w:pPr>
        <w:pStyle w:val="Heading1"/>
      </w:pPr>
      <w:r>
        <w:t xml:space="preserve">Exhibit 1. Indicadores de vacinação de Harbor County</w:t>
      </w:r>
    </w:p>
    <w:p>
      <w:pPr>
        <w:pStyle w:val="FirstParagraph"/>
      </w:pPr>
      <w:r>
        <w:t xml:space="preserve">*Os números de 2026 refletem os registros disponíveis em 15 de julho. Todos os números de Harbor County são fictícios.</w:t>
      </w:r>
    </w:p>
    <w:tbl>
      <w:tblPr>
        <w:tblStyle w:val="Table"/>
        <w:tblW w:type="pct" w:w="4901"/>
        <w:tblLayout w:type="fixed"/>
        <w:tblLook w:firstRow="1" w:lastRow="0" w:firstColumn="0" w:lastColumn="0" w:noHBand="0" w:noVBand="0" w:val="0020"/>
      </w:tblPr>
      <w:tblGrid>
        <w:gridCol w:w="3293"/>
        <w:gridCol w:w="862"/>
        <w:gridCol w:w="862"/>
        <w:gridCol w:w="862"/>
        <w:gridCol w:w="862"/>
        <w:gridCol w:w="1019"/>
      </w:tblGrid>
      <w:tr>
        <w:trPr>
          <w:tblHeader w:val="on"/>
        </w:trPr>
        <w:tc>
          <w:tcPr/>
          <w:p>
            <w:pPr>
              <w:pStyle w:val="Compact"/>
              <w:jc w:val="left"/>
            </w:pPr>
            <w:r>
              <w:t xml:space="preserve">Indicador</w:t>
            </w:r>
          </w:p>
        </w:tc>
        <w:tc>
          <w:tcPr/>
          <w:p>
            <w:pPr>
              <w:pStyle w:val="Compact"/>
              <w:jc w:val="left"/>
            </w:pPr>
            <w:r>
              <w:t xml:space="preserve">2021–22</w:t>
            </w:r>
          </w:p>
        </w:tc>
        <w:tc>
          <w:tcPr/>
          <w:p>
            <w:pPr>
              <w:pStyle w:val="Compact"/>
              <w:jc w:val="left"/>
            </w:pPr>
            <w:r>
              <w:t xml:space="preserve">2022–23</w:t>
            </w:r>
          </w:p>
        </w:tc>
        <w:tc>
          <w:tcPr/>
          <w:p>
            <w:pPr>
              <w:pStyle w:val="Compact"/>
              <w:jc w:val="left"/>
            </w:pPr>
            <w:r>
              <w:t xml:space="preserve">2023–24</w:t>
            </w:r>
          </w:p>
        </w:tc>
        <w:tc>
          <w:tcPr/>
          <w:p>
            <w:pPr>
              <w:pStyle w:val="Compact"/>
              <w:jc w:val="left"/>
            </w:pPr>
            <w:r>
              <w:t xml:space="preserve">2024–25</w:t>
            </w:r>
          </w:p>
        </w:tc>
        <w:tc>
          <w:tcPr/>
          <w:p>
            <w:pPr>
              <w:pStyle w:val="Compact"/>
              <w:jc w:val="left"/>
            </w:pPr>
            <w:r>
              <w:t xml:space="preserve">2025–26*</w:t>
            </w:r>
          </w:p>
        </w:tc>
      </w:tr>
      <w:tr>
        <w:tc>
          <w:tcPr/>
          <w:p>
            <w:pPr>
              <w:pStyle w:val="Compact"/>
              <w:jc w:val="left"/>
            </w:pPr>
            <w:r>
              <w:t xml:space="preserve">Cobertura de MMR no jardim de infância</w:t>
            </w:r>
          </w:p>
        </w:tc>
        <w:tc>
          <w:tcPr/>
          <w:p>
            <w:pPr>
              <w:pStyle w:val="Compact"/>
            </w:pPr>
          </w:p>
        </w:tc>
        <w:tc>
          <w:tcPr/>
          <w:p>
            <w:pPr>
              <w:pStyle w:val="Compact"/>
              <w:jc w:val="left"/>
            </w:pPr>
            <w:r>
              <w:t xml:space="preserve">94,8%</w:t>
            </w:r>
          </w:p>
        </w:tc>
        <w:tc>
          <w:tcPr/>
          <w:p>
            <w:pPr>
              <w:pStyle w:val="Compact"/>
              <w:jc w:val="left"/>
            </w:pPr>
            <w:r>
              <w:t xml:space="preserve">94,1%</w:t>
            </w:r>
          </w:p>
        </w:tc>
        <w:tc>
          <w:tcPr/>
          <w:p>
            <w:pPr>
              <w:pStyle w:val="Compact"/>
              <w:jc w:val="left"/>
            </w:pPr>
            <w:r>
              <w:t xml:space="preserve">93,0%</w:t>
            </w:r>
          </w:p>
        </w:tc>
        <w:tc>
          <w:tcPr/>
          <w:p>
            <w:pPr>
              <w:pStyle w:val="Compact"/>
              <w:jc w:val="left"/>
            </w:pPr>
            <w:r>
              <w:t xml:space="preserve">92,4% 91,8%</w:t>
            </w:r>
          </w:p>
        </w:tc>
      </w:tr>
      <w:tr>
        <w:tc>
          <w:tcPr/>
          <w:p>
            <w:pPr>
              <w:pStyle w:val="Compact"/>
              <w:jc w:val="left"/>
            </w:pPr>
            <w:r>
              <w:t xml:space="preserve">Alunos com isenções 2,4%</w:t>
            </w:r>
          </w:p>
        </w:tc>
        <w:tc>
          <w:tcPr/>
          <w:p>
            <w:pPr>
              <w:pStyle w:val="Compact"/>
              <w:jc w:val="left"/>
            </w:pPr>
            <w:r>
              <w:t xml:space="preserve">2,8%</w:t>
            </w:r>
          </w:p>
        </w:tc>
        <w:tc>
          <w:tcPr/>
          <w:p>
            <w:pPr>
              <w:pStyle w:val="Compact"/>
              <w:jc w:val="left"/>
            </w:pPr>
            <w:r>
              <w:t xml:space="preserve">3,3%</w:t>
            </w:r>
          </w:p>
        </w:tc>
        <w:tc>
          <w:tcPr/>
          <w:p>
            <w:pPr>
              <w:pStyle w:val="Compact"/>
              <w:jc w:val="left"/>
            </w:pPr>
            <w:r>
              <w:t xml:space="preserve">3,9%</w:t>
            </w:r>
          </w:p>
        </w:tc>
        <w:tc>
          <w:tcPr/>
          <w:p>
            <w:pPr>
              <w:pStyle w:val="Compact"/>
              <w:jc w:val="left"/>
            </w:pPr>
            <w:r>
              <w:t xml:space="preserve">4,4%</w:t>
            </w:r>
          </w:p>
        </w:tc>
        <w:tc>
          <w:tcPr/>
          <w:p>
            <w:pPr>
              <w:pStyle w:val="Compact"/>
            </w:pPr>
          </w:p>
        </w:tc>
      </w:tr>
      <w:tr>
        <w:tc>
          <w:tcPr/>
          <w:p>
            <w:pPr>
              <w:pStyle w:val="Compact"/>
              <w:jc w:val="left"/>
            </w:pPr>
            <w:r>
              <w:t xml:space="preserve">Alunos sem documentação completa 5,2%</w:t>
            </w:r>
          </w:p>
        </w:tc>
        <w:tc>
          <w:tcPr/>
          <w:p>
            <w:pPr>
              <w:pStyle w:val="Compact"/>
              <w:jc w:val="left"/>
            </w:pPr>
            <w:r>
              <w:t xml:space="preserve">5,9%</w:t>
            </w:r>
          </w:p>
        </w:tc>
        <w:tc>
          <w:tcPr/>
          <w:p>
            <w:pPr>
              <w:pStyle w:val="Compact"/>
              <w:jc w:val="left"/>
            </w:pPr>
            <w:r>
              <w:t xml:space="preserve">7,0%</w:t>
            </w:r>
          </w:p>
        </w:tc>
        <w:tc>
          <w:tcPr/>
          <w:p>
            <w:pPr>
              <w:pStyle w:val="Compact"/>
              <w:jc w:val="left"/>
            </w:pPr>
            <w:r>
              <w:t xml:space="preserve">7,6%</w:t>
            </w:r>
          </w:p>
        </w:tc>
        <w:tc>
          <w:tcPr/>
          <w:p>
            <w:pPr>
              <w:pStyle w:val="Compact"/>
              <w:jc w:val="left"/>
            </w:pPr>
            <w:r>
              <w:t xml:space="preserve">8,2%</w:t>
            </w:r>
          </w:p>
        </w:tc>
        <w:tc>
          <w:tcPr/>
          <w:p>
            <w:pPr>
              <w:pStyle w:val="Compact"/>
            </w:pPr>
          </w:p>
        </w:tc>
      </w:tr>
      <w:tr>
        <w:tc>
          <w:tcPr/>
          <w:p>
            <w:pPr>
              <w:pStyle w:val="Compact"/>
              <w:jc w:val="left"/>
            </w:pPr>
            <w:r>
              <w:t xml:space="preserve">Escolas primárias abaixo de 90% de cobertu</w:t>
            </w:r>
          </w:p>
        </w:tc>
        <w:tc>
          <w:tcPr/>
          <w:p>
            <w:pPr>
              <w:pStyle w:val="Compact"/>
              <w:jc w:val="left"/>
            </w:pPr>
            <w:r>
              <w:t xml:space="preserve">ra 12</w:t>
            </w:r>
          </w:p>
        </w:tc>
        <w:tc>
          <w:tcPr/>
          <w:p>
            <w:pPr>
              <w:pStyle w:val="Compact"/>
              <w:jc w:val="left"/>
            </w:pPr>
            <w:r>
              <w:t xml:space="preserve">17</w:t>
            </w:r>
          </w:p>
        </w:tc>
        <w:tc>
          <w:tcPr/>
          <w:p>
            <w:pPr>
              <w:pStyle w:val="Compact"/>
              <w:jc w:val="left"/>
            </w:pPr>
            <w:r>
              <w:t xml:space="preserve">23</w:t>
            </w:r>
          </w:p>
        </w:tc>
        <w:tc>
          <w:tcPr/>
          <w:p>
            <w:pPr>
              <w:pStyle w:val="Compact"/>
              <w:jc w:val="left"/>
            </w:pPr>
            <w:r>
              <w:t xml:space="preserve">27</w:t>
            </w:r>
          </w:p>
        </w:tc>
        <w:tc>
          <w:tcPr/>
          <w:p>
            <w:pPr>
              <w:pStyle w:val="Compact"/>
              <w:jc w:val="left"/>
            </w:pPr>
            <w:r>
              <w:t xml:space="preserve">31</w:t>
            </w:r>
          </w:p>
        </w:tc>
      </w:tr>
      <w:tr>
        <w:tc>
          <w:tcPr/>
          <w:p>
            <w:pPr>
              <w:pStyle w:val="Compact"/>
              <w:jc w:val="left"/>
            </w:pPr>
            <w:r>
              <w:t xml:space="preserve">Escolas primárias abaixo de 85% de cobertu</w:t>
            </w:r>
          </w:p>
        </w:tc>
        <w:tc>
          <w:tcPr/>
          <w:p>
            <w:pPr>
              <w:pStyle w:val="Compact"/>
              <w:jc w:val="left"/>
            </w:pPr>
            <w:r>
              <w:t xml:space="preserve">ra 2</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9</w:t>
            </w:r>
          </w:p>
        </w:tc>
      </w:tr>
      <w:tr>
        <w:tc>
          <w:tcPr/>
          <w:p>
            <w:pPr>
              <w:pStyle w:val="Compact"/>
              <w:jc w:val="left"/>
            </w:pPr>
            <w:r>
              <w:t xml:space="preserve">Doses de MMR aplicadas por clínicas do con</w:t>
            </w:r>
          </w:p>
        </w:tc>
        <w:tc>
          <w:tcPr/>
          <w:p>
            <w:pPr>
              <w:pStyle w:val="Compact"/>
              <w:jc w:val="left"/>
            </w:pPr>
            <w:r>
              <w:t xml:space="preserve">dado 3.</w:t>
            </w:r>
          </w:p>
        </w:tc>
        <w:tc>
          <w:tcPr/>
          <w:p>
            <w:pPr>
              <w:pStyle w:val="Compact"/>
              <w:jc w:val="left"/>
            </w:pPr>
            <w:r>
              <w:t xml:space="preserve">420 3.</w:t>
            </w:r>
          </w:p>
        </w:tc>
        <w:tc>
          <w:tcPr/>
          <w:p>
            <w:pPr>
              <w:pStyle w:val="Compact"/>
              <w:jc w:val="left"/>
            </w:pPr>
            <w:r>
              <w:t xml:space="preserve">180 2.</w:t>
            </w:r>
          </w:p>
        </w:tc>
        <w:tc>
          <w:tcPr/>
          <w:p>
            <w:pPr>
              <w:pStyle w:val="Compact"/>
              <w:jc w:val="left"/>
            </w:pPr>
            <w:r>
              <w:t xml:space="preserve">960 3.</w:t>
            </w:r>
          </w:p>
        </w:tc>
        <w:tc>
          <w:tcPr/>
          <w:p>
            <w:pPr>
              <w:pStyle w:val="Compact"/>
              <w:jc w:val="left"/>
            </w:pPr>
            <w:r>
              <w:t xml:space="preserve">610 2.740</w:t>
            </w:r>
          </w:p>
        </w:tc>
      </w:tr>
    </w:tbl>
    <w:bookmarkEnd w:id="21"/>
    <w:bookmarkStart w:id="22" w:name="Xd719c2c06cb51220d77341caad4d081994b59df"/>
    <w:p>
      <w:pPr>
        <w:pStyle w:val="Heading1"/>
      </w:pPr>
      <w:r>
        <w:t xml:space="preserve">Exhibit 2. Variação oculta pela média do condado</w:t>
      </w:r>
    </w:p>
    <w:tbl>
      <w:tblPr>
        <w:tblStyle w:val="Table"/>
        <w:tblW w:type="pct" w:w="4925"/>
        <w:tblLayout w:type="fixed"/>
        <w:tblLook w:firstRow="1" w:lastRow="0" w:firstColumn="0" w:lastColumn="0" w:noHBand="0" w:noVBand="0" w:val="0020"/>
      </w:tblPr>
      <w:tblGrid>
        <w:gridCol w:w="1773"/>
        <w:gridCol w:w="650"/>
        <w:gridCol w:w="1536"/>
        <w:gridCol w:w="1004"/>
        <w:gridCol w:w="1063"/>
        <w:gridCol w:w="1773"/>
      </w:tblGrid>
      <w:tr>
        <w:trPr>
          <w:tblHeader w:val="on"/>
        </w:trPr>
        <w:tc>
          <w:tcPr/>
          <w:p>
            <w:pPr>
              <w:pStyle w:val="Compact"/>
              <w:jc w:val="left"/>
            </w:pPr>
            <w:r>
              <w:t xml:space="preserve">Grupo de escolas</w:t>
            </w:r>
          </w:p>
        </w:tc>
        <w:tc>
          <w:tcPr/>
          <w:p>
            <w:pPr>
              <w:pStyle w:val="Compact"/>
              <w:jc w:val="center"/>
            </w:pPr>
            <w:r>
              <w:t xml:space="preserve">Alunos</w:t>
            </w:r>
          </w:p>
        </w:tc>
        <w:tc>
          <w:tcPr/>
          <w:p>
            <w:pPr>
              <w:pStyle w:val="Compact"/>
            </w:pPr>
            <w:r>
              <w:t xml:space="preserve">Cobertura documentada de M</w:t>
            </w:r>
          </w:p>
        </w:tc>
        <w:tc>
          <w:tcPr/>
          <w:p>
            <w:pPr>
              <w:pStyle w:val="Compact"/>
            </w:pPr>
            <w:r>
              <w:t xml:space="preserve">MR Taxa de isen</w:t>
            </w:r>
          </w:p>
        </w:tc>
        <w:tc>
          <w:tcPr/>
          <w:p>
            <w:pPr>
              <w:pStyle w:val="Compact"/>
            </w:pPr>
            <w:r>
              <w:t xml:space="preserve">ção Registros au</w:t>
            </w:r>
          </w:p>
        </w:tc>
        <w:tc>
          <w:tcPr/>
          <w:p>
            <w:pPr>
              <w:pStyle w:val="Compact"/>
              <w:jc w:val="left"/>
            </w:pPr>
            <w:r>
              <w:t xml:space="preserve">sentes Indicador de acesso</w:t>
            </w:r>
          </w:p>
        </w:tc>
      </w:tr>
      <w:tr>
        <w:tc>
          <w:tcPr/>
          <w:p>
            <w:pPr>
              <w:pStyle w:val="Compact"/>
              <w:jc w:val="left"/>
            </w:pPr>
            <w:r>
              <w:t xml:space="preserve">Coastal North</w:t>
            </w:r>
          </w:p>
        </w:tc>
        <w:tc>
          <w:tcPr/>
          <w:p>
            <w:pPr>
              <w:pStyle w:val="Compact"/>
              <w:jc w:val="center"/>
            </w:pPr>
            <w:r>
              <w:t xml:space="preserve">8.420</w:t>
            </w:r>
          </w:p>
        </w:tc>
        <w:tc>
          <w:tcPr/>
          <w:p>
            <w:pPr>
              <w:pStyle w:val="Compact"/>
            </w:pPr>
            <w:r>
              <w:t xml:space="preserve">96,4%</w:t>
            </w:r>
          </w:p>
        </w:tc>
        <w:tc>
          <w:tcPr/>
          <w:p>
            <w:pPr>
              <w:pStyle w:val="Compact"/>
            </w:pPr>
            <w:r>
              <w:t xml:space="preserve">1,2%</w:t>
            </w:r>
          </w:p>
        </w:tc>
        <w:tc>
          <w:tcPr/>
          <w:p>
            <w:pPr>
              <w:pStyle w:val="Compact"/>
            </w:pPr>
            <w:r>
              <w:t xml:space="preserve">2,4%</w:t>
            </w:r>
          </w:p>
        </w:tc>
        <w:tc>
          <w:tcPr/>
          <w:p>
            <w:pPr>
              <w:pStyle w:val="Compact"/>
              <w:jc w:val="left"/>
            </w:pPr>
            <w:r>
              <w:t xml:space="preserve">Alta densidade de prestadores</w:t>
            </w:r>
          </w:p>
        </w:tc>
      </w:tr>
      <w:tr>
        <w:tc>
          <w:tcPr/>
          <w:p>
            <w:pPr>
              <w:pStyle w:val="Compact"/>
              <w:jc w:val="left"/>
            </w:pPr>
            <w:r>
              <w:t xml:space="preserve">Central City</w:t>
            </w:r>
          </w:p>
        </w:tc>
        <w:tc>
          <w:tcPr/>
          <w:p>
            <w:pPr>
              <w:pStyle w:val="Compact"/>
              <w:jc w:val="center"/>
            </w:pPr>
            <w:r>
              <w:t xml:space="preserve">11.760</w:t>
            </w:r>
          </w:p>
        </w:tc>
        <w:tc>
          <w:tcPr/>
          <w:p>
            <w:pPr>
              <w:pStyle w:val="Compact"/>
            </w:pPr>
            <w:r>
              <w:t xml:space="preserve">90,7%</w:t>
            </w:r>
          </w:p>
        </w:tc>
        <w:tc>
          <w:tcPr/>
          <w:p>
            <w:pPr>
              <w:pStyle w:val="Compact"/>
            </w:pPr>
            <w:r>
              <w:t xml:space="preserve">2,1%</w:t>
            </w:r>
          </w:p>
        </w:tc>
        <w:tc>
          <w:tcPr/>
          <w:p>
            <w:pPr>
              <w:pStyle w:val="Compact"/>
            </w:pPr>
            <w:r>
              <w:t xml:space="preserve">7,2%</w:t>
            </w:r>
          </w:p>
        </w:tc>
        <w:tc>
          <w:tcPr/>
          <w:p>
            <w:pPr>
              <w:pStyle w:val="Compact"/>
              <w:jc w:val="left"/>
            </w:pPr>
            <w:r>
              <w:t xml:space="preserve">Alta mobilidade; multilíngue</w:t>
            </w:r>
          </w:p>
        </w:tc>
      </w:tr>
      <w:tr>
        <w:tc>
          <w:tcPr/>
          <w:p>
            <w:pPr>
              <w:pStyle w:val="Compact"/>
              <w:jc w:val="left"/>
            </w:pPr>
            <w:r>
              <w:t xml:space="preserve">Inland Rural</w:t>
            </w:r>
          </w:p>
        </w:tc>
        <w:tc>
          <w:tcPr/>
          <w:p>
            <w:pPr>
              <w:pStyle w:val="Compact"/>
              <w:jc w:val="center"/>
            </w:pPr>
            <w:r>
              <w:t xml:space="preserve">6.180</w:t>
            </w:r>
          </w:p>
        </w:tc>
        <w:tc>
          <w:tcPr/>
          <w:p>
            <w:pPr>
              <w:pStyle w:val="Compact"/>
            </w:pPr>
            <w:r>
              <w:t xml:space="preserve">88,9%</w:t>
            </w:r>
          </w:p>
        </w:tc>
        <w:tc>
          <w:tcPr/>
          <w:p>
            <w:pPr>
              <w:pStyle w:val="Compact"/>
            </w:pPr>
            <w:r>
              <w:t xml:space="preserve">3,4%</w:t>
            </w:r>
          </w:p>
        </w:tc>
        <w:tc>
          <w:tcPr/>
          <w:p>
            <w:pPr>
              <w:pStyle w:val="Compact"/>
            </w:pPr>
            <w:r>
              <w:t xml:space="preserve">7,7%</w:t>
            </w:r>
          </w:p>
        </w:tc>
        <w:tc>
          <w:tcPr/>
          <w:p>
            <w:pPr>
              <w:pStyle w:val="Compact"/>
              <w:jc w:val="left"/>
            </w:pPr>
            <w:r>
              <w:t xml:space="preserve">Poucas clínicas noturnas/de fim de semana</w:t>
            </w:r>
          </w:p>
        </w:tc>
      </w:tr>
      <w:tr>
        <w:tc>
          <w:tcPr/>
          <w:p>
            <w:pPr>
              <w:pStyle w:val="Compact"/>
              <w:jc w:val="left"/>
            </w:pPr>
            <w:r>
              <w:t xml:space="preserve">West Suburban</w:t>
            </w:r>
          </w:p>
        </w:tc>
        <w:tc>
          <w:tcPr/>
          <w:p>
            <w:pPr>
              <w:pStyle w:val="Compact"/>
              <w:jc w:val="center"/>
            </w:pPr>
            <w:r>
              <w:t xml:space="preserve">9.540</w:t>
            </w:r>
          </w:p>
        </w:tc>
        <w:tc>
          <w:tcPr/>
          <w:p>
            <w:pPr>
              <w:pStyle w:val="Compact"/>
            </w:pPr>
            <w:r>
              <w:t xml:space="preserve">93,6%</w:t>
            </w:r>
          </w:p>
        </w:tc>
        <w:tc>
          <w:tcPr/>
          <w:p>
            <w:pPr>
              <w:pStyle w:val="Compact"/>
            </w:pPr>
            <w:r>
              <w:t xml:space="preserve">4,8%</w:t>
            </w:r>
          </w:p>
        </w:tc>
        <w:tc>
          <w:tcPr/>
          <w:p>
            <w:pPr>
              <w:pStyle w:val="Compact"/>
            </w:pPr>
            <w:r>
              <w:t xml:space="preserve">1,6%</w:t>
            </w:r>
          </w:p>
        </w:tc>
        <w:tc>
          <w:tcPr/>
          <w:p>
            <w:pPr>
              <w:pStyle w:val="Compact"/>
              <w:jc w:val="left"/>
            </w:pPr>
            <w:r>
              <w:t xml:space="preserve">Alta densidade de prestadores</w:t>
            </w:r>
          </w:p>
        </w:tc>
      </w:tr>
      <w:tr>
        <w:tc>
          <w:tcPr/>
          <w:p>
            <w:pPr>
              <w:pStyle w:val="Compact"/>
              <w:jc w:val="left"/>
            </w:pPr>
            <w:r>
              <w:t xml:space="preserve">Escolas independentes/particul</w:t>
            </w:r>
          </w:p>
        </w:tc>
        <w:tc>
          <w:tcPr/>
          <w:p>
            <w:pPr>
              <w:pStyle w:val="Compact"/>
              <w:jc w:val="center"/>
            </w:pPr>
            <w:r>
              <w:t xml:space="preserve">ares 4.33</w:t>
            </w:r>
          </w:p>
        </w:tc>
        <w:tc>
          <w:tcPr/>
          <w:p>
            <w:pPr>
              <w:pStyle w:val="Compact"/>
            </w:pPr>
            <w:r>
              <w:t xml:space="preserve">0 84,7%</w:t>
            </w:r>
          </w:p>
        </w:tc>
        <w:tc>
          <w:tcPr/>
          <w:p>
            <w:pPr>
              <w:pStyle w:val="Compact"/>
            </w:pPr>
            <w:r>
              <w:t xml:space="preserve">11,2%</w:t>
            </w:r>
          </w:p>
        </w:tc>
        <w:tc>
          <w:tcPr/>
          <w:p>
            <w:pPr>
              <w:pStyle w:val="Compact"/>
            </w:pPr>
            <w:r>
              <w:t xml:space="preserve">4,1%</w:t>
            </w:r>
          </w:p>
        </w:tc>
        <w:tc>
          <w:tcPr/>
          <w:p>
            <w:pPr>
              <w:pStyle w:val="Compact"/>
              <w:jc w:val="left"/>
            </w:pPr>
            <w:r>
              <w:t xml:space="preserve">Políticas e confiança variam</w:t>
            </w:r>
          </w:p>
        </w:tc>
      </w:tr>
      <w:tr>
        <w:tc>
          <w:tcPr/>
          <w:p>
            <w:pPr>
              <w:pStyle w:val="Compact"/>
              <w:jc w:val="left"/>
            </w:pPr>
            <w:r>
              <w:t xml:space="preserve">Todo o condado</w:t>
            </w:r>
          </w:p>
        </w:tc>
        <w:tc>
          <w:tcPr/>
          <w:p>
            <w:pPr>
              <w:pStyle w:val="Compact"/>
              <w:jc w:val="center"/>
            </w:pPr>
            <w:r>
              <w:t xml:space="preserve">40.230</w:t>
            </w:r>
          </w:p>
        </w:tc>
        <w:tc>
          <w:tcPr/>
          <w:p>
            <w:pPr>
              <w:pStyle w:val="Compact"/>
            </w:pPr>
            <w:r>
              <w:t xml:space="preserve">91,8%</w:t>
            </w:r>
          </w:p>
        </w:tc>
        <w:tc>
          <w:tcPr/>
          <w:p>
            <w:pPr>
              <w:pStyle w:val="Compact"/>
            </w:pPr>
            <w:r>
              <w:t xml:space="preserve">4,4%</w:t>
            </w:r>
          </w:p>
        </w:tc>
        <w:tc>
          <w:tcPr/>
          <w:p>
            <w:pPr>
              <w:pStyle w:val="Compact"/>
            </w:pPr>
            <w:r>
              <w:t xml:space="preserve">3,8%</w:t>
            </w:r>
          </w:p>
        </w:tc>
        <w:tc>
          <w:tcPr/>
          <w:p>
            <w:pPr>
              <w:pStyle w:val="Compact"/>
              <w:jc w:val="left"/>
            </w:pPr>
            <w:r>
              <w:t xml:space="preserve">A média mascara o agrupamento</w:t>
            </w:r>
          </w:p>
        </w:tc>
      </w:tr>
    </w:tbl>
    <w:bookmarkEnd w:id="22"/>
    <w:bookmarkStart w:id="23" w:name="questões-de-discussão"/>
    <w:p>
      <w:pPr>
        <w:pStyle w:val="Heading1"/>
      </w:pPr>
      <w:r>
        <w:t xml:space="preserve">Questões de discussão</w:t>
      </w:r>
    </w:p>
    <w:p>
      <w:pPr>
        <w:numPr>
          <w:ilvl w:val="0"/>
          <w:numId w:val="1001"/>
        </w:numPr>
      </w:pPr>
      <w:r>
        <w:t xml:space="preserve">Que problema Patel está sendo chamada a resolver: conter uma exposição, prevenir um surto, aumentar a cobertura vacinal, reconstruir a confiança, ou proteger residentes vulneráveis?</w:t>
      </w:r>
    </w:p>
    <w:p>
      <w:pPr>
        <w:numPr>
          <w:ilvl w:val="0"/>
          <w:numId w:val="1001"/>
        </w:numPr>
      </w:pPr>
      <w:r>
        <w:t xml:space="preserve">Quais decisões devem ser tomadas antes da reunião das 15h30, e quais podem ser condicionadas a novas informações?</w:t>
      </w:r>
    </w:p>
    <w:p>
      <w:pPr>
        <w:numPr>
          <w:ilvl w:val="0"/>
          <w:numId w:val="1001"/>
        </w:numPr>
      </w:pPr>
      <w:r>
        <w:t xml:space="preserve">Como o condado deve distinguir a falta de vacinação da falta de documentação? Qual é o valor de melhorar os dados?</w:t>
      </w:r>
    </w:p>
    <w:p>
      <w:pPr>
        <w:numPr>
          <w:ilvl w:val="0"/>
          <w:numId w:val="1001"/>
        </w:numPr>
      </w:pPr>
      <w:r>
        <w:t xml:space="preserve">Quais medidas de desempenho devem reger a resposta: casos, transmissão secundária, cobertura, registros verificados, dias letivos perdidos, confiança, equidade, custo, ou alguma combinação?</w:t>
      </w:r>
    </w:p>
    <w:p>
      <w:pPr>
        <w:numPr>
          <w:ilvl w:val="0"/>
          <w:numId w:val="1001"/>
        </w:numPr>
      </w:pPr>
      <w:r>
        <w:t xml:space="preserve">Como os recursos devem ser alocados quando a baixa cobertura resulta de causas diferentes em comunidades diferentes?</w:t>
      </w:r>
    </w:p>
    <w:p>
      <w:pPr>
        <w:numPr>
          <w:ilvl w:val="0"/>
          <w:numId w:val="1001"/>
        </w:numPr>
      </w:pPr>
      <w:r>
        <w:t xml:space="preserve">Que estratégia de comunicação forneceria informações úteis sem aumentar o estigma, a polarização ou a complacência?</w:t>
      </w:r>
    </w:p>
    <w:p>
      <w:pPr>
        <w:numPr>
          <w:ilvl w:val="0"/>
          <w:numId w:val="1001"/>
        </w:numPr>
      </w:pPr>
      <w:r>
        <w:t xml:space="preserve">Prepare uma recomendação de 90 dias para Patel, incluindo um orçamento, gatilhos de decisão e indicadores que fariam a estratégia se expandir, se contrair ou mudar.</w:t>
      </w:r>
    </w:p>
    <w:bookmarkEnd w:id="23"/>
    <w:bookmarkStart w:id="29"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4">
        <w:r>
          <w:rPr>
            <w:rStyle w:val="Hyperlink"/>
          </w:rPr>
          <w:t xml:space="preserve">ferramenta de pirâmide de métricas</w:t>
        </w:r>
      </w:hyperlink>
      <w:r>
        <w:t xml:space="preserve"> </w:t>
      </w:r>
      <w:r>
        <w:t xml:space="preserve">para identificar e priorizar as diferentes métricas de desempenho. Clique no oval que contém a métrica para identificar se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25">
        <w:r>
          <w:rPr>
            <w:rStyle w:val="Hyperlink"/>
          </w:rPr>
          <w:t xml:space="preserve">ferramenta de priorização de decisões</w:t>
        </w:r>
      </w:hyperlink>
      <w:r>
        <w:t xml:space="preserve"> </w:t>
      </w:r>
      <w:r>
        <w:t xml:space="preserve">para primeiro listar os diferentes tipos de decisões (use os</w:t>
      </w:r>
      <w:r>
        <w:t xml:space="preserve"> </w:t>
      </w:r>
      <w:hyperlink r:id="rId26">
        <w:r>
          <w:rPr>
            <w:rStyle w:val="Hyperlink"/>
          </w:rPr>
          <w:t xml:space="preserve">tipos de decisões</w:t>
        </w:r>
      </w:hyperlink>
      <w:r>
        <w:t xml:space="preserve"> </w:t>
      </w:r>
      <w:r>
        <w:t xml:space="preserve">como guia). Estes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de modo que as decisões com maior impacto nas métricas mais importantes fiquem em direção ao topo. As células no canto superior esquerdo devem ter a maior concentração de células vermelhas e laranjas. Neste ponto, identifique as decisões que devem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7">
        <w:r>
          <w:rPr>
            <w:rStyle w:val="Hyperlink"/>
          </w:rPr>
          <w:t xml:space="preserve">ferramenta de priorização de incertezas</w:t>
        </w:r>
      </w:hyperlink>
      <w:r>
        <w:t xml:space="preserve">. Use as</w:t>
      </w:r>
      <w:r>
        <w:t xml:space="preserve"> </w:t>
      </w:r>
      <w:hyperlink r:id="rId28">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9"/>
    <w:bookmarkStart w:id="30" w:name="fontes-e-notas"/>
    <w:p>
      <w:pPr>
        <w:pStyle w:val="Heading1"/>
      </w:pPr>
      <w:r>
        <w:t xml:space="preserve">Fontes e notas</w:t>
      </w:r>
    </w:p>
    <w:p>
      <w:pPr>
        <w:pStyle w:val="FirstParagraph"/>
      </w:pPr>
      <w:r>
        <w:t xml:space="preserve">1. CDC,</w:t>
      </w:r>
      <w:r>
        <w:t xml:space="preserve"> </w:t>
      </w:r>
      <w:r>
        <w:t xml:space="preserve">“Measles Cases and Outbreaks,”</w:t>
      </w:r>
      <w:r>
        <w:t xml:space="preserve"> </w:t>
      </w:r>
      <w:r>
        <w:t xml:space="preserve">atualizado em 24 de julho de 2026. Em 23 de julho de 2026, os Estados Unidos haviam registrado 2.318 casos confirmados; 93% estavam associados a surtos. A página também relata 2.289 casos em 2025 e 285 em 2024, e observa que a imunidade coletiva geralmente exige cobertura acima de 95%.</w:t>
      </w:r>
    </w:p>
    <w:p>
      <w:pPr>
        <w:pStyle w:val="BodyText"/>
      </w:pPr>
      <w:r>
        <w:t xml:space="preserve">2. CDC,</w:t>
      </w:r>
      <w:r>
        <w:t xml:space="preserve"> </w:t>
      </w:r>
      <w:r>
        <w:t xml:space="preserve">“Measles Symptoms and Complications,”</w:t>
      </w:r>
      <w:r>
        <w:t xml:space="preserve"> </w:t>
      </w:r>
      <w:r>
        <w:t xml:space="preserve">29 de abril de 2026. Os sintomas geralmente começam de 7 a 14 dias após a infecção; cerca de um em cada cinco pacientes não vacinados nos EUA é hospitalizado, até um em cada vinte crianças desenvolve pneumonia, e cerca de um em cada mil desenvolve encefalite.</w:t>
      </w:r>
    </w:p>
    <w:p>
      <w:pPr>
        <w:pStyle w:val="BodyText"/>
      </w:pPr>
      <w:r>
        <w:t xml:space="preserve">3. CDC,</w:t>
      </w:r>
      <w:r>
        <w:t xml:space="preserve"> </w:t>
      </w:r>
      <w:r>
        <w:t xml:space="preserve">“Measles Vaccination,”</w:t>
      </w:r>
      <w:r>
        <w:t xml:space="preserve"> </w:t>
      </w:r>
      <w:r>
        <w:t xml:space="preserve">29 de abril de 2026. O CDC recomenda duas doses de MMR para crianças, geralmente aos 12–15 meses e 4–6 anos; MMR dentro de 72 horas após a exposição e imunoglobulina dentro de seis dias podem fornecer proteção pós-exposição em circunstâncias apropriadas.</w:t>
      </w:r>
    </w:p>
    <w:p>
      <w:pPr>
        <w:pStyle w:val="BodyText"/>
      </w:pPr>
      <w:r>
        <w:t xml:space="preserve">4. CDC SchoolVaxView,</w:t>
      </w:r>
      <w:r>
        <w:t xml:space="preserve"> </w:t>
      </w:r>
      <w:r>
        <w:t xml:space="preserve">“Vaccination Coverage and Exemptions among Kindergartners,”</w:t>
      </w:r>
      <w:r>
        <w:t xml:space="preserve"> </w:t>
      </w:r>
      <w:r>
        <w:t xml:space="preserve">31 de julho de 2025. A cobertura nacional de MMR foi de 92,5% em 2024–2025; cerca de 286.000 alunos de jardim de infância não tinham documentação de uma série completa de MMR; isenções de uma ou mais vacinas atingiram 3,6%, com dezessete estados acima de 5%.</w:t>
      </w:r>
    </w:p>
    <w:bookmarkEnd w:id="30"/>
    <w:bookmarkStart w:id="33" w:name="notas-do-chatgpt"/>
    <w:p>
      <w:pPr>
        <w:pStyle w:val="Heading1"/>
      </w:pPr>
      <w:r>
        <w:t xml:space="preserve">Notas do ChatGPT:</w:t>
      </w:r>
    </w:p>
    <w:bookmarkStart w:id="31" w:name="prompt"/>
    <w:p>
      <w:pPr>
        <w:pStyle w:val="Heading2"/>
      </w:pPr>
      <w:r>
        <w:t xml:space="preserve">Prompt</w:t>
      </w:r>
    </w:p>
    <w:p>
      <w:pPr>
        <w:pStyle w:val="FirstParagraph"/>
      </w:pPr>
      <w:r>
        <w:t xml:space="preserve">Usando o estilo de um estudo de caso de negócios, crie um estudo de caso sobre um problema de saúde pública, apoiado por estatísticas. Deve ter de 3 a 5 páginas em um documento do Word, bem organizado, mas sem uma ideia clara de como resolver o problema.</w:t>
      </w:r>
    </w:p>
    <w:bookmarkEnd w:id="31"/>
    <w:bookmarkStart w:id="32" w:name="resumo"/>
    <w:p>
      <w:pPr>
        <w:pStyle w:val="Heading2"/>
      </w:pPr>
      <w:r>
        <w:t xml:space="preserve">Resumo</w:t>
      </w:r>
    </w:p>
    <w:p>
      <w:pPr>
        <w:pStyle w:val="FirstParagraph"/>
      </w:pPr>
      <w:r>
        <w:t xml:space="preserve">Este caso examina um condado enfrentando uma exposição confirmada de sarampo em meio ao declínio da cobertura vacinal infantil. Ele segue o mesmo formato do caso anterior, incluindo visões conflitantes das partes interessadas, dados incompletos, restrições orçamentárias, opções de intervenção, exhibits quantitativos, estatísticas atuais do CDC e questões de discussão — sem identificar uma solução preferida.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2026-09-11T16:41:45Z</dcterms:created>
  <dcterms:modified xsi:type="dcterms:W3CDTF">2026-09-11T16:41:45Z</dcterms:modified>
</cp:coreProperties>
</file>

<file path=docProps/custom.xml><?xml version="1.0" encoding="utf-8"?>
<Properties xmlns="http://schemas.openxmlformats.org/officeDocument/2006/custom-properties" xmlns:vt="http://schemas.openxmlformats.org/officeDocument/2006/docPropsVTypes"/>
</file>