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Harborview Hotel</w:t>
      </w:r>
    </w:p>
    <w:p>
      <w:pPr>
        <w:pStyle w:val="BodyText"/>
      </w:pPr>
      <w:r>
        <w:t xml:space="preserve">A Decisão de Precificação de Oito Semanas</w:t>
      </w:r>
    </w:p>
    <w:p>
      <w:pPr>
        <w:pStyle w:val="BodyText"/>
      </w:pPr>
      <w:r>
        <w:t xml:space="preserve">Este caso é fictício e destinado à discussão instrucional. Nomes, eventos, fundos e números internos são inventados, embora o cenário do setor seja motivado por dados públicos.</w:t>
      </w:r>
    </w:p>
    <w:p>
      <w:pPr>
        <w:pStyle w:val="BodyText"/>
      </w:pPr>
      <w:r>
        <w:t xml:space="preserve">Às 8h10 da manhã de segunda-feira, 8 de setembro, Elena Marquez, gerente geral do Harborview Hotel, olhava para duas telas que pareciam contar histórias opostas. A primeira mostrava que 71% dos quartos do hotel já estavam reservados para a conferência de tecnologia da cidade, sete semanas à frente. A segunda mostrava que as reservas para os fins de semana ao redor estavam muito abaixo do previsto. Um sistema de gestão de receita recomendava aumentar imediatamente as tarifas das noites da conferência, encerrar diversas ofertas com desconto e aumentar os lances para anúncios online direcionados a viajantes corporativos de reserva tardia. O diretor de vendas queria o oposto: manter tarifas mais baixas visíveis por tempo suficiente para conquistar mais grupos da conferência e usar pacotes para preencher as noites fracas ao redor do evento.</w:t>
      </w:r>
    </w:p>
    <w:p>
      <w:pPr>
        <w:pStyle w:val="BodyText"/>
      </w:pPr>
      <w:r>
        <w:t xml:space="preserve">O desacordo era importante porque o Harborview, com 264 quartos, tinha apenas uma oportunidade de vender cada quarto em cada noite. Um quarto vazio em 24 de outubro jamais poderia ser guardado para venda posterior. No entanto, um quarto vendido cedo demais por $189 poderia impedir o hotel de aceitar um viajante de negócios disposto a pagar $349. Marquez tinha até meio-dia para aprovar o plano de precificação, publicidade e pacotes do hotel para as próximas oito semanas.</w:t>
      </w:r>
    </w:p>
    <w:bookmarkStart w:id="9" w:name="o-harborview-e-seu-mercado"/>
    <w:p>
      <w:pPr>
        <w:pStyle w:val="Heading1"/>
      </w:pPr>
      <w:r>
        <w:t xml:space="preserve">O Harborview e Seu Mercado</w:t>
      </w:r>
    </w:p>
    <w:p>
      <w:pPr>
        <w:pStyle w:val="FirstParagraph"/>
      </w:pPr>
      <w:r>
        <w:t xml:space="preserve">O Harborview era um hotel independente, de categoria upper-upscale, na cidade fictícia de Port Mason, um centro de negócios regional com um centro de convenções, um complexo médico universitário, um distrito de entretenimento à beira-mar e um setor de tecnologia em expansão. O hotel tinha 240 quartos padrão e 24 suítes. Suas instalações incluíam um restaurante, um pequeno lounge de clube, uma academia, salas de reunião e um serviço de transporte para o aeroporto e escritórios do centro.</w:t>
      </w:r>
    </w:p>
    <w:p>
      <w:pPr>
        <w:pStyle w:val="BodyText"/>
      </w:pPr>
      <w:r>
        <w:t xml:space="preserve">O mercado hoteleiro de Port Mason havia se tornado mais difícil de interpretar. Nacionalmente, a ocupação hoteleira dos EUA caiu para aproximadamente 62,3% em 2025, enquanto a tarifa diária média aumentou apenas modestamente para cerca de $160,54 e a receita por quarto disponível recuou para aproximadamente $100,02. As médias ocultavam diferenças acentuadas por mercado, segmento de cliente, estação e calendário de eventos. Em julho de 2025, por exemplo, a ocupação nacional atingiu 68,2%, mas mercados individuais importantes variaram de meados dos 50% a acima de 85%. Os proprietários do Harborview, portanto, alertaram os gerentes contra depender de médias nacionais ao definir tarifas locais.</w:t>
      </w:r>
    </w:p>
    <w:p>
      <w:pPr>
        <w:pStyle w:val="BodyText"/>
      </w:pPr>
      <w:r>
        <w:t xml:space="preserve">O mercado de Port Mason incluía quatro grandes hotéis de rede próximos ao centro de convenções, várias propriedades de serviço limitado e uma oferta crescente de aluguéis de curto prazo. Sites de comparação de preços tornavam as tarifas concorrentes imediatamente visíveis. Agências de viagens online podiam gerar reservas rapidamente, mas suas comissões reduziam a receita líquida do hotel. Reservas diretas produziam melhor economia e mais informações sobre clientes, mas exigiam que o hotel gastasse com anúncios de busca, mídias sociais, campanhas por e-mail e melhorias no site.</w:t>
      </w:r>
    </w:p>
    <w:bookmarkEnd w:id="9"/>
    <w:bookmarkStart w:id="11" w:name="um-calendário-com-demanda-desigual"/>
    <w:p>
      <w:pPr>
        <w:pStyle w:val="Heading1"/>
      </w:pPr>
      <w:r>
        <w:t xml:space="preserve">Um Calendário com Demanda Desigual</w:t>
      </w:r>
    </w:p>
    <w:p>
      <w:pPr>
        <w:pStyle w:val="FirstParagraph"/>
      </w:pPr>
      <w:r>
        <w:t xml:space="preserve">O período de planejamento de oito semanas incluía um fim de semana de homecoming universitário, a conferência de tecnologia de três noites, uma maratona à beira-mar, dois sábados intensos em casamentos e vários períodos tranquilos de domingo a quinta-feira. Esperava-se que a conferência de tecnologia trouxesse 18.000 participantes a Port Mason, mas seus organizadores ainda não haviam divulgado um número final de inscrições. Vários clientes corporativos haviam reservado blocos que podiam ser reduzidos sem penalidade até 21 dias antes da chegada. Havia rumores de que um hotel concorrente estava reformando 90 quartos, embora seu site ainda mostrasse disponibilidade normal.</w:t>
      </w:r>
    </w:p>
    <w:p>
      <w:pPr>
        <w:pStyle w:val="BodyText"/>
      </w:pPr>
      <w:r>
        <w:t xml:space="preserve">O Harborview aceitava reservas com até um ano de antecedência da chegada. Hóspedes de lazer frequentemente reservavam com antecedência quando ofertas com tarifas reembolsáveis estavam disponíveis, enquanto viajantes corporativos frequentemente reservavam dentro de duas semanas antes da chegada. Alguns participantes da conferência reservavam quartos em vários hotéis e cancelavam todos, exceto um, pouco antes do evento. Dados de canais do setor sugeriam que os cancelamentos podiam diferir substancialmente por origem; uma análise recente do setor relatou taxas de cancelamento de cerca de 21,8% para reservas feitas por agências de viagens online, contra 10,6% para reservas diretas em 2025. A experiência do próprio Harborview variava amplamente conforme o evento e as restrições de tarifa.</w:t>
      </w:r>
    </w:p>
    <w:bookmarkStart w:id="10" w:name="Xd96d8bb81849dded14b1897b5b6df813b7e777a"/>
    <w:p>
      <w:pPr>
        <w:pStyle w:val="Heading2"/>
      </w:pPr>
      <w:r>
        <w:t xml:space="preserve">Exhibit 1. Resultados Operacionais do Harborview</w:t>
      </w:r>
    </w:p>
    <w:tbl>
      <w:tblPr>
        <w:tblStyle w:val="Table"/>
        <w:tblW w:type="pct" w:w="4932"/>
        <w:tblLayout w:type="fixed"/>
        <w:tblLook w:firstRow="1" w:lastRow="0" w:firstColumn="0" w:lastColumn="0" w:noHBand="0" w:noVBand="0" w:val="0020"/>
      </w:tblPr>
      <w:tblGrid>
        <w:gridCol w:w="2033"/>
        <w:gridCol w:w="856"/>
        <w:gridCol w:w="1337"/>
        <w:gridCol w:w="1016"/>
        <w:gridCol w:w="1444"/>
        <w:gridCol w:w="1123"/>
      </w:tblGrid>
      <w:tr>
        <w:trPr>
          <w:tblHeader w:val="on"/>
        </w:trPr>
        <w:tc>
          <w:tcPr/>
          <w:p>
            <w:pPr>
              <w:pStyle w:val="Compact"/>
              <w:jc w:val="left"/>
            </w:pPr>
            <w:r>
              <w:rPr>
                <w:b/>
                <w:bCs/>
              </w:rPr>
              <w:t xml:space="preserve">Ano fiscal</w:t>
            </w:r>
          </w:p>
        </w:tc>
        <w:tc>
          <w:tcPr/>
          <w:p>
            <w:pPr>
              <w:pStyle w:val="Compact"/>
              <w:jc w:val="left"/>
            </w:pPr>
            <w:r>
              <w:rPr>
                <w:b/>
                <w:bCs/>
              </w:rPr>
              <w:t xml:space="preserve">Ocupação</w:t>
            </w:r>
          </w:p>
        </w:tc>
        <w:tc>
          <w:tcPr/>
          <w:p>
            <w:pPr>
              <w:pStyle w:val="Compact"/>
              <w:jc w:val="left"/>
            </w:pPr>
            <w:r>
              <w:rPr>
                <w:b/>
                <w:bCs/>
              </w:rPr>
              <w:t xml:space="preserve">Tarifa diária média</w:t>
            </w:r>
          </w:p>
        </w:tc>
        <w:tc>
          <w:tcPr/>
          <w:p>
            <w:pPr>
              <w:pStyle w:val="Compact"/>
            </w:pPr>
            <w:r>
              <w:t xml:space="preserve">**Receita de quarto</w:t>
            </w:r>
          </w:p>
        </w:tc>
        <w:tc>
          <w:tcPr/>
          <w:p>
            <w:pPr>
              <w:pStyle w:val="Compact"/>
            </w:pPr>
            <w:r>
              <w:t xml:space="preserve">s** **Participação em res</w:t>
            </w:r>
          </w:p>
        </w:tc>
        <w:tc>
          <w:tcPr/>
          <w:p>
            <w:pPr>
              <w:pStyle w:val="Compact"/>
            </w:pPr>
            <w:r>
              <w:t xml:space="preserve">ervas diretas**</w:t>
            </w:r>
            <w:r>
              <w:t xml:space="preserve"> </w:t>
            </w:r>
            <w:r>
              <w:rPr>
                <w:b/>
                <w:bCs/>
              </w:rPr>
              <w:t xml:space="preserve">Quartos recusados</w:t>
            </w:r>
          </w:p>
        </w:tc>
      </w:tr>
      <w:tr>
        <w:tc>
          <w:tcPr/>
          <w:p>
            <w:pPr>
              <w:pStyle w:val="Compact"/>
              <w:jc w:val="left"/>
            </w:pPr>
            <w:r>
              <w:t xml:space="preserve">2023</w:t>
            </w:r>
          </w:p>
        </w:tc>
        <w:tc>
          <w:tcPr/>
          <w:p>
            <w:pPr>
              <w:pStyle w:val="Compact"/>
              <w:jc w:val="left"/>
            </w:pPr>
            <w:r>
              <w:t xml:space="preserve">68,4%</w:t>
            </w:r>
          </w:p>
        </w:tc>
        <w:tc>
          <w:tcPr/>
          <w:p>
            <w:pPr>
              <w:pStyle w:val="Compact"/>
              <w:jc w:val="left"/>
            </w:pPr>
            <w:r>
              <w:t xml:space="preserve">$181</w:t>
            </w:r>
          </w:p>
        </w:tc>
        <w:tc>
          <w:tcPr/>
          <w:p>
            <w:pPr>
              <w:pStyle w:val="Compact"/>
            </w:pPr>
            <w:r>
              <w:t xml:space="preserve">$11,92 milhões</w:t>
            </w:r>
          </w:p>
        </w:tc>
        <w:tc>
          <w:tcPr/>
          <w:p>
            <w:pPr>
              <w:pStyle w:val="Compact"/>
            </w:pPr>
            <w:r>
              <w:t xml:space="preserve">43%</w:t>
            </w:r>
          </w:p>
        </w:tc>
        <w:tc>
          <w:tcPr/>
          <w:p>
            <w:pPr>
              <w:pStyle w:val="Compact"/>
            </w:pPr>
            <w:r>
              <w:t xml:space="preserve">3.740</w:t>
            </w:r>
          </w:p>
        </w:tc>
      </w:tr>
      <w:tr>
        <w:tc>
          <w:tcPr/>
          <w:p>
            <w:pPr>
              <w:pStyle w:val="Compact"/>
              <w:jc w:val="left"/>
            </w:pPr>
            <w:r>
              <w:t xml:space="preserve">2024</w:t>
            </w:r>
          </w:p>
        </w:tc>
        <w:tc>
          <w:tcPr/>
          <w:p>
            <w:pPr>
              <w:pStyle w:val="Compact"/>
              <w:jc w:val="left"/>
            </w:pPr>
            <w:r>
              <w:t xml:space="preserve">70,1%</w:t>
            </w:r>
          </w:p>
        </w:tc>
        <w:tc>
          <w:tcPr/>
          <w:p>
            <w:pPr>
              <w:pStyle w:val="Compact"/>
              <w:jc w:val="left"/>
            </w:pPr>
            <w:r>
              <w:t xml:space="preserve">$188</w:t>
            </w:r>
          </w:p>
        </w:tc>
        <w:tc>
          <w:tcPr/>
          <w:p>
            <w:pPr>
              <w:pStyle w:val="Compact"/>
            </w:pPr>
            <w:r>
              <w:t xml:space="preserve">$12,72 milhões</w:t>
            </w:r>
          </w:p>
        </w:tc>
        <w:tc>
          <w:tcPr/>
          <w:p>
            <w:pPr>
              <w:pStyle w:val="Compact"/>
            </w:pPr>
            <w:r>
              <w:t xml:space="preserve">46%</w:t>
            </w:r>
          </w:p>
        </w:tc>
        <w:tc>
          <w:tcPr/>
          <w:p>
            <w:pPr>
              <w:pStyle w:val="Compact"/>
            </w:pPr>
            <w:r>
              <w:t xml:space="preserve">4.180</w:t>
            </w:r>
          </w:p>
        </w:tc>
      </w:tr>
      <w:tr>
        <w:tc>
          <w:tcPr/>
          <w:p>
            <w:pPr>
              <w:pStyle w:val="Compact"/>
              <w:jc w:val="left"/>
            </w:pPr>
            <w:r>
              <w:t xml:space="preserve">2025</w:t>
            </w:r>
          </w:p>
        </w:tc>
        <w:tc>
          <w:tcPr/>
          <w:p>
            <w:pPr>
              <w:pStyle w:val="Compact"/>
              <w:jc w:val="left"/>
            </w:pPr>
            <w:r>
              <w:t xml:space="preserve">67,6%</w:t>
            </w:r>
          </w:p>
        </w:tc>
        <w:tc>
          <w:tcPr/>
          <w:p>
            <w:pPr>
              <w:pStyle w:val="Compact"/>
              <w:jc w:val="left"/>
            </w:pPr>
            <w:r>
              <w:t xml:space="preserve">$193</w:t>
            </w:r>
          </w:p>
        </w:tc>
        <w:tc>
          <w:tcPr/>
          <w:p>
            <w:pPr>
              <w:pStyle w:val="Compact"/>
            </w:pPr>
            <w:r>
              <w:t xml:space="preserve">$12,58 milhões</w:t>
            </w:r>
          </w:p>
        </w:tc>
        <w:tc>
          <w:tcPr/>
          <w:p>
            <w:pPr>
              <w:pStyle w:val="Compact"/>
            </w:pPr>
            <w:r>
              <w:t xml:space="preserve">49%</w:t>
            </w:r>
          </w:p>
        </w:tc>
        <w:tc>
          <w:tcPr/>
          <w:p>
            <w:pPr>
              <w:pStyle w:val="Compact"/>
            </w:pPr>
            <w:r>
              <w:t xml:space="preserve">3.960</w:t>
            </w:r>
          </w:p>
        </w:tc>
      </w:tr>
      <w:tr>
        <w:tc>
          <w:tcPr/>
          <w:p>
            <w:pPr>
              <w:pStyle w:val="Compact"/>
              <w:jc w:val="left"/>
            </w:pPr>
            <w:r>
              <w:t xml:space="preserve">Previsão de 2026 antes da revisão atua</w:t>
            </w:r>
          </w:p>
        </w:tc>
        <w:tc>
          <w:tcPr/>
          <w:p>
            <w:pPr>
              <w:pStyle w:val="Compact"/>
              <w:jc w:val="left"/>
            </w:pPr>
            <w:r>
              <w:t xml:space="preserve">l 69,0%</w:t>
            </w:r>
          </w:p>
        </w:tc>
        <w:tc>
          <w:tcPr/>
          <w:p>
            <w:pPr>
              <w:pStyle w:val="Compact"/>
              <w:jc w:val="left"/>
            </w:pPr>
            <w:r>
              <w:t xml:space="preserve">$198</w:t>
            </w:r>
          </w:p>
        </w:tc>
        <w:tc>
          <w:tcPr/>
          <w:p>
            <w:pPr>
              <w:pStyle w:val="Compact"/>
            </w:pPr>
            <w:r>
              <w:t xml:space="preserve">$13,18 milhões</w:t>
            </w:r>
          </w:p>
        </w:tc>
        <w:tc>
          <w:tcPr/>
          <w:p>
            <w:pPr>
              <w:pStyle w:val="Compact"/>
            </w:pPr>
            <w:r>
              <w:t xml:space="preserve">52%</w:t>
            </w:r>
          </w:p>
        </w:tc>
        <w:tc>
          <w:tcPr/>
          <w:p>
            <w:pPr>
              <w:pStyle w:val="Compact"/>
            </w:pPr>
            <w:r>
              <w:t xml:space="preserve">4.300</w:t>
            </w:r>
          </w:p>
        </w:tc>
      </w:tr>
    </w:tbl>
    <w:bookmarkEnd w:id="10"/>
    <w:bookmarkEnd w:id="11"/>
    <w:bookmarkStart w:id="13" w:name="a-curva-de-reservas"/>
    <w:p>
      <w:pPr>
        <w:pStyle w:val="Heading1"/>
      </w:pPr>
      <w:r>
        <w:t xml:space="preserve">A Curva de Reservas</w:t>
      </w:r>
    </w:p>
    <w:p>
      <w:pPr>
        <w:pStyle w:val="FirstParagraph"/>
      </w:pPr>
      <w:r>
        <w:t xml:space="preserve">O diretor de receita Marcus Lee organizava a demanda por data de estadia. Todas as manhãs, ele revisava quantos quartos haviam sido vendidos para cada noite futura, as tarifas associadas a essas reservas, cancelamentos, preços dos concorrentes, resultados de publicidade e o número de visitantes do site que iniciaram, mas não completaram, uma reserva. Para o período da conferência, as reservas estavam à frente do padrão observado no ano anterior. Para dias úteis comuns, estavam atrasadas.</w:t>
      </w:r>
    </w:p>
    <w:p>
      <w:pPr>
        <w:pStyle w:val="BodyText"/>
      </w:pPr>
      <w:r>
        <w:t xml:space="preserve">O sistema de Lee estimava que as noites de terça e quarta-feira da conferência acabariam esgotando. Ele recomendava proteger quartos para clientes com probabilidade de chegar mais tarde e pagar preços mais altos. O sistema estava menos confiante em relação a segunda e quinta-feira, quando muitos viajantes da conferência poderiam chegar tarde ou partir cedo. Uma decisão de aumentar as tarifas em todas as quatro noites poderia aumentar a receita nas noites de pico, mas deixaria as noites adjacentes subpreenchidas.</w:t>
      </w:r>
    </w:p>
    <w:bookmarkStart w:id="12" w:name="X7dd5bb72cee26f962a2f023aa03ea617f2b57cb"/>
    <w:p>
      <w:pPr>
        <w:pStyle w:val="Heading2"/>
      </w:pPr>
      <w:r>
        <w:t xml:space="preserve">Exhibit 2. Reservas Registradas, 47 Dias Antes da Chegada</w:t>
      </w:r>
    </w:p>
    <w:tbl>
      <w:tblPr>
        <w:tblStyle w:val="Table"/>
        <w:tblW w:type="pct" w:w="4945"/>
        <w:tblLayout w:type="fixed"/>
        <w:tblLook w:firstRow="1" w:lastRow="0" w:firstColumn="0" w:lastColumn="0" w:noHBand="0" w:noVBand="0" w:val="0020"/>
      </w:tblPr>
      <w:tblGrid>
        <w:gridCol w:w="1750"/>
        <w:gridCol w:w="918"/>
        <w:gridCol w:w="1137"/>
        <w:gridCol w:w="1750"/>
        <w:gridCol w:w="1268"/>
        <w:gridCol w:w="1006"/>
      </w:tblGrid>
      <w:tr>
        <w:trPr>
          <w:tblHeader w:val="on"/>
        </w:trPr>
        <w:tc>
          <w:tcPr/>
          <w:p>
            <w:pPr>
              <w:pStyle w:val="Compact"/>
              <w:jc w:val="left"/>
            </w:pPr>
            <w:r>
              <w:rPr>
                <w:b/>
                <w:bCs/>
              </w:rPr>
              <w:t xml:space="preserve">Data de estadia / evento</w:t>
            </w:r>
          </w:p>
        </w:tc>
        <w:tc>
          <w:tcPr/>
          <w:p>
            <w:pPr>
              <w:pStyle w:val="Compact"/>
              <w:jc w:val="right"/>
            </w:pPr>
            <w:r>
              <w:t xml:space="preserve">**Quartos rese</w:t>
            </w:r>
          </w:p>
        </w:tc>
        <w:tc>
          <w:tcPr/>
          <w:p>
            <w:pPr>
              <w:pStyle w:val="Compact"/>
            </w:pPr>
            <w:r>
              <w:t xml:space="preserve">rvados** **Tarifa públic</w:t>
            </w:r>
          </w:p>
        </w:tc>
        <w:tc>
          <w:tcPr/>
          <w:p>
            <w:pPr>
              <w:pStyle w:val="Compact"/>
            </w:pPr>
            <w:r>
              <w:t xml:space="preserve">a atual** **Quartos vendidos em 2025 n</w:t>
            </w:r>
          </w:p>
        </w:tc>
        <w:tc>
          <w:tcPr/>
          <w:p>
            <w:pPr>
              <w:pStyle w:val="Compact"/>
            </w:pPr>
            <w:r>
              <w:t xml:space="preserve">o mesmo prazo** **Cancelame</w:t>
            </w:r>
          </w:p>
        </w:tc>
        <w:tc>
          <w:tcPr/>
          <w:p>
            <w:pPr>
              <w:pStyle w:val="Compact"/>
            </w:pPr>
            <w:r>
              <w:t xml:space="preserve">ntos esperados**</w:t>
            </w:r>
            <w:r>
              <w:t xml:space="preserve"> </w:t>
            </w:r>
            <w:r>
              <w:rPr>
                <w:b/>
                <w:bCs/>
              </w:rPr>
              <w:t xml:space="preserve">Faixa dos concorrentes</w:t>
            </w:r>
          </w:p>
        </w:tc>
      </w:tr>
      <w:tr>
        <w:tc>
          <w:tcPr/>
          <w:p>
            <w:pPr>
              <w:pStyle w:val="Compact"/>
              <w:jc w:val="left"/>
            </w:pPr>
            <w:r>
              <w:t xml:space="preserve">Sex., 17 de out. – Homecoming</w:t>
            </w:r>
          </w:p>
        </w:tc>
        <w:tc>
          <w:tcPr/>
          <w:p>
            <w:pPr>
              <w:pStyle w:val="Compact"/>
              <w:jc w:val="right"/>
            </w:pPr>
            <w:r>
              <w:t xml:space="preserve">176</w:t>
            </w:r>
          </w:p>
        </w:tc>
        <w:tc>
          <w:tcPr/>
          <w:p>
            <w:pPr>
              <w:pStyle w:val="Compact"/>
            </w:pPr>
            <w:r>
              <w:t xml:space="preserve">$239</w:t>
            </w:r>
          </w:p>
        </w:tc>
        <w:tc>
          <w:tcPr/>
          <w:p>
            <w:pPr>
              <w:pStyle w:val="Compact"/>
            </w:pPr>
            <w:r>
              <w:t xml:space="preserve">163</w:t>
            </w:r>
          </w:p>
        </w:tc>
        <w:tc>
          <w:tcPr/>
          <w:p>
            <w:pPr>
              <w:pStyle w:val="Compact"/>
            </w:pPr>
            <w:r>
              <w:t xml:space="preserve">14–25</w:t>
            </w:r>
          </w:p>
        </w:tc>
        <w:tc>
          <w:tcPr/>
          <w:p>
            <w:pPr>
              <w:pStyle w:val="Compact"/>
            </w:pPr>
            <w:r>
              <w:t xml:space="preserve">$219–$279</w:t>
            </w:r>
          </w:p>
        </w:tc>
      </w:tr>
      <w:tr>
        <w:tc>
          <w:tcPr/>
          <w:p>
            <w:pPr>
              <w:pStyle w:val="Compact"/>
              <w:jc w:val="left"/>
            </w:pPr>
            <w:r>
              <w:t xml:space="preserve">Dom., 19 de out. – Noite tranquila</w:t>
            </w:r>
          </w:p>
        </w:tc>
        <w:tc>
          <w:tcPr/>
          <w:p>
            <w:pPr>
              <w:pStyle w:val="Compact"/>
              <w:jc w:val="right"/>
            </w:pPr>
            <w:r>
              <w:t xml:space="preserve">91</w:t>
            </w:r>
          </w:p>
        </w:tc>
        <w:tc>
          <w:tcPr/>
          <w:p>
            <w:pPr>
              <w:pStyle w:val="Compact"/>
            </w:pPr>
            <w:r>
              <w:t xml:space="preserve">$169</w:t>
            </w:r>
          </w:p>
        </w:tc>
        <w:tc>
          <w:tcPr/>
          <w:p>
            <w:pPr>
              <w:pStyle w:val="Compact"/>
            </w:pPr>
            <w:r>
              <w:t xml:space="preserve">108</w:t>
            </w:r>
          </w:p>
        </w:tc>
        <w:tc>
          <w:tcPr/>
          <w:p>
            <w:pPr>
              <w:pStyle w:val="Compact"/>
            </w:pPr>
            <w:r>
              <w:t xml:space="preserve">7–12</w:t>
            </w:r>
          </w:p>
        </w:tc>
        <w:tc>
          <w:tcPr/>
          <w:p>
            <w:pPr>
              <w:pStyle w:val="Compact"/>
            </w:pPr>
            <w:r>
              <w:t xml:space="preserve">$149–$189</w:t>
            </w:r>
          </w:p>
        </w:tc>
      </w:tr>
      <w:tr>
        <w:tc>
          <w:tcPr/>
          <w:p>
            <w:pPr>
              <w:pStyle w:val="Compact"/>
              <w:jc w:val="left"/>
            </w:pPr>
            <w:r>
              <w:t xml:space="preserve">Seg., 20 de out. – Chegada da conferênc</w:t>
            </w:r>
          </w:p>
        </w:tc>
        <w:tc>
          <w:tcPr/>
          <w:p>
            <w:pPr>
              <w:pStyle w:val="Compact"/>
              <w:jc w:val="right"/>
            </w:pPr>
            <w:r>
              <w:t xml:space="preserve">ia 154</w:t>
            </w:r>
          </w:p>
        </w:tc>
        <w:tc>
          <w:tcPr/>
          <w:p>
            <w:pPr>
              <w:pStyle w:val="Compact"/>
            </w:pPr>
            <w:r>
              <w:t xml:space="preserve">$229</w:t>
            </w:r>
          </w:p>
        </w:tc>
        <w:tc>
          <w:tcPr/>
          <w:p>
            <w:pPr>
              <w:pStyle w:val="Compact"/>
            </w:pPr>
            <w:r>
              <w:t xml:space="preserve">127</w:t>
            </w:r>
          </w:p>
        </w:tc>
        <w:tc>
          <w:tcPr/>
          <w:p>
            <w:pPr>
              <w:pStyle w:val="Compact"/>
            </w:pPr>
            <w:r>
              <w:t xml:space="preserve">18–31</w:t>
            </w:r>
          </w:p>
        </w:tc>
        <w:tc>
          <w:tcPr/>
          <w:p>
            <w:pPr>
              <w:pStyle w:val="Compact"/>
            </w:pPr>
            <w:r>
              <w:t xml:space="preserve">$209–$259</w:t>
            </w:r>
          </w:p>
        </w:tc>
      </w:tr>
      <w:tr>
        <w:tc>
          <w:tcPr/>
          <w:p>
            <w:pPr>
              <w:pStyle w:val="Compact"/>
              <w:jc w:val="left"/>
            </w:pPr>
            <w:r>
              <w:t xml:space="preserve">Ter., 21 de out. – Conferência</w:t>
            </w:r>
          </w:p>
        </w:tc>
        <w:tc>
          <w:tcPr/>
          <w:p>
            <w:pPr>
              <w:pStyle w:val="Compact"/>
              <w:jc w:val="right"/>
            </w:pPr>
            <w:r>
              <w:t xml:space="preserve">188</w:t>
            </w:r>
          </w:p>
        </w:tc>
        <w:tc>
          <w:tcPr/>
          <w:p>
            <w:pPr>
              <w:pStyle w:val="Compact"/>
            </w:pPr>
            <w:r>
              <w:t xml:space="preserve">$279</w:t>
            </w:r>
          </w:p>
        </w:tc>
        <w:tc>
          <w:tcPr/>
          <w:p>
            <w:pPr>
              <w:pStyle w:val="Compact"/>
            </w:pPr>
            <w:r>
              <w:t xml:space="preserve">146</w:t>
            </w:r>
          </w:p>
        </w:tc>
        <w:tc>
          <w:tcPr/>
          <w:p>
            <w:pPr>
              <w:pStyle w:val="Compact"/>
            </w:pPr>
            <w:r>
              <w:t xml:space="preserve">24–43</w:t>
            </w:r>
          </w:p>
        </w:tc>
        <w:tc>
          <w:tcPr/>
          <w:p>
            <w:pPr>
              <w:pStyle w:val="Compact"/>
            </w:pPr>
            <w:r>
              <w:t xml:space="preserve">$259–$329</w:t>
            </w:r>
          </w:p>
        </w:tc>
      </w:tr>
      <w:tr>
        <w:tc>
          <w:tcPr/>
          <w:p>
            <w:pPr>
              <w:pStyle w:val="Compact"/>
              <w:jc w:val="left"/>
            </w:pPr>
            <w:r>
              <w:t xml:space="preserve">Qua., 22 de out. – Conferência</w:t>
            </w:r>
          </w:p>
        </w:tc>
        <w:tc>
          <w:tcPr/>
          <w:p>
            <w:pPr>
              <w:pStyle w:val="Compact"/>
              <w:jc w:val="right"/>
            </w:pPr>
            <w:r>
              <w:t xml:space="preserve">192</w:t>
            </w:r>
          </w:p>
        </w:tc>
        <w:tc>
          <w:tcPr/>
          <w:p>
            <w:pPr>
              <w:pStyle w:val="Compact"/>
            </w:pPr>
            <w:r>
              <w:t xml:space="preserve">$289</w:t>
            </w:r>
          </w:p>
        </w:tc>
        <w:tc>
          <w:tcPr/>
          <w:p>
            <w:pPr>
              <w:pStyle w:val="Compact"/>
            </w:pPr>
            <w:r>
              <w:t xml:space="preserve">151</w:t>
            </w:r>
          </w:p>
        </w:tc>
        <w:tc>
          <w:tcPr/>
          <w:p>
            <w:pPr>
              <w:pStyle w:val="Compact"/>
            </w:pPr>
            <w:r>
              <w:t xml:space="preserve">25–45</w:t>
            </w:r>
          </w:p>
        </w:tc>
        <w:tc>
          <w:tcPr/>
          <w:p>
            <w:pPr>
              <w:pStyle w:val="Compact"/>
            </w:pPr>
            <w:r>
              <w:t xml:space="preserve">$269–$339</w:t>
            </w:r>
          </w:p>
        </w:tc>
      </w:tr>
      <w:tr>
        <w:tc>
          <w:tcPr/>
          <w:p>
            <w:pPr>
              <w:pStyle w:val="Compact"/>
              <w:jc w:val="left"/>
            </w:pPr>
            <w:r>
              <w:t xml:space="preserve">Qui., 23 de out. – Partida da conferênc</w:t>
            </w:r>
          </w:p>
        </w:tc>
        <w:tc>
          <w:tcPr/>
          <w:p>
            <w:pPr>
              <w:pStyle w:val="Compact"/>
              <w:jc w:val="right"/>
            </w:pPr>
            <w:r>
              <w:t xml:space="preserve">ia 139</w:t>
            </w:r>
          </w:p>
        </w:tc>
        <w:tc>
          <w:tcPr/>
          <w:p>
            <w:pPr>
              <w:pStyle w:val="Compact"/>
            </w:pPr>
            <w:r>
              <w:t xml:space="preserve">$219</w:t>
            </w:r>
          </w:p>
        </w:tc>
        <w:tc>
          <w:tcPr/>
          <w:p>
            <w:pPr>
              <w:pStyle w:val="Compact"/>
            </w:pPr>
            <w:r>
              <w:t xml:space="preserve">118</w:t>
            </w:r>
          </w:p>
        </w:tc>
        <w:tc>
          <w:tcPr/>
          <w:p>
            <w:pPr>
              <w:pStyle w:val="Compact"/>
            </w:pPr>
            <w:r>
              <w:t xml:space="preserve">16–28</w:t>
            </w:r>
          </w:p>
        </w:tc>
        <w:tc>
          <w:tcPr/>
          <w:p>
            <w:pPr>
              <w:pStyle w:val="Compact"/>
            </w:pPr>
            <w:r>
              <w:t xml:space="preserve">$199–$249</w:t>
            </w:r>
          </w:p>
        </w:tc>
      </w:tr>
      <w:tr>
        <w:tc>
          <w:tcPr/>
          <w:p>
            <w:pPr>
              <w:pStyle w:val="Compact"/>
              <w:jc w:val="left"/>
            </w:pPr>
            <w:r>
              <w:t xml:space="preserve">Dom., 26 de out. – Noite tranquila</w:t>
            </w:r>
          </w:p>
        </w:tc>
        <w:tc>
          <w:tcPr/>
          <w:p>
            <w:pPr>
              <w:pStyle w:val="Compact"/>
              <w:jc w:val="right"/>
            </w:pPr>
            <w:r>
              <w:t xml:space="preserve">72</w:t>
            </w:r>
          </w:p>
        </w:tc>
        <w:tc>
          <w:tcPr/>
          <w:p>
            <w:pPr>
              <w:pStyle w:val="Compact"/>
            </w:pPr>
            <w:r>
              <w:t xml:space="preserve">$159</w:t>
            </w:r>
          </w:p>
        </w:tc>
        <w:tc>
          <w:tcPr/>
          <w:p>
            <w:pPr>
              <w:pStyle w:val="Compact"/>
            </w:pPr>
            <w:r>
              <w:t xml:space="preserve">99</w:t>
            </w:r>
          </w:p>
        </w:tc>
        <w:tc>
          <w:tcPr/>
          <w:p>
            <w:pPr>
              <w:pStyle w:val="Compact"/>
            </w:pPr>
            <w:r>
              <w:t xml:space="preserve">5–10</w:t>
            </w:r>
          </w:p>
        </w:tc>
        <w:tc>
          <w:tcPr/>
          <w:p>
            <w:pPr>
              <w:pStyle w:val="Compact"/>
            </w:pPr>
            <w:r>
              <w:t xml:space="preserve">$139–$179</w:t>
            </w:r>
          </w:p>
        </w:tc>
      </w:tr>
    </w:tbl>
    <w:bookmarkEnd w:id="12"/>
    <w:bookmarkEnd w:id="13"/>
    <w:bookmarkStart w:id="14" w:name="tarifas-restrições-e-serviços"/>
    <w:p>
      <w:pPr>
        <w:pStyle w:val="Heading1"/>
      </w:pPr>
      <w:r>
        <w:t xml:space="preserve">Tarifas, Restrições e Serviços</w:t>
      </w:r>
    </w:p>
    <w:p>
      <w:pPr>
        <w:pStyle w:val="FirstParagraph"/>
      </w:pPr>
      <w:r>
        <w:t xml:space="preserve">O Harborview não vendia um produto único e homogêneo. Um cliente podia escolher um quarto flexível, uma tarifa não reembolsável mais baixa, um pacote com café da manhã, um pacote de estacionamento, um pacote para conferência, uma suíte, ou um quarto no andar clube. Algumas contas corporativas haviam negociado tetos de preço. Membros do programa de fidelidade recebiam benefícios em reservas diretas. O hotel também podia exigir uma estadia mínima de duas noites durante períodos de pico, fechar categorias de tarifas mais baixas, ou limitar o número de quartos distribuídos por meio de determinados canais.</w:t>
      </w:r>
    </w:p>
    <w:p>
      <w:pPr>
        <w:pStyle w:val="BodyText"/>
      </w:pPr>
      <w:r>
        <w:t xml:space="preserve">Cada serviço tinha um custo e podia influenciar a conversão. O café da manhã custava ao hotel aproximadamente $14 por quarto ocupado, mas era valorizado por muitos hóspedes entre $25 e $35. O estacionamento gerava margens atraentes quando havia capacidade disponível, mas a garagem frequentemente lotava durante convenções. O cancelamento flexível incentivava reservas antecipadas, mas aumentava o risco de que a demanda aparente desaparecesse. Tarifas não reembolsáveis reduziam o risco de cancelamento, mas às vezes empurravam clientes para concorrentes.</w:t>
      </w:r>
    </w:p>
    <w:p>
      <w:pPr>
        <w:pStyle w:val="BodyText"/>
      </w:pPr>
      <w:r>
        <w:t xml:space="preserve">A diretora de vendas Priya Shah argumentava que o objetivo do hotel não deveria se reduzir à tarifa de quarto mais alta. Grupos traziam receita de catering, ocupavam salas de reunião e podiam retornar em anos futuros. Pacotes de lazer geravam gastos em restaurante e estacionamento. Um hóspede de uma única noite com tarifa alta poderia contribuir com menos lucro total do que um cliente de tarifa mais baixa que permanecesse três noites. Ela também se preocupava com afastar clientes que se lembrariam de que o Harborview havia parecido inacessível.</w:t>
      </w:r>
    </w:p>
    <w:bookmarkEnd w:id="14"/>
    <w:bookmarkStart w:id="16" w:name="X2691208257447e527a04df52eff77d9ba799709"/>
    <w:p>
      <w:pPr>
        <w:pStyle w:val="Heading1"/>
      </w:pPr>
      <w:r>
        <w:t xml:space="preserve">Publicidade para Reservas que Talvez Ocorram</w:t>
      </w:r>
    </w:p>
    <w:p>
      <w:pPr>
        <w:pStyle w:val="FirstParagraph"/>
      </w:pPr>
      <w:r>
        <w:t xml:space="preserve">O hotel gastava aproximadamente $1,15 milhão por ano em marketing digital e tradicional. Busca paga era a maior categoria flexível. Quando um viajante em potencial buscava frases como</w:t>
      </w:r>
      <w:r>
        <w:t xml:space="preserve"> </w:t>
      </w:r>
      <w:r>
        <w:t xml:space="preserve">“hotel para conferência em Port Mason”</w:t>
      </w:r>
      <w:r>
        <w:t xml:space="preserve">, o Harborview e seus concorrentes disputavam a posição patrocinada. Um lance mais alto aumentava a probabilidade de o link do hotel aparecer, mas não garantia um clique ou uma reserva. O hotel pagava por muitos cliques de clientes que comparavam preços e reservavam em outro lugar.</w:t>
      </w:r>
    </w:p>
    <w:p>
      <w:pPr>
        <w:pStyle w:val="BodyText"/>
      </w:pPr>
      <w:r>
        <w:t xml:space="preserve">Lee propôs aumentar os lances de busca paga para as datas da conferência, reduzindo ao mesmo tempo os gastos amplos com mídias sociais. A diretora de marketing Simone Carter discordou. Anúncios de busca capturavam clientes que já estavam procurando quartos; mídias sociais e e-mail podiam criar demanda para fins de semana e vender pacotes. Carter também queria testar uma página de reservas redesenhada, enfatizando café da manhã grátis e cancelamento flexível. O teste anterior do site aumentou reservas concluídas em dispositivos móveis, mas o teste havia sido realizado durante um período de feriado e a equipe não tinha certeza se a melhoria persistiria.</w:t>
      </w:r>
    </w:p>
    <w:bookmarkStart w:id="15" w:name="X3f931e60bfc0a05011c101df8c56a51e4c727a0"/>
    <w:p>
      <w:pPr>
        <w:pStyle w:val="Heading2"/>
      </w:pPr>
      <w:r>
        <w:t xml:space="preserve">Exhibit 3. Desempenho Recente de Aquisição de Clientes</w:t>
      </w:r>
    </w:p>
    <w:tbl>
      <w:tblPr>
        <w:tblStyle w:val="Table"/>
        <w:tblW w:type="pct" w:w="4946"/>
        <w:tblLayout w:type="fixed"/>
        <w:tblLook w:firstRow="1" w:lastRow="0" w:firstColumn="0" w:lastColumn="0" w:noHBand="0" w:noVBand="0" w:val="0020"/>
      </w:tblPr>
      <w:tblGrid>
        <w:gridCol w:w="1119"/>
        <w:gridCol w:w="990"/>
        <w:gridCol w:w="1291"/>
        <w:gridCol w:w="1463"/>
        <w:gridCol w:w="1936"/>
        <w:gridCol w:w="1033"/>
      </w:tblGrid>
      <w:tr>
        <w:trPr>
          <w:tblHeader w:val="on"/>
        </w:trPr>
        <w:tc>
          <w:tcPr/>
          <w:p>
            <w:pPr>
              <w:pStyle w:val="Compact"/>
            </w:pPr>
            <w:r>
              <w:rPr>
                <w:b/>
                <w:bCs/>
              </w:rPr>
              <w:t xml:space="preserve">Canal</w:t>
            </w:r>
            <w:r>
              <w:t xml:space="preserve"> </w:t>
            </w:r>
            <w:r>
              <w:t xml:space="preserve">**</w:t>
            </w:r>
          </w:p>
        </w:tc>
        <w:tc>
          <w:tcPr/>
          <w:p>
            <w:pPr>
              <w:pStyle w:val="Compact"/>
            </w:pPr>
            <w:r>
              <w:t xml:space="preserve">Gasto mensal** **Rese</w:t>
            </w:r>
          </w:p>
        </w:tc>
        <w:tc>
          <w:tcPr/>
          <w:p>
            <w:pPr>
              <w:pStyle w:val="Compact"/>
            </w:pPr>
            <w:r>
              <w:t xml:space="preserve">rvas atribuídas** **Receita</w:t>
            </w:r>
          </w:p>
        </w:tc>
        <w:tc>
          <w:tcPr/>
          <w:p>
            <w:pPr>
              <w:pStyle w:val="Compact"/>
            </w:pPr>
            <w:r>
              <w:t xml:space="preserve">média de quarto reservado** **Cu</w:t>
            </w:r>
          </w:p>
        </w:tc>
        <w:tc>
          <w:tcPr/>
          <w:p>
            <w:pPr>
              <w:pStyle w:val="Compact"/>
            </w:pPr>
            <w:r>
              <w:t xml:space="preserve">sto estimado por reserva no canal** **Taxa</w:t>
            </w:r>
          </w:p>
        </w:tc>
        <w:tc>
          <w:tcPr/>
          <w:p>
            <w:pPr>
              <w:pStyle w:val="Compact"/>
              <w:jc w:val="left"/>
            </w:pPr>
            <w:r>
              <w:t xml:space="preserve">de cancelamento**</w:t>
            </w:r>
          </w:p>
        </w:tc>
      </w:tr>
      <w:tr>
        <w:tc>
          <w:tcPr/>
          <w:p>
            <w:pPr>
              <w:pStyle w:val="Compact"/>
            </w:pPr>
            <w:r>
              <w:t xml:space="preserve">Site do hotel / não pago</w:t>
            </w:r>
          </w:p>
        </w:tc>
        <w:tc>
          <w:tcPr/>
          <w:p>
            <w:pPr>
              <w:pStyle w:val="Compact"/>
            </w:pPr>
            <w:r>
              <w:t xml:space="preserve">$38.000</w:t>
            </w:r>
          </w:p>
        </w:tc>
        <w:tc>
          <w:tcPr/>
          <w:p>
            <w:pPr>
              <w:pStyle w:val="Compact"/>
            </w:pPr>
            <w:r>
              <w:t xml:space="preserve">1.040</w:t>
            </w:r>
          </w:p>
        </w:tc>
        <w:tc>
          <w:tcPr/>
          <w:p>
            <w:pPr>
              <w:pStyle w:val="Compact"/>
            </w:pPr>
            <w:r>
              <w:t xml:space="preserve">$462</w:t>
            </w:r>
          </w:p>
        </w:tc>
        <w:tc>
          <w:tcPr/>
          <w:p>
            <w:pPr>
              <w:pStyle w:val="Compact"/>
            </w:pPr>
            <w:r>
              <w:t xml:space="preserve">$37</w:t>
            </w:r>
          </w:p>
        </w:tc>
        <w:tc>
          <w:tcPr/>
          <w:p>
            <w:pPr>
              <w:pStyle w:val="Compact"/>
              <w:jc w:val="left"/>
            </w:pPr>
            <w:r>
              <w:t xml:space="preserve">9%</w:t>
            </w:r>
          </w:p>
        </w:tc>
      </w:tr>
      <w:tr>
        <w:tc>
          <w:tcPr/>
          <w:p>
            <w:pPr>
              <w:pStyle w:val="Compact"/>
            </w:pPr>
            <w:r>
              <w:t xml:space="preserve">Busca paga</w:t>
            </w:r>
            <w:r>
              <w:br/>
            </w:r>
          </w:p>
        </w:tc>
        <w:tc>
          <w:tcPr/>
          <w:p>
            <w:pPr>
              <w:pStyle w:val="Compact"/>
            </w:pPr>
            <w:r>
              <w:t xml:space="preserve">$112.000 1</w:t>
            </w:r>
          </w:p>
        </w:tc>
        <w:tc>
          <w:tcPr/>
          <w:p>
            <w:pPr>
              <w:pStyle w:val="Compact"/>
            </w:pPr>
            <w:r>
              <w:t xml:space="preserve">.380</w:t>
            </w:r>
            <w:r>
              <w:br/>
            </w:r>
          </w:p>
        </w:tc>
        <w:tc>
          <w:tcPr/>
          <w:p>
            <w:pPr>
              <w:pStyle w:val="Compact"/>
            </w:pPr>
            <w:r>
              <w:t xml:space="preserve">$438</w:t>
            </w:r>
            <w:r>
              <w:br/>
            </w:r>
          </w:p>
        </w:tc>
        <w:tc>
          <w:tcPr/>
          <w:p>
            <w:pPr>
              <w:pStyle w:val="Compact"/>
            </w:pPr>
            <w:r>
              <w:t xml:space="preserve">$81 1</w:t>
            </w:r>
          </w:p>
        </w:tc>
        <w:tc>
          <w:tcPr/>
          <w:p>
            <w:pPr>
              <w:pStyle w:val="Compact"/>
              <w:jc w:val="left"/>
            </w:pPr>
            <w:r>
              <w:t xml:space="preserve">3%</w:t>
            </w:r>
          </w:p>
        </w:tc>
      </w:tr>
      <w:tr>
        <w:tc>
          <w:tcPr/>
          <w:p>
            <w:pPr>
              <w:pStyle w:val="Compact"/>
            </w:pPr>
            <w:r>
              <w:t xml:space="preserve">Mídias sociais</w:t>
            </w:r>
          </w:p>
        </w:tc>
        <w:tc>
          <w:tcPr/>
          <w:p>
            <w:pPr>
              <w:pStyle w:val="Compact"/>
            </w:pPr>
            <w:r>
              <w:t xml:space="preserve">$54.000</w:t>
            </w:r>
          </w:p>
        </w:tc>
        <w:tc>
          <w:tcPr/>
          <w:p>
            <w:pPr>
              <w:pStyle w:val="Compact"/>
            </w:pPr>
            <w:r>
              <w:t xml:space="preserve">410</w:t>
            </w:r>
          </w:p>
        </w:tc>
        <w:tc>
          <w:tcPr/>
          <w:p>
            <w:pPr>
              <w:pStyle w:val="Compact"/>
            </w:pPr>
            <w:r>
              <w:t xml:space="preserve">$496</w:t>
            </w:r>
          </w:p>
        </w:tc>
        <w:tc>
          <w:tcPr/>
          <w:p>
            <w:pPr>
              <w:pStyle w:val="Compact"/>
            </w:pPr>
            <w:r>
              <w:t xml:space="preserve">$132</w:t>
            </w:r>
          </w:p>
        </w:tc>
        <w:tc>
          <w:tcPr/>
          <w:p>
            <w:pPr>
              <w:pStyle w:val="Compact"/>
              <w:jc w:val="left"/>
            </w:pPr>
            <w:r>
              <w:t xml:space="preserve">15%</w:t>
            </w:r>
          </w:p>
        </w:tc>
      </w:tr>
      <w:tr>
        <w:tc>
          <w:tcPr/>
          <w:p>
            <w:pPr>
              <w:pStyle w:val="Compact"/>
            </w:pPr>
            <w:r>
              <w:t xml:space="preserve">Agências de viagens online</w:t>
            </w:r>
          </w:p>
        </w:tc>
        <w:tc>
          <w:tcPr/>
          <w:p>
            <w:pPr>
              <w:pStyle w:val="Compact"/>
            </w:pPr>
            <w:r>
              <w:t xml:space="preserve">Baseado em comissão</w:t>
            </w:r>
          </w:p>
        </w:tc>
        <w:tc>
          <w:tcPr/>
          <w:p>
            <w:pPr>
              <w:pStyle w:val="Compact"/>
            </w:pPr>
            <w:r>
              <w:t xml:space="preserve">1.720</w:t>
            </w:r>
          </w:p>
        </w:tc>
        <w:tc>
          <w:tcPr/>
          <w:p>
            <w:pPr>
              <w:pStyle w:val="Compact"/>
            </w:pPr>
            <w:r>
              <w:t xml:space="preserve">$331</w:t>
            </w:r>
          </w:p>
        </w:tc>
        <w:tc>
          <w:tcPr/>
          <w:p>
            <w:pPr>
              <w:pStyle w:val="Compact"/>
            </w:pPr>
            <w:r>
              <w:t xml:space="preserve">equivalente a $58 de comiss</w:t>
            </w:r>
          </w:p>
        </w:tc>
        <w:tc>
          <w:tcPr/>
          <w:p>
            <w:pPr>
              <w:pStyle w:val="Compact"/>
              <w:jc w:val="left"/>
            </w:pPr>
            <w:r>
              <w:t xml:space="preserve">ão 22%</w:t>
            </w:r>
          </w:p>
        </w:tc>
      </w:tr>
      <w:tr>
        <w:tc>
          <w:tcPr/>
          <w:p>
            <w:pPr>
              <w:pStyle w:val="Compact"/>
            </w:pPr>
            <w:r>
              <w:t xml:space="preserve">Vendas corporativas / grup</w:t>
            </w:r>
          </w:p>
        </w:tc>
        <w:tc>
          <w:tcPr/>
          <w:p>
            <w:pPr>
              <w:pStyle w:val="Compact"/>
            </w:pPr>
            <w:r>
              <w:t xml:space="preserve">os $96.000</w:t>
            </w:r>
          </w:p>
        </w:tc>
        <w:tc>
          <w:tcPr/>
          <w:p>
            <w:pPr>
              <w:pStyle w:val="Compact"/>
            </w:pPr>
            <w:r>
              <w:t xml:space="preserve">1.260</w:t>
            </w:r>
          </w:p>
        </w:tc>
        <w:tc>
          <w:tcPr/>
          <w:p>
            <w:pPr>
              <w:pStyle w:val="Compact"/>
            </w:pPr>
            <w:r>
              <w:t xml:space="preserve">$574</w:t>
            </w:r>
          </w:p>
        </w:tc>
        <w:tc>
          <w:tcPr/>
          <w:p>
            <w:pPr>
              <w:pStyle w:val="Compact"/>
            </w:pPr>
            <w:r>
              <w:t xml:space="preserve">$76</w:t>
            </w:r>
          </w:p>
        </w:tc>
        <w:tc>
          <w:tcPr/>
          <w:p>
            <w:pPr>
              <w:pStyle w:val="Compact"/>
              <w:jc w:val="left"/>
            </w:pPr>
            <w:r>
              <w:t xml:space="preserve">12%</w:t>
            </w:r>
          </w:p>
        </w:tc>
      </w:tr>
      <w:tr>
        <w:tc>
          <w:tcPr/>
          <w:p>
            <w:pPr>
              <w:pStyle w:val="Compact"/>
            </w:pPr>
            <w:r>
              <w:t xml:space="preserve">E-mail / fidelidade</w:t>
            </w:r>
          </w:p>
        </w:tc>
        <w:tc>
          <w:tcPr/>
          <w:p>
            <w:pPr>
              <w:pStyle w:val="Compact"/>
            </w:pPr>
            <w:r>
              <w:t xml:space="preserve">$21.000</w:t>
            </w:r>
          </w:p>
        </w:tc>
        <w:tc>
          <w:tcPr/>
          <w:p>
            <w:pPr>
              <w:pStyle w:val="Compact"/>
            </w:pPr>
            <w:r>
              <w:t xml:space="preserve">590</w:t>
            </w:r>
          </w:p>
        </w:tc>
        <w:tc>
          <w:tcPr/>
          <w:p>
            <w:pPr>
              <w:pStyle w:val="Compact"/>
            </w:pPr>
            <w:r>
              <w:t xml:space="preserve">$521</w:t>
            </w:r>
          </w:p>
        </w:tc>
        <w:tc>
          <w:tcPr/>
          <w:p>
            <w:pPr>
              <w:pStyle w:val="Compact"/>
            </w:pPr>
            <w:r>
              <w:t xml:space="preserve">$36</w:t>
            </w:r>
          </w:p>
        </w:tc>
        <w:tc>
          <w:tcPr/>
          <w:p>
            <w:pPr>
              <w:pStyle w:val="Compact"/>
              <w:jc w:val="left"/>
            </w:pPr>
            <w:r>
              <w:t xml:space="preserve">8%</w:t>
            </w:r>
          </w:p>
        </w:tc>
      </w:tr>
    </w:tbl>
    <w:bookmarkEnd w:id="15"/>
    <w:bookmarkEnd w:id="16"/>
    <w:bookmarkStart w:id="18" w:name="uma-proposta-com-várias-partes-móveis"/>
    <w:p>
      <w:pPr>
        <w:pStyle w:val="Heading1"/>
      </w:pPr>
      <w:r>
        <w:t xml:space="preserve">Uma Proposta com Várias Partes Móveis</w:t>
      </w:r>
    </w:p>
    <w:p>
      <w:pPr>
        <w:pStyle w:val="FirstParagraph"/>
      </w:pPr>
      <w:r>
        <w:t xml:space="preserve">O plano recomendado por Lee combinava várias ações. Para as duas noites de pico da conferência, ele aumentaria a tarifa flexível do quarto padrão de $279–$289 para $329, encerraria os descontos mais profundos e reservaria pelo menos 38 quartos para reservas esperadas dentro de 14 dias da chegada. Para segunda e quinta-feira, ele ofereceria um pacote de três noites a uma tarifa efetiva de $239 por noite, incluindo café da manhã. Ele aumentaria os lances de busca para termos de conferência de alta intenção em 35%, reduziria a disponibilidade por meio de agências de viagens online conforme o hotel fosse preenchendo, e manteria o site atual.</w:t>
      </w:r>
    </w:p>
    <w:p>
      <w:pPr>
        <w:pStyle w:val="BodyText"/>
      </w:pPr>
      <w:r>
        <w:t xml:space="preserve">Shah propôs um pacote diferente. Ela limitaria a tarifa da noite de pico a $299 por mais duas semanas, aceitaria um bloco corporativo adicional de 60 quartos a $224, e incluiria espaço para recepção na quarta-feira à noite. Ela acreditava que o bloco estabilizaria a ocupação nas quatro noites e produziria receita de alimentos e bebidas. A corporação exigia uma cláusula de atrito flexível e não forneceria os nomes dos hóspedes até 14 dias antes da chegada.</w:t>
      </w:r>
    </w:p>
    <w:p>
      <w:pPr>
        <w:pStyle w:val="BodyText"/>
      </w:pPr>
      <w:r>
        <w:t xml:space="preserve">Carter apoiou manter o bloco corporativo temporariamente, mas queria um teste mais amplo. Ela propôs dois designs de página, diferentes ofertas de café da manhã, e três níveis de publicidade em mercados geográficos selecionados. Ela argumentou que o hotel sabia pouco demais sobre como os viajantes respondiam a preço, serviços e apresentação da página. Lee respondeu que a experimentação consumia tráfego e poderia sacrificar receita durante as semanas mais valiosas do ano.</w:t>
      </w:r>
    </w:p>
    <w:bookmarkStart w:id="17" w:name="exhibit-4.-alternativas-em-discussão"/>
    <w:p>
      <w:pPr>
        <w:pStyle w:val="Heading2"/>
      </w:pPr>
      <w:r>
        <w:t xml:space="preserve">Exhibit 4. Alternativas em Discussão</w:t>
      </w:r>
    </w:p>
    <w:tbl>
      <w:tblPr>
        <w:tblStyle w:val="Table"/>
        <w:tblW w:type="pct" w:w="4951"/>
        <w:tblLayout w:type="fixed"/>
        <w:tblLook w:firstRow="1" w:lastRow="0" w:firstColumn="0" w:lastColumn="0" w:noHBand="0" w:noVBand="0" w:val="0020"/>
      </w:tblPr>
      <w:tblGrid>
        <w:gridCol w:w="975"/>
        <w:gridCol w:w="1677"/>
        <w:gridCol w:w="1443"/>
        <w:gridCol w:w="1677"/>
        <w:gridCol w:w="2067"/>
      </w:tblGrid>
      <w:tr>
        <w:trPr>
          <w:tblHeader w:val="on"/>
        </w:trPr>
        <w:tc>
          <w:tcPr/>
          <w:p>
            <w:pPr>
              <w:pStyle w:val="Compact"/>
              <w:jc w:val="left"/>
            </w:pPr>
            <w:r>
              <w:rPr>
                <w:b/>
                <w:bCs/>
              </w:rPr>
              <w:t xml:space="preserve">Alternativa</w:t>
            </w:r>
          </w:p>
        </w:tc>
        <w:tc>
          <w:tcPr/>
          <w:p>
            <w:pPr>
              <w:pStyle w:val="Compact"/>
              <w:jc w:val="left"/>
            </w:pPr>
            <w:r>
              <w:rPr>
                <w:b/>
                <w:bCs/>
              </w:rPr>
              <w:t xml:space="preserve">Abordagem para noite de pico</w:t>
            </w:r>
          </w:p>
        </w:tc>
        <w:tc>
          <w:tcPr/>
          <w:p>
            <w:pPr>
              <w:pStyle w:val="Compact"/>
              <w:jc w:val="right"/>
            </w:pPr>
            <w:r>
              <w:t xml:space="preserve">**Abordagem para noites adja</w:t>
            </w:r>
          </w:p>
        </w:tc>
        <w:tc>
          <w:tcPr/>
          <w:p>
            <w:pPr>
              <w:pStyle w:val="Compact"/>
            </w:pPr>
            <w:r>
              <w:t xml:space="preserve">centes** **Abordagem de publicidad</w:t>
            </w:r>
          </w:p>
        </w:tc>
        <w:tc>
          <w:tcPr/>
          <w:p>
            <w:pPr>
              <w:pStyle w:val="Compact"/>
              <w:jc w:val="left"/>
            </w:pPr>
            <w:r>
              <w:t xml:space="preserve">e / canal**</w:t>
            </w:r>
            <w:r>
              <w:t xml:space="preserve"> </w:t>
            </w:r>
            <w:r>
              <w:rPr>
                <w:b/>
                <w:bCs/>
              </w:rPr>
              <w:t xml:space="preserve">Principal preocupação</w:t>
            </w:r>
          </w:p>
        </w:tc>
      </w:tr>
      <w:tr>
        <w:tc>
          <w:tcPr/>
          <w:p>
            <w:pPr>
              <w:pStyle w:val="Compact"/>
              <w:jc w:val="left"/>
            </w:pPr>
            <w:r>
              <w:t xml:space="preserve">A. Proteger demanda tardi</w:t>
            </w:r>
          </w:p>
        </w:tc>
        <w:tc>
          <w:tcPr/>
          <w:p>
            <w:pPr>
              <w:pStyle w:val="Compact"/>
              <w:jc w:val="left"/>
            </w:pPr>
            <w:r>
              <w:t xml:space="preserve">a Aumentar para $329; reter 38 quartos</w:t>
            </w:r>
          </w:p>
        </w:tc>
        <w:tc>
          <w:tcPr/>
          <w:p>
            <w:pPr>
              <w:pStyle w:val="Compact"/>
              <w:jc w:val="right"/>
            </w:pPr>
            <w:r>
              <w:t xml:space="preserve">Pacote de café da manhã d</w:t>
            </w:r>
          </w:p>
        </w:tc>
        <w:tc>
          <w:tcPr/>
          <w:p>
            <w:pPr>
              <w:pStyle w:val="Compact"/>
            </w:pPr>
            <w:r>
              <w:t xml:space="preserve">e 3 noites Lances de busca mais</w:t>
            </w:r>
          </w:p>
        </w:tc>
        <w:tc>
          <w:tcPr/>
          <w:p>
            <w:pPr>
              <w:pStyle w:val="Compact"/>
              <w:jc w:val="left"/>
            </w:pPr>
            <w:r>
              <w:t xml:space="preserve">altos; reduzir inventário em OTA Demanda tardia de tarifa alta pode não se concretizar</w:t>
            </w:r>
          </w:p>
        </w:tc>
      </w:tr>
      <w:tr>
        <w:tc>
          <w:tcPr/>
          <w:p>
            <w:pPr>
              <w:pStyle w:val="Compact"/>
              <w:jc w:val="left"/>
            </w:pPr>
            <w:r>
              <w:t xml:space="preserve">B. Garantir o grupo</w:t>
            </w:r>
          </w:p>
        </w:tc>
        <w:tc>
          <w:tcPr/>
          <w:p>
            <w:pPr>
              <w:pStyle w:val="Compact"/>
              <w:jc w:val="left"/>
            </w:pPr>
            <w:r>
              <w:t xml:space="preserve">Limitar a $299; adicionar bloco de 60 quar</w:t>
            </w:r>
          </w:p>
        </w:tc>
        <w:tc>
          <w:tcPr/>
          <w:p>
            <w:pPr>
              <w:pStyle w:val="Compact"/>
              <w:jc w:val="right"/>
            </w:pPr>
            <w:r>
              <w:t xml:space="preserve">tos a $224 Grupo abrange as quatro</w:t>
            </w:r>
          </w:p>
        </w:tc>
        <w:tc>
          <w:tcPr/>
          <w:p>
            <w:pPr>
              <w:pStyle w:val="Compact"/>
            </w:pPr>
            <w:r>
              <w:t xml:space="preserve">noites Vendas corporativas; publi</w:t>
            </w:r>
          </w:p>
        </w:tc>
        <w:tc>
          <w:tcPr/>
          <w:p>
            <w:pPr>
              <w:pStyle w:val="Compact"/>
              <w:jc w:val="left"/>
            </w:pPr>
            <w:r>
              <w:t xml:space="preserve">cidade normal Bloco pode diminuir ou deslocar hóspedes de tarifa mais alta</w:t>
            </w:r>
          </w:p>
        </w:tc>
      </w:tr>
      <w:tr>
        <w:tc>
          <w:tcPr/>
          <w:p>
            <w:pPr>
              <w:pStyle w:val="Compact"/>
              <w:jc w:val="left"/>
            </w:pPr>
            <w:r>
              <w:t xml:space="preserve">C. Testar e adaptar</w:t>
            </w:r>
          </w:p>
        </w:tc>
        <w:tc>
          <w:tcPr/>
          <w:p>
            <w:pPr>
              <w:pStyle w:val="Compact"/>
              <w:jc w:val="left"/>
            </w:pPr>
            <w:r>
              <w:t xml:space="preserve">Usar faixa de $299–$319 por mercado</w:t>
            </w:r>
          </w:p>
        </w:tc>
        <w:tc>
          <w:tcPr/>
          <w:p>
            <w:pPr>
              <w:pStyle w:val="Compact"/>
              <w:jc w:val="right"/>
            </w:pPr>
            <w:r>
              <w:t xml:space="preserve">Testar pacotes e variantes de pág</w:t>
            </w:r>
          </w:p>
        </w:tc>
        <w:tc>
          <w:tcPr/>
          <w:p>
            <w:pPr>
              <w:pStyle w:val="Compact"/>
            </w:pPr>
            <w:r>
              <w:t xml:space="preserve">ina Realizar experimentos de canal contro</w:t>
            </w:r>
          </w:p>
        </w:tc>
        <w:tc>
          <w:tcPr/>
          <w:p>
            <w:pPr>
              <w:pStyle w:val="Compact"/>
              <w:jc w:val="left"/>
            </w:pPr>
            <w:r>
              <w:t xml:space="preserve">lados Aprendizado pode ser custoso e os resultados podem chegar tarde</w:t>
            </w:r>
          </w:p>
        </w:tc>
      </w:tr>
      <w:tr>
        <w:tc>
          <w:tcPr/>
          <w:p>
            <w:pPr>
              <w:pStyle w:val="Compact"/>
              <w:jc w:val="left"/>
            </w:pPr>
            <w:r>
              <w:t xml:space="preserve">D. Preencher cedo</w:t>
            </w:r>
          </w:p>
        </w:tc>
        <w:tc>
          <w:tcPr/>
          <w:p>
            <w:pPr>
              <w:pStyle w:val="Compact"/>
              <w:jc w:val="left"/>
            </w:pPr>
            <w:r>
              <w:t xml:space="preserve">Manter $279–$289; ampliar descontos</w:t>
            </w:r>
          </w:p>
        </w:tc>
        <w:tc>
          <w:tcPr/>
          <w:p>
            <w:pPr>
              <w:pStyle w:val="Compact"/>
              <w:jc w:val="right"/>
            </w:pPr>
            <w:r>
              <w:t xml:space="preserve">Ofertas agressivas para domin</w:t>
            </w:r>
          </w:p>
        </w:tc>
        <w:tc>
          <w:tcPr/>
          <w:p>
            <w:pPr>
              <w:pStyle w:val="Compact"/>
            </w:pPr>
            <w:r>
              <w:t xml:space="preserve">go/quinta-feira Distribuição ampla em OT</w:t>
            </w:r>
          </w:p>
        </w:tc>
        <w:tc>
          <w:tcPr/>
          <w:p>
            <w:pPr>
              <w:pStyle w:val="Compact"/>
              <w:jc w:val="left"/>
            </w:pPr>
            <w:r>
              <w:t xml:space="preserve">A e mídias sociais Hotel pode vender quartos escassos barato demais</w:t>
            </w:r>
          </w:p>
        </w:tc>
      </w:tr>
    </w:tbl>
    <w:bookmarkEnd w:id="17"/>
    <w:bookmarkEnd w:id="18"/>
    <w:bookmarkStart w:id="20" w:name="os-limites-da-previsão"/>
    <w:p>
      <w:pPr>
        <w:pStyle w:val="Heading1"/>
      </w:pPr>
      <w:r>
        <w:t xml:space="preserve">Os Limites da Previsão</w:t>
      </w:r>
    </w:p>
    <w:p>
      <w:pPr>
        <w:pStyle w:val="FirstParagraph"/>
      </w:pPr>
      <w:r>
        <w:t xml:space="preserve">A equipe de previsão gerou três cenários. No cenário de demanda forte, as inscrições na conferência superaram as expectativas, a reforma do hotel concorrente removeu quartos do mercado e a demanda corporativa tardia foi robusta. No cenário de demanda fraca, a conferência transferiu algumas sessões para o formato online, o concorrente reabriu seu inventário completo e os viajantes reduziram suas estadias. O cenário intermediário assumia que as reservas seguiriam padrões recentes, mas os cancelamentos continuavam sendo o elemento mais difícil de estimar.</w:t>
      </w:r>
    </w:p>
    <w:bookmarkStart w:id="19" w:name="Xfaa0231cc04028520c5c0975309a81763f69fb1"/>
    <w:p>
      <w:pPr>
        <w:pStyle w:val="Heading2"/>
      </w:pPr>
      <w:r>
        <w:t xml:space="preserve">Exhibit 5. Estimativas de Cenário para o Período da Conferência</w:t>
      </w:r>
    </w:p>
    <w:tbl>
      <w:tblPr>
        <w:tblStyle w:val="Table"/>
        <w:tblW w:type="pct" w:w="4947"/>
        <w:tblLayout w:type="fixed"/>
        <w:tblLook w:firstRow="1" w:lastRow="0" w:firstColumn="0" w:lastColumn="0" w:noHBand="0" w:noVBand="0" w:val="0020"/>
      </w:tblPr>
      <w:tblGrid>
        <w:gridCol w:w="625"/>
        <w:gridCol w:w="1417"/>
        <w:gridCol w:w="1458"/>
        <w:gridCol w:w="1250"/>
        <w:gridCol w:w="1250"/>
        <w:gridCol w:w="1834"/>
      </w:tblGrid>
      <w:tr>
        <w:trPr>
          <w:tblHeader w:val="on"/>
        </w:trPr>
        <w:tc>
          <w:tcPr/>
          <w:p>
            <w:pPr>
              <w:pStyle w:val="Compact"/>
            </w:pPr>
            <w:r>
              <w:rPr>
                <w:b/>
                <w:bCs/>
              </w:rPr>
              <w:t xml:space="preserve">Cenário</w:t>
            </w:r>
            <w:r>
              <w:t xml:space="preserve"> </w:t>
            </w:r>
            <w:r>
              <w:t xml:space="preserve">*</w:t>
            </w:r>
          </w:p>
        </w:tc>
        <w:tc>
          <w:tcPr/>
          <w:p>
            <w:pPr>
              <w:pStyle w:val="Compact"/>
            </w:pPr>
            <w:r>
              <w:rPr>
                <w:i/>
                <w:iCs/>
              </w:rPr>
              <w:t xml:space="preserve">Probabilidade usada internamente</w:t>
            </w:r>
          </w:p>
        </w:tc>
        <w:tc>
          <w:tcPr/>
          <w:p>
            <w:pPr>
              <w:pStyle w:val="Compact"/>
            </w:pPr>
            <w:r>
              <w:t xml:space="preserve">* **Solicitações potenciais de qu</w:t>
            </w:r>
          </w:p>
        </w:tc>
        <w:tc>
          <w:tcPr/>
          <w:p>
            <w:pPr>
              <w:pStyle w:val="Compact"/>
            </w:pPr>
            <w:r>
              <w:t xml:space="preserve">artos** **Cancelamentos esti</w:t>
            </w:r>
          </w:p>
        </w:tc>
        <w:tc>
          <w:tcPr/>
          <w:p>
            <w:pPr>
              <w:pStyle w:val="Compact"/>
            </w:pPr>
            <w:r>
              <w:t xml:space="preserve">mados** **Tarifa de pico pro</w:t>
            </w:r>
          </w:p>
        </w:tc>
        <w:tc>
          <w:tcPr/>
          <w:p>
            <w:pPr>
              <w:pStyle w:val="Compact"/>
              <w:jc w:val="left"/>
            </w:pPr>
            <w:r>
              <w:t xml:space="preserve">vável do mercado**</w:t>
            </w:r>
            <w:r>
              <w:t xml:space="preserve"> </w:t>
            </w:r>
            <w:r>
              <w:rPr>
                <w:b/>
                <w:bCs/>
              </w:rPr>
              <w:t xml:space="preserve">Interpretação</w:t>
            </w:r>
          </w:p>
        </w:tc>
      </w:tr>
      <w:tr>
        <w:tc>
          <w:tcPr/>
          <w:p>
            <w:pPr>
              <w:pStyle w:val="Compact"/>
            </w:pPr>
            <w:r>
              <w:t xml:space="preserve">Fraco</w:t>
            </w:r>
          </w:p>
        </w:tc>
        <w:tc>
          <w:tcPr/>
          <w:p>
            <w:pPr>
              <w:pStyle w:val="Compact"/>
            </w:pPr>
            <w:r>
              <w:t xml:space="preserve">25%</w:t>
            </w:r>
          </w:p>
        </w:tc>
        <w:tc>
          <w:tcPr/>
          <w:p>
            <w:pPr>
              <w:pStyle w:val="Compact"/>
            </w:pPr>
            <w:r>
              <w:t xml:space="preserve">760</w:t>
            </w:r>
          </w:p>
        </w:tc>
        <w:tc>
          <w:tcPr/>
          <w:p>
            <w:pPr>
              <w:pStyle w:val="Compact"/>
            </w:pPr>
            <w:r>
              <w:t xml:space="preserve">115–145</w:t>
            </w:r>
          </w:p>
        </w:tc>
        <w:tc>
          <w:tcPr/>
          <w:p>
            <w:pPr>
              <w:pStyle w:val="Compact"/>
            </w:pPr>
            <w:r>
              <w:t xml:space="preserve">$245–$285</w:t>
            </w:r>
          </w:p>
        </w:tc>
        <w:tc>
          <w:tcPr/>
          <w:p>
            <w:pPr>
              <w:pStyle w:val="Compact"/>
              <w:jc w:val="left"/>
            </w:pPr>
            <w:r>
              <w:t xml:space="preserve">Risco substancial de noites adjacentes vazias</w:t>
            </w:r>
          </w:p>
        </w:tc>
      </w:tr>
      <w:tr>
        <w:tc>
          <w:tcPr/>
          <w:p>
            <w:pPr>
              <w:pStyle w:val="Compact"/>
            </w:pPr>
            <w:r>
              <w:t xml:space="preserve">Esperado</w:t>
            </w:r>
          </w:p>
        </w:tc>
        <w:tc>
          <w:tcPr/>
          <w:p>
            <w:pPr>
              <w:pStyle w:val="Compact"/>
            </w:pPr>
            <w:r>
              <w:t xml:space="preserve">50%</w:t>
            </w:r>
          </w:p>
        </w:tc>
        <w:tc>
          <w:tcPr/>
          <w:p>
            <w:pPr>
              <w:pStyle w:val="Compact"/>
            </w:pPr>
            <w:r>
              <w:t xml:space="preserve">915</w:t>
            </w:r>
          </w:p>
        </w:tc>
        <w:tc>
          <w:tcPr/>
          <w:p>
            <w:pPr>
              <w:pStyle w:val="Compact"/>
            </w:pPr>
            <w:r>
              <w:t xml:space="preserve">130–170</w:t>
            </w:r>
          </w:p>
        </w:tc>
        <w:tc>
          <w:tcPr/>
          <w:p>
            <w:pPr>
              <w:pStyle w:val="Compact"/>
            </w:pPr>
            <w:r>
              <w:t xml:space="preserve">$285–$325</w:t>
            </w:r>
          </w:p>
        </w:tc>
        <w:tc>
          <w:tcPr/>
          <w:p>
            <w:pPr>
              <w:pStyle w:val="Compact"/>
              <w:jc w:val="left"/>
            </w:pPr>
            <w:r>
              <w:t xml:space="preserve">Quase esgotamento na terça e quarta-feira</w:t>
            </w:r>
          </w:p>
        </w:tc>
      </w:tr>
      <w:tr>
        <w:tc>
          <w:tcPr/>
          <w:p>
            <w:pPr>
              <w:pStyle w:val="Compact"/>
            </w:pPr>
            <w:r>
              <w:t xml:space="preserve">Forte</w:t>
            </w:r>
          </w:p>
        </w:tc>
        <w:tc>
          <w:tcPr/>
          <w:p>
            <w:pPr>
              <w:pStyle w:val="Compact"/>
            </w:pPr>
            <w:r>
              <w:t xml:space="preserve">25%</w:t>
            </w:r>
          </w:p>
        </w:tc>
        <w:tc>
          <w:tcPr/>
          <w:p>
            <w:pPr>
              <w:pStyle w:val="Compact"/>
            </w:pPr>
            <w:r>
              <w:t xml:space="preserve">1.080</w:t>
            </w:r>
          </w:p>
        </w:tc>
        <w:tc>
          <w:tcPr/>
          <w:p>
            <w:pPr>
              <w:pStyle w:val="Compact"/>
            </w:pPr>
            <w:r>
              <w:t xml:space="preserve">145–195</w:t>
            </w:r>
          </w:p>
        </w:tc>
        <w:tc>
          <w:tcPr/>
          <w:p>
            <w:pPr>
              <w:pStyle w:val="Compact"/>
            </w:pPr>
            <w:r>
              <w:t xml:space="preserve">$335–$425</w:t>
            </w:r>
          </w:p>
        </w:tc>
        <w:tc>
          <w:tcPr/>
          <w:p>
            <w:pPr>
              <w:pStyle w:val="Compact"/>
              <w:jc w:val="left"/>
            </w:pPr>
            <w:r>
              <w:t xml:space="preserve">Demanda tardia pode superar os quartos remanescentes</w:t>
            </w:r>
          </w:p>
        </w:tc>
      </w:tr>
    </w:tbl>
    <w:p>
      <w:pPr>
        <w:pStyle w:val="BodyText"/>
      </w:pPr>
      <w:r>
        <w:t xml:space="preserve">Ninguém acreditava que as probabilidades dos cenários fossem precisas. As tarifas dos concorrentes podiam mudar em questão de horas. As inscrições na conferência podiam acelerar após o anúncio de um palestrante principal. Uma tempestade podia atrapalhar voos. Um grande cliente corporativo poderia cancelar, enquanto uma interrupção aérea poderia inesperadamente criar demanda. As próprias ações do hotel também mudariam a resposta do mercado: preços mais altos poderiam reduzir reservas, publicidade poderia atrair clientes adicionais, e um pacote poderia deslocar a demanda de uma data para outra.</w:t>
      </w:r>
    </w:p>
    <w:p>
      <w:pPr>
        <w:pStyle w:val="BodyText"/>
      </w:pPr>
      <w:r>
        <w:t xml:space="preserve">Marquez também precisava considerar a execução. Os funcionários da recepção tinham dificuldade em explicar regras de tarifas cada vez mais complexas. O restaurante podia servir apenas 180 cafés da manhã confortavelmente entre 7h e 9h. A garagem tinha 196 vagas. A governança dependia de mão de obra terceirizada durante períodos de esgotamento, e um padrão comprimido de estadias de uma única noite aumentava os custos de limpeza. Vender o último quarto não era necessariamente atraente se a qualidade do serviço se deteriorasse e as avaliações online sofressem.</w:t>
      </w:r>
    </w:p>
    <w:bookmarkEnd w:id="19"/>
    <w:bookmarkEnd w:id="20"/>
    <w:bookmarkStart w:id="21" w:name="a-reunião-do-meio-dia"/>
    <w:p>
      <w:pPr>
        <w:pStyle w:val="Heading1"/>
      </w:pPr>
      <w:r>
        <w:t xml:space="preserve">A Reunião do Meio-Dia</w:t>
      </w:r>
    </w:p>
    <w:p>
      <w:pPr>
        <w:pStyle w:val="FirstParagraph"/>
      </w:pPr>
      <w:r>
        <w:t xml:space="preserve">Às 11h40, Marquez resumiu a escolha para o representante da propriedade. O hotel podia comprometer quartos agora, preservar quartos para clientes que poderiam chegar mais tarde, ajustar preços repetidamente conforme novas reservas apareciam, gastar mais para influenciar quais clientes viam o hotel, ou usar as próximas semanas para aprender mais sobre o comportamento do cliente. Cada ação afetava não apenas a receita de quartos, mas também comissões, custos de serviço, gastos acessórios, cancelamentos, satisfação do cliente e a capacidade de aceitar reservas futuras.</w:t>
      </w:r>
    </w:p>
    <w:p>
      <w:pPr>
        <w:pStyle w:val="BodyText"/>
      </w:pPr>
      <w:r>
        <w:t xml:space="preserve">O representante da propriedade fez uma pergunta enganosamente simples:</w:t>
      </w:r>
      <w:r>
        <w:t xml:space="preserve"> </w:t>
      </w:r>
      <w:r>
        <w:t xml:space="preserve">“Quais quartos devemos vender hoje, a que preço, por qual canal, e com qual promessa associada?”</w:t>
      </w:r>
      <w:r>
        <w:t xml:space="preserve"> </w:t>
      </w:r>
      <w:r>
        <w:t xml:space="preserve">Marquez olhou novamente para o relatório de reservas. Ela tinha vinte minutos antes que a atualização de tarifas estivesse programada para entrar em vigor.</w:t>
      </w:r>
    </w:p>
    <w:bookmarkEnd w:id="21"/>
    <w:bookmarkStart w:id="22" w:name="questões-de-discussão"/>
    <w:p>
      <w:pPr>
        <w:pStyle w:val="Heading1"/>
      </w:pPr>
      <w:r>
        <w:t xml:space="preserve">Questões de Discussão</w:t>
      </w:r>
    </w:p>
    <w:p>
      <w:pPr>
        <w:numPr>
          <w:ilvl w:val="0"/>
          <w:numId w:val="1001"/>
        </w:numPr>
      </w:pPr>
      <w:r>
        <w:t xml:space="preserve">Como o Harborview deve definir um resultado bem-sucedido para o período de oito semanas?</w:t>
      </w:r>
    </w:p>
    <w:p>
      <w:pPr>
        <w:numPr>
          <w:ilvl w:val="0"/>
          <w:numId w:val="1001"/>
        </w:numPr>
      </w:pPr>
      <w:r>
        <w:t xml:space="preserve">Quais datas de estadia exigem maior atenção da gestão, e por quê?</w:t>
      </w:r>
    </w:p>
    <w:p>
      <w:pPr>
        <w:numPr>
          <w:ilvl w:val="0"/>
          <w:numId w:val="1001"/>
        </w:numPr>
      </w:pPr>
      <w:r>
        <w:t xml:space="preserve">Quais são as vantagens e desvantagens de aceitar o bloco corporativo proposto?</w:t>
      </w:r>
    </w:p>
    <w:p>
      <w:pPr>
        <w:numPr>
          <w:ilvl w:val="0"/>
          <w:numId w:val="1001"/>
        </w:numPr>
      </w:pPr>
      <w:r>
        <w:t xml:space="preserve">Como o hotel deve valorizar um quarto reservado para um possível cliente futuro?</w:t>
      </w:r>
    </w:p>
    <w:p>
      <w:pPr>
        <w:numPr>
          <w:ilvl w:val="0"/>
          <w:numId w:val="1001"/>
        </w:numPr>
      </w:pPr>
      <w:r>
        <w:t xml:space="preserve">Como o comportamento de cancelamento deve afetar tarifas, restrições e disponibilidade de canais?</w:t>
      </w:r>
    </w:p>
    <w:p>
      <w:pPr>
        <w:numPr>
          <w:ilvl w:val="0"/>
          <w:numId w:val="1001"/>
        </w:numPr>
      </w:pPr>
      <w:r>
        <w:t xml:space="preserve">Quais serviços devem ser agrupados com os quartos, e quando um pacote pode destruir, em vez de criar, valor?</w:t>
      </w:r>
    </w:p>
    <w:p>
      <w:pPr>
        <w:numPr>
          <w:ilvl w:val="0"/>
          <w:numId w:val="1001"/>
        </w:numPr>
      </w:pPr>
      <w:r>
        <w:t xml:space="preserve">Como o Harborview deve alocar seu orçamento de publicidade entre busca paga, mídias sociais, canais diretos, agências de viagens online e vendas corporativas?</w:t>
      </w:r>
    </w:p>
    <w:p>
      <w:pPr>
        <w:numPr>
          <w:ilvl w:val="0"/>
          <w:numId w:val="1001"/>
        </w:numPr>
      </w:pPr>
      <w:r>
        <w:t xml:space="preserve">Que informações seriam mais valiosas antes do meio-dia, e que informações poderiam razoavelmente ser aprendidas ao longo das próximas semanas?</w:t>
      </w:r>
    </w:p>
    <w:p>
      <w:pPr>
        <w:numPr>
          <w:ilvl w:val="0"/>
          <w:numId w:val="1001"/>
        </w:numPr>
      </w:pPr>
      <w:r>
        <w:t xml:space="preserve">Você conduziria os experimentos de página e pacote durante o período de reservas da conferência? Explique o design e os riscos do experimento.</w:t>
      </w:r>
    </w:p>
    <w:p>
      <w:pPr>
        <w:numPr>
          <w:ilvl w:val="0"/>
          <w:numId w:val="1001"/>
        </w:numPr>
      </w:pPr>
      <w:r>
        <w:t xml:space="preserve">Qual plano Marquez deveria aprovar, e quais observações futuras deveriam desencadear uma mudança nesse plano?</w:t>
      </w:r>
    </w:p>
    <w:bookmarkEnd w:id="22"/>
    <w:bookmarkStart w:id="28" w:name="questões-de-enquadramento-de-decisão"/>
    <w:p>
      <w:pPr>
        <w:pStyle w:val="Heading1"/>
      </w:pPr>
      <w:r>
        <w:t xml:space="preserve">Questões de Enquadramento de Decisão</w:t>
      </w:r>
    </w:p>
    <w:p>
      <w:pPr>
        <w:numPr>
          <w:ilvl w:val="0"/>
          <w:numId w:val="1002"/>
        </w:numPr>
      </w:pPr>
      <w:r>
        <w:t xml:space="preserve">Identifique e descreva as responsabilidades do tomador de decisão. Isso deve definir o escopo do problema.</w:t>
      </w:r>
    </w:p>
    <w:p>
      <w:pPr>
        <w:numPr>
          <w:ilvl w:val="0"/>
          <w:numId w:val="1002"/>
        </w:numPr>
      </w:pPr>
      <w:r>
        <w:t xml:space="preserve">Use a</w:t>
      </w:r>
      <w:r>
        <w:t xml:space="preserve"> </w:t>
      </w:r>
      <w:hyperlink r:id="rId23">
        <w:r>
          <w:rPr>
            <w:rStyle w:val="Hyperlink"/>
          </w:rPr>
          <w:t xml:space="preserve">ferramenta de pirâmide de métricas</w:t>
        </w:r>
      </w:hyperlink>
      <w:r>
        <w:t xml:space="preserve"> </w:t>
      </w:r>
      <w:r>
        <w:t xml:space="preserve">para identificar e priorizar as diferentes métricas de desempenho. Clique na oval que contém a métrica para identificar se é uma métrica a ser maximizada (verde), minimizada (vermelho), uma meta que é um piso (verde claro) ou um teto (vermelho claro), ou, finalmente, uma meta (roxo).</w:t>
      </w:r>
    </w:p>
    <w:p>
      <w:pPr>
        <w:numPr>
          <w:ilvl w:val="0"/>
          <w:numId w:val="1002"/>
        </w:numPr>
      </w:pPr>
      <w:r>
        <w:t xml:space="preserve">Use a</w:t>
      </w:r>
      <w:r>
        <w:t xml:space="preserve"> </w:t>
      </w:r>
      <w:hyperlink r:id="rId24">
        <w:r>
          <w:rPr>
            <w:rStyle w:val="Hyperlink"/>
          </w:rPr>
          <w:t xml:space="preserve">ferramenta de priorização de decisões</w:t>
        </w:r>
      </w:hyperlink>
      <w:r>
        <w:t xml:space="preserve"> </w:t>
      </w:r>
      <w:r>
        <w:t xml:space="preserve">para primeiro listar os diferentes tipos de decisões (use os</w:t>
      </w:r>
      <w:r>
        <w:t xml:space="preserve"> </w:t>
      </w:r>
      <w:hyperlink r:id="rId25">
        <w:r>
          <w:rPr>
            <w:rStyle w:val="Hyperlink"/>
          </w:rPr>
          <w:t xml:space="preserve">tipos de decisões</w:t>
        </w:r>
      </w:hyperlink>
      <w:r>
        <w:t xml:space="preserve"> </w:t>
      </w:r>
      <w:r>
        <w:t xml:space="preserve">como guia). Estas então preencherão as linhas da matriz à direita, onde as colunas são as métricas de desempenho ordenadas da esquerda para a direita conforme a prioridade na pirâmide acima. Clique em cada célula para indicar se o impacto da decisão em cada métrica é alto (vermelho), médio (laranja), baixo (amarelo) ou nenhum (branco).</w:t>
      </w:r>
    </w:p>
    <w:p>
      <w:pPr>
        <w:numPr>
          <w:ilvl w:val="0"/>
          <w:numId w:val="1002"/>
        </w:numPr>
      </w:pPr>
      <w:r>
        <w:t xml:space="preserve">Você pode arrastar a alça (três barras) mais à esquerda em cada linha para movê-la para cima ou para baixo. Ordene as linhas de modo que as decisões com maior impacto nas métricas mais importantes fiquem no topo. As células no canto superior esquerdo devem ter a maior concentração de células vermelhas e laranjas. Neste ponto, identifique as decisões que devem receber maior atenção em seu estudo. Se você não tiver decisões com impacto médio ou alto nas métricas mais importantes, revise sua lista de decisões.</w:t>
      </w:r>
    </w:p>
    <w:p>
      <w:pPr>
        <w:numPr>
          <w:ilvl w:val="0"/>
          <w:numId w:val="1002"/>
        </w:numPr>
      </w:pPr>
      <w:r>
        <w:t xml:space="preserve">Repita o processo para listar e priorizar as incertezas usando a</w:t>
      </w:r>
      <w:r>
        <w:t xml:space="preserve"> </w:t>
      </w:r>
      <w:hyperlink r:id="rId26">
        <w:r>
          <w:rPr>
            <w:rStyle w:val="Hyperlink"/>
          </w:rPr>
          <w:t xml:space="preserve">ferramenta de priorização de incertezas</w:t>
        </w:r>
      </w:hyperlink>
      <w:r>
        <w:t xml:space="preserve">. Use as</w:t>
      </w:r>
      <w:r>
        <w:t xml:space="preserve"> </w:t>
      </w:r>
      <w:hyperlink r:id="rId27">
        <w:r>
          <w:rPr>
            <w:rStyle w:val="Hyperlink"/>
          </w:rPr>
          <w:t xml:space="preserve">categorias de incerteza</w:t>
        </w:r>
      </w:hyperlink>
      <w:r>
        <w:t xml:space="preserve"> </w:t>
      </w:r>
      <w:r>
        <w:t xml:space="preserve">para ajudá-lo a identificá-las.</w:t>
      </w:r>
    </w:p>
    <w:p>
      <w:pPr>
        <w:numPr>
          <w:ilvl w:val="0"/>
          <w:numId w:val="1002"/>
        </w:numPr>
      </w:pPr>
      <w:r>
        <w:t xml:space="preserve">É importante diferenciar incertezas que podem ser avaliadas em média, ou como eventos de risco:</w:t>
      </w:r>
    </w:p>
    <w:p>
      <w:pPr>
        <w:numPr>
          <w:ilvl w:val="1"/>
          <w:numId w:val="1003"/>
        </w:numPr>
      </w:pPr>
      <w:r>
        <w:t xml:space="preserve">Quais fontes de incerteza seriam capturadas usando o desempenho médio ao longo do tempo?</w:t>
      </w:r>
    </w:p>
    <w:p>
      <w:pPr>
        <w:numPr>
          <w:ilvl w:val="1"/>
          <w:numId w:val="1003"/>
        </w:numPr>
      </w:pPr>
      <w:r>
        <w:t xml:space="preserve">Quais fontes de incerteza representam formas de risco que não são adequadamente capturadas usando médias?</w:t>
      </w:r>
    </w:p>
    <w:p>
      <w:pPr>
        <w:numPr>
          <w:ilvl w:val="0"/>
          <w:numId w:val="1002"/>
        </w:numPr>
      </w:pPr>
      <w:r>
        <w:t xml:space="preserve">Escolha a única decisão que parece ter o maior impacto na métrica mais importante.</w:t>
      </w:r>
    </w:p>
    <w:p>
      <w:pPr>
        <w:numPr>
          <w:ilvl w:val="1"/>
          <w:numId w:val="1004"/>
        </w:numPr>
      </w:pPr>
      <w:r>
        <w:t xml:space="preserve">Que abordagem você acha que usaria para tomar essa decisão?</w:t>
      </w:r>
    </w:p>
    <w:p>
      <w:pPr>
        <w:numPr>
          <w:ilvl w:val="1"/>
          <w:numId w:val="1004"/>
        </w:numPr>
      </w:pPr>
      <w:r>
        <w:t xml:space="preserve">Quais dados parecem ser necessários para tomar essa decisão, incluindo o cálculo de quaisquer métricas de desempenho em que a decisão teria impacto alto ou médio.</w:t>
      </w:r>
    </w:p>
    <w:p>
      <w:pPr>
        <w:numPr>
          <w:ilvl w:val="0"/>
          <w:numId w:val="1002"/>
        </w:numPr>
      </w:pPr>
      <w:r>
        <w:t xml:space="preserve">Usando a mesma decisão que você identificou em (7), identifique as pessoas, departamentos, grupos ou organizações com os quais você precisaria trabalhar para implementar a decisão.</w:t>
      </w:r>
    </w:p>
    <w:bookmarkEnd w:id="28"/>
    <w:bookmarkStart w:id="29" w:name="nota-sobre-dados-e-fontes"/>
    <w:p>
      <w:pPr>
        <w:pStyle w:val="Heading1"/>
      </w:pPr>
      <w:r>
        <w:t xml:space="preserve">Nota sobre Dados e Fontes</w:t>
      </w:r>
    </w:p>
    <w:p>
      <w:pPr>
        <w:pStyle w:val="FirstParagraph"/>
      </w:pPr>
      <w:r>
        <w:t xml:space="preserve">Todas as empresas, pessoas, eventos, registros de reservas, números financeiros e alternativas operacionais neste caso são fictícios. O contexto do setor foi informado por Warren B. Powell, Bridging Decision Problems, Volume I, Capítulo 2,</w:t>
      </w:r>
      <w:r>
        <w:t xml:space="preserve"> </w:t>
      </w:r>
      <w:r>
        <w:t xml:space="preserve">“Hotel Revenue Management”</w:t>
      </w:r>
      <w:r>
        <w:t xml:space="preserve">; relatórios da CoStar/STR sobre ocupação hoteleira, tarifa diária média e receita por quarto disponível nos EUA em 2025; o relatório 2025 State of the Industry da American Hotel &amp; Lodging Association; e estimativas publicadas de cancelamento por canal em 2025. O caso foi elaborado para discussão e não apresenta uma solução preferida.</w:t>
      </w:r>
    </w:p>
    <w:bookmarkEnd w:id="29"/>
    <w:bookmarkStart w:id="32" w:name="notas-do-chatgpt"/>
    <w:p>
      <w:pPr>
        <w:pStyle w:val="Heading1"/>
      </w:pPr>
      <w:r>
        <w:t xml:space="preserve">Notas do ChatGPT</w:t>
      </w:r>
    </w:p>
    <w:bookmarkStart w:id="30" w:name="prompt"/>
    <w:p>
      <w:pPr>
        <w:pStyle w:val="Heading2"/>
      </w:pPr>
      <w:r>
        <w:t xml:space="preserve">Prompt</w:t>
      </w:r>
    </w:p>
    <w:p>
      <w:pPr>
        <w:pStyle w:val="FirstParagraph"/>
      </w:pPr>
      <w:r>
        <w:t xml:space="preserve">Escreva um estudo de caso de 4 a 6 páginas com base no material da seção em https://warrenpowell.org/bridging-vol1/chapter-2/#hotel-revenue-management. Crie um contexto baseado nas métricas, decisões e incertezas da seção, mas sem chamar atenção explicitamente para elas. Motive seu problema de caso com dados.</w:t>
      </w:r>
    </w:p>
    <w:bookmarkEnd w:id="30"/>
    <w:bookmarkStart w:id="31" w:name="resumo"/>
    <w:p>
      <w:pPr>
        <w:pStyle w:val="Heading2"/>
      </w:pPr>
      <w:r>
        <w:t xml:space="preserve">Resumo</w:t>
      </w:r>
    </w:p>
    <w:p>
      <w:pPr>
        <w:pStyle w:val="FirstParagraph"/>
      </w:pPr>
      <w:r>
        <w:t xml:space="preserve">Reservas antecipadas em um horizonte de planejamento de oito semanas</w:t>
      </w:r>
    </w:p>
    <w:p>
      <w:pPr>
        <w:pStyle w:val="BodyText"/>
      </w:pPr>
      <w:r>
        <w:t xml:space="preserve">Precificação dinâmica de quartos e restrições de tarifas com desconto</w:t>
      </w:r>
    </w:p>
    <w:p>
      <w:pPr>
        <w:pStyle w:val="BodyText"/>
      </w:pPr>
      <w:r>
        <w:t xml:space="preserve">Clientes de negócios, lazer, conferência e grupos</w:t>
      </w:r>
    </w:p>
    <w:p>
      <w:pPr>
        <w:pStyle w:val="BodyText"/>
      </w:pPr>
      <w:r>
        <w:t xml:space="preserve">Reservas diretas, agências de viagens online, vendas corporativas, busca paga, mídias sociais e marketing de fidelidade</w:t>
      </w:r>
    </w:p>
    <w:p>
      <w:pPr>
        <w:pStyle w:val="BodyText"/>
      </w:pPr>
      <w:r>
        <w:t xml:space="preserve">Pacotes de serviços envolvendo café da manhã, estacionamento, cancelamento flexível e espaço para reuniões</w:t>
      </w:r>
    </w:p>
    <w:p>
      <w:pPr>
        <w:pStyle w:val="BodyText"/>
      </w:pPr>
      <w:r>
        <w:t xml:space="preserve">Cancelamentos de reservas, comportamento dos concorrentes, participação incerta em eventos e demanda de chegada tardia</w:t>
      </w:r>
    </w:p>
    <w:p>
      <w:pPr>
        <w:pStyle w:val="BodyText"/>
      </w:pPr>
      <w:r>
        <w:t xml:space="preserve">Cinco anexos quantitativos e dez questões de discussão</w:t>
      </w:r>
    </w:p>
    <w:p>
      <w:pPr>
        <w:pStyle w:val="BodyText"/>
      </w:pPr>
      <w:r>
        <w:t xml:space="preserve">Uma decisão de gestão não resolvida, sem solução preferida</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2026-09-11T16:43:09Z</dcterms:created>
  <dcterms:modified xsi:type="dcterms:W3CDTF">2026-09-11T16:43:09Z</dcterms:modified>
</cp:coreProperties>
</file>

<file path=docProps/custom.xml><?xml version="1.0" encoding="utf-8"?>
<Properties xmlns="http://schemas.openxmlformats.org/officeDocument/2006/custom-properties" xmlns:vt="http://schemas.openxmlformats.org/officeDocument/2006/docPropsVTypes"/>
</file>