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Hearthline Home</w:t>
      </w:r>
    </w:p>
    <w:p>
      <w:pPr>
        <w:pStyle w:val="BodyText"/>
      </w:pPr>
      <w:r>
        <w:t xml:space="preserve">O Problema do Balanceamento de Demanda</w:t>
      </w:r>
    </w:p>
    <w:p>
      <w:pPr>
        <w:pStyle w:val="BodyText"/>
      </w:pPr>
      <w:r>
        <w:t xml:space="preserve">Um caso de negócios sobre sortimento, precificação, promoção, marketing digital e resposta do cliente</w:t>
      </w:r>
    </w:p>
    <w:tbl>
      <w:tblPr>
        <w:tblStyle w:val="Table"/>
        <w:tblW w:type="auto" w:w="0"/>
        <w:tblLook w:firstRow="0" w:lastRow="0" w:firstColumn="0" w:lastColumn="0" w:noHBand="0" w:noVBand="0" w:val="0000"/>
      </w:tblPr>
      <w:tblGrid>
        <w:gridCol w:w="7920"/>
      </w:tblGrid>
      <w:tr>
        <w:tc>
          <w:tcPr/>
          <w:p>
            <w:pPr>
              <w:pStyle w:val="Compact"/>
            </w:pPr>
            <w:r>
              <w:t xml:space="preserve">Em setembro de 2026, uma varejista regional de móveis precisa decidir com que agressividade estimular a demanda antes da temporada de festas de fim de ano — sem criar rupturas de estoque em estilos populares nem descontos profundos em produtos que os clientes não querem mais.</w:t>
            </w:r>
          </w:p>
        </w:tc>
      </w:tr>
    </w:tbl>
    <w:p>
      <w:r>
        <w:pict>
          <v:rect style="width:0;height:1.5pt" o:hralign="center" o:hrstd="t" o:hr="t"/>
        </w:pict>
      </w:r>
    </w:p>
    <w:p>
      <w:pPr>
        <w:pStyle w:val="FirstParagraph"/>
      </w:pPr>
      <w:r>
        <w:t xml:space="preserve">Este caso é fictício e destinado à discussão instrucional. Nomes, eventos, fundos e números internos são inventados, embora o cenário do setor seja motivado por dados públicos.</w:t>
      </w:r>
    </w:p>
    <w:bookmarkStart w:id="9" w:name="a-reunião-de-segunda-feira"/>
    <w:p>
      <w:pPr>
        <w:pStyle w:val="Heading1"/>
      </w:pPr>
      <w:r>
        <w:t xml:space="preserve">A Reunião de Segunda-feira</w:t>
      </w:r>
    </w:p>
    <w:p>
      <w:pPr>
        <w:pStyle w:val="FirstParagraph"/>
      </w:pPr>
      <w:r>
        <w:t xml:space="preserve">Às 8h10 de uma segunda-feira, Elena Marquez, diretora comercial da Hearthline Home, observava o painel de vendas do fim de semana da empresa atualizar pela terceira vez. O tráfego do site havia aumentado 24 por cento após uma campanha paga em redes sociais, mas as compras concluídas haviam aumentado apenas 5 por cento. Nas lojas, o novo sofá modular Solace estava vendendo mais rápido do que o esperado em dois mercados metropolitanos e mal se movia nos demais. Enquanto isso, a empresa mantinha quase quatro meses de estoque de uma coleção de sala de jantar tradicional que havia sido prevista como um sucesso sazonal.</w:t>
      </w:r>
    </w:p>
    <w:p>
      <w:pPr>
        <w:pStyle w:val="BodyText"/>
      </w:pPr>
      <w:r>
        <w:t xml:space="preserve">A Hearthline operava 31 lojas e um site de comércio eletrônico em oito estados do Meio-Oeste e do Atlântico Médio. Vendia sofás, conjuntos de quarto, móveis de sala de jantar, peças para home office e acessórios. A maioria dos produtos estofados era montada domesticamente a partir de estruturas e tecidos importados; os móveis de estrutura rígida chegavam principalmente da Ásia e da Europa. A reposição padrão levava de 10 a 18 semanas, e pedidos especiais podiam demorar ainda mais.</w:t>
      </w:r>
    </w:p>
    <w:p>
      <w:pPr>
        <w:pStyle w:val="BodyText"/>
      </w:pPr>
      <w:r>
        <w:t xml:space="preserve">O comitê executivo havia aprovado um orçamento de $6,8 milhões para marketing e promoção nos últimos quatro meses do ano. O dinheiro podia financiar televisão, busca paga, redes sociais, mala direta, eventos locais, parcerias com influenciadores, experimentos de redesenho do site ou reduções de preço. Cada escolha poderia mudar não apenas as vendas, mas também o mix de clientes e produtos vendidos. Marquez tinha seis dias para recomendar um plano.</w:t>
      </w:r>
    </w:p>
    <w:bookmarkEnd w:id="9"/>
    <w:bookmarkStart w:id="11" w:name="Xe5c2f54801f9cb3c5a25cffecc170deaeac723a"/>
    <w:p>
      <w:pPr>
        <w:pStyle w:val="Heading1"/>
      </w:pPr>
      <w:r>
        <w:t xml:space="preserve">Um Mercado Que Se Recusava a se Comportar</w:t>
      </w:r>
    </w:p>
    <w:p>
      <w:pPr>
        <w:pStyle w:val="FirstParagraph"/>
      </w:pPr>
      <w:r>
        <w:t xml:space="preserve">A demanda por móveis sempre foi difícil de prever porque as compras eram grandes, infrequentes e frequentemente ligadas a eventos de vida. Compras de imóveis e mudanças criavam necessidades de mobiliário, mas os clientes também adiavam compras quando taxas de juros, inflação ou perspectivas de emprego os deixavam cautelosos. As preferências de estilo podiam mudar rapidamente depois que um produto aparecia em um vídeo online ou um concorrente introduzia um design semelhante a um preço menor.</w:t>
      </w:r>
    </w:p>
    <w:p>
      <w:pPr>
        <w:pStyle w:val="BodyText"/>
      </w:pPr>
      <w:r>
        <w:t xml:space="preserve">O panorama nacional dava pouco conforto à Hearthline. Dados do Censo dos EUA indicavam que as vendas de lojas de móveis e artigos para o lar em dezembro de 2025 estavam 5,5 por cento abaixo de dezembro de 2024. As vendas de novas casas unifamiliares totalizaram uma estimativa de 679.000 unidades em 2025, ligeiramente abaixo de 2024. Ao mesmo tempo, o comércio eletrônico continuava a representar uma parcela substancial e crescente da atividade varejista, com as vendas de comércio eletrônico dos EUA no primeiro trimestre de 2026 estimadas em $326,7 bilhões. Essas estatísticas sugeriam um mercado grande, mas não previsível.</w:t>
      </w:r>
    </w:p>
    <w:bookmarkStart w:id="10" w:name="Xbe7083318cae8fbf5cf9f3e7416a785cb97fba5"/>
    <w:p>
      <w:pPr>
        <w:pStyle w:val="Heading2"/>
      </w:pPr>
      <w:r>
        <w:t xml:space="preserve">Exhibit 1. Desempenho da Hearthline, janeiro–agosto de 2026</w:t>
      </w:r>
    </w:p>
    <w:tbl>
      <w:tblPr>
        <w:tblStyle w:val="Table"/>
        <w:tblW w:type="pct" w:w="4870"/>
        <w:tblLayout w:type="fixed"/>
        <w:tblLook w:firstRow="1" w:lastRow="0" w:firstColumn="0" w:lastColumn="0" w:noHBand="0" w:noVBand="0" w:val="0020"/>
      </w:tblPr>
      <w:tblGrid>
        <w:gridCol w:w="2674"/>
        <w:gridCol w:w="1851"/>
        <w:gridCol w:w="1851"/>
        <w:gridCol w:w="1337"/>
      </w:tblGrid>
      <w:tr>
        <w:trPr>
          <w:tblHeader w:val="on"/>
        </w:trPr>
        <w:tc>
          <w:tcPr/>
          <w:p>
            <w:pPr>
              <w:pStyle w:val="Compact"/>
              <w:jc w:val="left"/>
            </w:pPr>
            <w:r>
              <w:t xml:space="preserve">Medida</w:t>
            </w:r>
          </w:p>
        </w:tc>
        <w:tc>
          <w:tcPr/>
          <w:p>
            <w:pPr>
              <w:pStyle w:val="Compact"/>
              <w:jc w:val="center"/>
            </w:pPr>
            <w:r>
              <w:t xml:space="preserve">Comparável 2025</w:t>
            </w:r>
          </w:p>
        </w:tc>
        <w:tc>
          <w:tcPr/>
          <w:p>
            <w:pPr>
              <w:pStyle w:val="Compact"/>
              <w:jc w:val="center"/>
            </w:pPr>
            <w:r>
              <w:t xml:space="preserve">Real 2026</w:t>
            </w:r>
          </w:p>
        </w:tc>
        <w:tc>
          <w:tcPr/>
          <w:p>
            <w:pPr>
              <w:pStyle w:val="Compact"/>
              <w:jc w:val="center"/>
            </w:pPr>
            <w:r>
              <w:t xml:space="preserve">Variação</w:t>
            </w:r>
          </w:p>
        </w:tc>
      </w:tr>
      <w:tr>
        <w:tc>
          <w:tcPr/>
          <w:p>
            <w:pPr>
              <w:pStyle w:val="Compact"/>
              <w:jc w:val="left"/>
            </w:pPr>
            <w:r>
              <w:t xml:space="preserve">Vendas líquidas</w:t>
            </w:r>
          </w:p>
        </w:tc>
        <w:tc>
          <w:tcPr/>
          <w:p>
            <w:pPr>
              <w:pStyle w:val="Compact"/>
              <w:jc w:val="center"/>
            </w:pPr>
            <w:r>
              <w:t xml:space="preserve">$286,4 milhões</w:t>
            </w:r>
          </w:p>
        </w:tc>
        <w:tc>
          <w:tcPr/>
          <w:p>
            <w:pPr>
              <w:pStyle w:val="Compact"/>
              <w:jc w:val="center"/>
            </w:pPr>
            <w:r>
              <w:t xml:space="preserve">$279,1 milhões</w:t>
            </w:r>
          </w:p>
        </w:tc>
        <w:tc>
          <w:tcPr/>
          <w:p>
            <w:pPr>
              <w:pStyle w:val="Compact"/>
              <w:jc w:val="center"/>
            </w:pPr>
            <w:r>
              <w:t xml:space="preserve">–2,5%</w:t>
            </w:r>
          </w:p>
        </w:tc>
      </w:tr>
      <w:tr>
        <w:tc>
          <w:tcPr/>
          <w:p>
            <w:pPr>
              <w:pStyle w:val="Compact"/>
              <w:jc w:val="left"/>
            </w:pPr>
            <w:r>
              <w:t xml:space="preserve">Margem bruta</w:t>
            </w:r>
          </w:p>
        </w:tc>
        <w:tc>
          <w:tcPr/>
          <w:p>
            <w:pPr>
              <w:pStyle w:val="Compact"/>
              <w:jc w:val="center"/>
            </w:pPr>
            <w:r>
              <w:t xml:space="preserve">46,1%</w:t>
            </w:r>
          </w:p>
        </w:tc>
        <w:tc>
          <w:tcPr/>
          <w:p>
            <w:pPr>
              <w:pStyle w:val="Compact"/>
              <w:jc w:val="center"/>
            </w:pPr>
            <w:r>
              <w:t xml:space="preserve">43,8%</w:t>
            </w:r>
          </w:p>
        </w:tc>
        <w:tc>
          <w:tcPr/>
          <w:p>
            <w:pPr>
              <w:pStyle w:val="Compact"/>
              <w:jc w:val="center"/>
            </w:pPr>
            <w:r>
              <w:t xml:space="preserve">–2,3 pts</w:t>
            </w:r>
          </w:p>
        </w:tc>
      </w:tr>
      <w:tr>
        <w:tc>
          <w:tcPr/>
          <w:p>
            <w:pPr>
              <w:pStyle w:val="Compact"/>
              <w:jc w:val="left"/>
            </w:pPr>
            <w:r>
              <w:t xml:space="preserve">Valor médio do pedido</w:t>
            </w:r>
          </w:p>
        </w:tc>
        <w:tc>
          <w:tcPr/>
          <w:p>
            <w:pPr>
              <w:pStyle w:val="Compact"/>
              <w:jc w:val="center"/>
            </w:pPr>
            <w:r>
              <w:t xml:space="preserve">$1.486</w:t>
            </w:r>
          </w:p>
        </w:tc>
        <w:tc>
          <w:tcPr/>
          <w:p>
            <w:pPr>
              <w:pStyle w:val="Compact"/>
              <w:jc w:val="center"/>
            </w:pPr>
            <w:r>
              <w:t xml:space="preserve">$1.552</w:t>
            </w:r>
          </w:p>
        </w:tc>
        <w:tc>
          <w:tcPr/>
          <w:p>
            <w:pPr>
              <w:pStyle w:val="Compact"/>
              <w:jc w:val="center"/>
            </w:pPr>
            <w:r>
              <w:t xml:space="preserve">+4,4%</w:t>
            </w:r>
          </w:p>
        </w:tc>
      </w:tr>
      <w:tr>
        <w:tc>
          <w:tcPr/>
          <w:p>
            <w:pPr>
              <w:pStyle w:val="Compact"/>
              <w:jc w:val="left"/>
            </w:pPr>
            <w:r>
              <w:t xml:space="preserve">Taxa de conversão em loja</w:t>
            </w:r>
          </w:p>
        </w:tc>
        <w:tc>
          <w:tcPr/>
          <w:p>
            <w:pPr>
              <w:pStyle w:val="Compact"/>
              <w:jc w:val="center"/>
            </w:pPr>
            <w:r>
              <w:t xml:space="preserve">22,8%</w:t>
            </w:r>
          </w:p>
        </w:tc>
        <w:tc>
          <w:tcPr/>
          <w:p>
            <w:pPr>
              <w:pStyle w:val="Compact"/>
              <w:jc w:val="center"/>
            </w:pPr>
            <w:r>
              <w:t xml:space="preserve">20,6%</w:t>
            </w:r>
          </w:p>
        </w:tc>
        <w:tc>
          <w:tcPr/>
          <w:p>
            <w:pPr>
              <w:pStyle w:val="Compact"/>
              <w:jc w:val="center"/>
            </w:pPr>
            <w:r>
              <w:t xml:space="preserve">–2,2 pts</w:t>
            </w:r>
          </w:p>
        </w:tc>
      </w:tr>
      <w:tr>
        <w:tc>
          <w:tcPr/>
          <w:p>
            <w:pPr>
              <w:pStyle w:val="Compact"/>
              <w:jc w:val="left"/>
            </w:pPr>
            <w:r>
              <w:t xml:space="preserve">Taxa de conversão do site</w:t>
            </w:r>
          </w:p>
        </w:tc>
        <w:tc>
          <w:tcPr/>
          <w:p>
            <w:pPr>
              <w:pStyle w:val="Compact"/>
              <w:jc w:val="center"/>
            </w:pPr>
            <w:r>
              <w:t xml:space="preserve">1,82%</w:t>
            </w:r>
          </w:p>
        </w:tc>
        <w:tc>
          <w:tcPr/>
          <w:p>
            <w:pPr>
              <w:pStyle w:val="Compact"/>
              <w:jc w:val="center"/>
            </w:pPr>
            <w:r>
              <w:t xml:space="preserve">1,54%</w:t>
            </w:r>
          </w:p>
        </w:tc>
        <w:tc>
          <w:tcPr/>
          <w:p>
            <w:pPr>
              <w:pStyle w:val="Compact"/>
              <w:jc w:val="center"/>
            </w:pPr>
            <w:r>
              <w:t xml:space="preserve">–0,28 pts</w:t>
            </w:r>
          </w:p>
        </w:tc>
      </w:tr>
      <w:tr>
        <w:tc>
          <w:tcPr/>
          <w:p>
            <w:pPr>
              <w:pStyle w:val="Compact"/>
              <w:jc w:val="left"/>
            </w:pPr>
            <w:r>
              <w:t xml:space="preserve">Pedidos entregues com atra</w:t>
            </w:r>
          </w:p>
        </w:tc>
        <w:tc>
          <w:tcPr/>
          <w:p>
            <w:pPr>
              <w:pStyle w:val="Compact"/>
              <w:jc w:val="center"/>
            </w:pPr>
            <w:r>
              <w:t xml:space="preserve">so 8,7%</w:t>
            </w:r>
          </w:p>
        </w:tc>
        <w:tc>
          <w:tcPr/>
          <w:p>
            <w:pPr>
              <w:pStyle w:val="Compact"/>
              <w:jc w:val="center"/>
            </w:pPr>
            <w:r>
              <w:t xml:space="preserve">13,9%</w:t>
            </w:r>
          </w:p>
        </w:tc>
        <w:tc>
          <w:tcPr/>
          <w:p>
            <w:pPr>
              <w:pStyle w:val="Compact"/>
              <w:jc w:val="center"/>
            </w:pPr>
            <w:r>
              <w:t xml:space="preserve">+5,2 pts</w:t>
            </w:r>
          </w:p>
        </w:tc>
      </w:tr>
      <w:tr>
        <w:tc>
          <w:tcPr/>
          <w:p>
            <w:pPr>
              <w:pStyle w:val="Compact"/>
              <w:jc w:val="left"/>
            </w:pPr>
            <w:r>
              <w:t xml:space="preserve">Estoque a custo</w:t>
            </w:r>
          </w:p>
        </w:tc>
        <w:tc>
          <w:tcPr/>
          <w:p>
            <w:pPr>
              <w:pStyle w:val="Compact"/>
              <w:jc w:val="center"/>
            </w:pPr>
            <w:r>
              <w:t xml:space="preserve">$82,6 milhões</w:t>
            </w:r>
          </w:p>
        </w:tc>
        <w:tc>
          <w:tcPr/>
          <w:p>
            <w:pPr>
              <w:pStyle w:val="Compact"/>
              <w:jc w:val="center"/>
            </w:pPr>
            <w:r>
              <w:t xml:space="preserve">$103,4 milhões</w:t>
            </w:r>
          </w:p>
        </w:tc>
        <w:tc>
          <w:tcPr/>
          <w:p>
            <w:pPr>
              <w:pStyle w:val="Compact"/>
              <w:jc w:val="center"/>
            </w:pPr>
            <w:r>
              <w:t xml:space="preserve">+25,2%</w:t>
            </w:r>
          </w:p>
        </w:tc>
      </w:tr>
      <w:tr>
        <w:tc>
          <w:tcPr/>
          <w:p>
            <w:pPr>
              <w:pStyle w:val="Compact"/>
              <w:jc w:val="left"/>
            </w:pPr>
            <w:r>
              <w:t xml:space="preserve">Despesa com publicidade</w:t>
            </w:r>
          </w:p>
        </w:tc>
        <w:tc>
          <w:tcPr/>
          <w:p>
            <w:pPr>
              <w:pStyle w:val="Compact"/>
              <w:jc w:val="center"/>
            </w:pPr>
            <w:r>
              <w:t xml:space="preserve">$12,1 milhões</w:t>
            </w:r>
          </w:p>
        </w:tc>
        <w:tc>
          <w:tcPr/>
          <w:p>
            <w:pPr>
              <w:pStyle w:val="Compact"/>
              <w:jc w:val="center"/>
            </w:pPr>
            <w:r>
              <w:t xml:space="preserve">$14,8 milhões</w:t>
            </w:r>
          </w:p>
        </w:tc>
        <w:tc>
          <w:tcPr/>
          <w:p>
            <w:pPr>
              <w:pStyle w:val="Compact"/>
              <w:jc w:val="center"/>
            </w:pPr>
            <w:r>
              <w:t xml:space="preserve">+22,3%</w:t>
            </w:r>
          </w:p>
        </w:tc>
      </w:tr>
    </w:tbl>
    <w:p>
      <w:pPr>
        <w:pStyle w:val="BodyText"/>
      </w:pPr>
      <w:r>
        <w:t xml:space="preserve">A equipe financeira argumentava que a Hearthline estava comprando tráfego em vez de demanda lucrativa. A despesa com publicidade digital havia aumentado, ainda assim a conversão havia diminuído. A equipe de merchandising contra-argumentava que o problema não era o tráfego, mas a disponibilidade: clientes que clicavam em configurações populares frequentemente encontravam prazos de entrega de 10 a 14 semanas. Gerentes de loja ofereciam outra explicação — os clientes queriam ver e sentir compras importantes, mas as reduções de pessoal haviam deixado poucos vendedores experientes nos fins de semana.</w:t>
      </w:r>
    </w:p>
    <w:bookmarkEnd w:id="10"/>
    <w:bookmarkEnd w:id="11"/>
    <w:bookmarkStart w:id="13" w:name="o-problema-do-sortimento"/>
    <w:p>
      <w:pPr>
        <w:pStyle w:val="Heading1"/>
      </w:pPr>
      <w:r>
        <w:t xml:space="preserve">O Problema do Sortimento</w:t>
      </w:r>
    </w:p>
    <w:p>
      <w:pPr>
        <w:pStyle w:val="FirstParagraph"/>
      </w:pPr>
      <w:r>
        <w:t xml:space="preserve">A Hearthline mantinha aproximadamente 4.800 unidades de manutenção de estoque ativas, embora 420 produtos gerassem 61 por cento das vendas. A administração havia expandido o sortimento para melhorar a visibilidade nos mecanismos de busca e dar aos clientes mais opções. O resultado foi uma longa cauda de itens de venda lenta, exibições complicadas e estoque fragmentado. Um sofá podia ser oferecido em seis tecidos e três configurações, mas as combinações que os clientes preferiam diferiam acentuadamente por região.</w:t>
      </w:r>
    </w:p>
    <w:bookmarkStart w:id="12" w:name="Xab76ee56248c51c2e889e2b271c5e31d1cdab2f"/>
    <w:p>
      <w:pPr>
        <w:pStyle w:val="Heading2"/>
      </w:pPr>
      <w:r>
        <w:t xml:space="preserve">Exhibit 2. Famílias de Produtos Selecionadas</w:t>
      </w:r>
    </w:p>
    <w:tbl>
      <w:tblPr>
        <w:tblStyle w:val="Table"/>
        <w:tblW w:type="pct" w:w="4924"/>
        <w:tblLayout w:type="fixed"/>
        <w:tblLook w:firstRow="1" w:lastRow="0" w:firstColumn="0" w:lastColumn="0" w:noHBand="0" w:noVBand="0" w:val="0020"/>
      </w:tblPr>
      <w:tblGrid>
        <w:gridCol w:w="1632"/>
        <w:gridCol w:w="906"/>
        <w:gridCol w:w="1088"/>
        <w:gridCol w:w="846"/>
        <w:gridCol w:w="3325"/>
      </w:tblGrid>
      <w:tr>
        <w:trPr>
          <w:tblHeader w:val="on"/>
        </w:trPr>
        <w:tc>
          <w:tcPr/>
          <w:p>
            <w:pPr>
              <w:pStyle w:val="Compact"/>
              <w:jc w:val="left"/>
            </w:pPr>
            <w:r>
              <w:t xml:space="preserve">Família de produto</w:t>
            </w:r>
          </w:p>
        </w:tc>
        <w:tc>
          <w:tcPr/>
          <w:p>
            <w:pPr>
              <w:pStyle w:val="Compact"/>
              <w:jc w:val="center"/>
            </w:pPr>
            <w:r>
              <w:t xml:space="preserve">Margem bruta</w:t>
            </w:r>
          </w:p>
        </w:tc>
        <w:tc>
          <w:tcPr/>
          <w:p>
            <w:pPr>
              <w:pStyle w:val="Compact"/>
              <w:jc w:val="right"/>
            </w:pPr>
            <w:r>
              <w:t xml:space="preserve">Semanas de suprim</w:t>
            </w:r>
          </w:p>
        </w:tc>
        <w:tc>
          <w:tcPr/>
          <w:p>
            <w:pPr>
              <w:pStyle w:val="Compact"/>
            </w:pPr>
            <w:r>
              <w:t xml:space="preserve">ento Pedidos</w:t>
            </w:r>
          </w:p>
        </w:tc>
        <w:tc>
          <w:tcPr/>
          <w:p>
            <w:pPr>
              <w:pStyle w:val="Compact"/>
              <w:jc w:val="center"/>
            </w:pPr>
            <w:r>
              <w:t xml:space="preserve">atrasados Sinal de demanda recente</w:t>
            </w:r>
          </w:p>
        </w:tc>
      </w:tr>
      <w:tr>
        <w:tc>
          <w:tcPr/>
          <w:p>
            <w:pPr>
              <w:pStyle w:val="Compact"/>
              <w:jc w:val="left"/>
            </w:pPr>
            <w:r>
              <w:t xml:space="preserve">Assentos modulares Solace</w:t>
            </w:r>
          </w:p>
        </w:tc>
        <w:tc>
          <w:tcPr/>
          <w:p>
            <w:pPr>
              <w:pStyle w:val="Compact"/>
              <w:jc w:val="center"/>
            </w:pPr>
            <w:r>
              <w:t xml:space="preserve">49%</w:t>
            </w:r>
          </w:p>
        </w:tc>
        <w:tc>
          <w:tcPr/>
          <w:p>
            <w:pPr>
              <w:pStyle w:val="Compact"/>
              <w:jc w:val="right"/>
            </w:pPr>
            <w:r>
              <w:t xml:space="preserve">5,2</w:t>
            </w:r>
          </w:p>
        </w:tc>
        <w:tc>
          <w:tcPr/>
          <w:p>
            <w:pPr>
              <w:pStyle w:val="Compact"/>
            </w:pPr>
            <w:r>
              <w:t xml:space="preserve">28%</w:t>
            </w:r>
          </w:p>
        </w:tc>
        <w:tc>
          <w:tcPr/>
          <w:p>
            <w:pPr>
              <w:pStyle w:val="Compact"/>
              <w:jc w:val="center"/>
            </w:pPr>
            <w:r>
              <w:t xml:space="preserve">Forte interesse em redes sociais; concentração regional</w:t>
            </w:r>
          </w:p>
        </w:tc>
      </w:tr>
      <w:tr>
        <w:tc>
          <w:tcPr/>
          <w:p>
            <w:pPr>
              <w:pStyle w:val="Compact"/>
              <w:jc w:val="left"/>
            </w:pPr>
            <w:r>
              <w:t xml:space="preserve">Sofás de alto desempenho Ha</w:t>
            </w:r>
          </w:p>
        </w:tc>
        <w:tc>
          <w:tcPr/>
          <w:p>
            <w:pPr>
              <w:pStyle w:val="Compact"/>
              <w:jc w:val="center"/>
            </w:pPr>
            <w:r>
              <w:t xml:space="preserve">rbor 44%</w:t>
            </w:r>
          </w:p>
        </w:tc>
        <w:tc>
          <w:tcPr/>
          <w:p>
            <w:pPr>
              <w:pStyle w:val="Compact"/>
              <w:jc w:val="right"/>
            </w:pPr>
            <w:r>
              <w:t xml:space="preserve">9,1</w:t>
            </w:r>
          </w:p>
        </w:tc>
        <w:tc>
          <w:tcPr/>
          <w:p>
            <w:pPr>
              <w:pStyle w:val="Compact"/>
            </w:pPr>
            <w:r>
              <w:t xml:space="preserve">14%</w:t>
            </w:r>
          </w:p>
        </w:tc>
        <w:tc>
          <w:tcPr/>
          <w:p>
            <w:pPr>
              <w:pStyle w:val="Compact"/>
              <w:jc w:val="center"/>
            </w:pPr>
            <w:r>
              <w:t xml:space="preserve">Demanda de repetição estável; comparações de preço em alta</w:t>
            </w:r>
          </w:p>
        </w:tc>
      </w:tr>
      <w:tr>
        <w:tc>
          <w:tcPr/>
          <w:p>
            <w:pPr>
              <w:pStyle w:val="Compact"/>
              <w:jc w:val="left"/>
            </w:pPr>
            <w:r>
              <w:t xml:space="preserve">Coleção de jantar Alden</w:t>
            </w:r>
          </w:p>
        </w:tc>
        <w:tc>
          <w:tcPr/>
          <w:p>
            <w:pPr>
              <w:pStyle w:val="Compact"/>
              <w:jc w:val="center"/>
            </w:pPr>
            <w:r>
              <w:t xml:space="preserve">51%</w:t>
            </w:r>
          </w:p>
        </w:tc>
        <w:tc>
          <w:tcPr/>
          <w:p>
            <w:pPr>
              <w:pStyle w:val="Compact"/>
              <w:jc w:val="right"/>
            </w:pPr>
            <w:r>
              <w:t xml:space="preserve">17,8</w:t>
            </w:r>
          </w:p>
        </w:tc>
        <w:tc>
          <w:tcPr/>
          <w:p>
            <w:pPr>
              <w:pStyle w:val="Compact"/>
            </w:pPr>
            <w:r>
              <w:t xml:space="preserve">3%</w:t>
            </w:r>
          </w:p>
        </w:tc>
        <w:tc>
          <w:tcPr/>
          <w:p>
            <w:pPr>
              <w:pStyle w:val="Compact"/>
              <w:jc w:val="center"/>
            </w:pPr>
            <w:r>
              <w:t xml:space="preserve">Conversão fraca apesar do tráfego forte no site</w:t>
            </w:r>
          </w:p>
        </w:tc>
      </w:tr>
      <w:tr>
        <w:tc>
          <w:tcPr/>
          <w:p>
            <w:pPr>
              <w:pStyle w:val="Compact"/>
              <w:jc w:val="left"/>
            </w:pPr>
            <w:r>
              <w:t xml:space="preserve">Coleção de quarto Luma</w:t>
            </w:r>
          </w:p>
        </w:tc>
        <w:tc>
          <w:tcPr/>
          <w:p>
            <w:pPr>
              <w:pStyle w:val="Compact"/>
              <w:jc w:val="center"/>
            </w:pPr>
            <w:r>
              <w:t xml:space="preserve">47%</w:t>
            </w:r>
          </w:p>
        </w:tc>
        <w:tc>
          <w:tcPr/>
          <w:p>
            <w:pPr>
              <w:pStyle w:val="Compact"/>
              <w:jc w:val="right"/>
            </w:pPr>
            <w:r>
              <w:t xml:space="preserve">11,6</w:t>
            </w:r>
          </w:p>
        </w:tc>
        <w:tc>
          <w:tcPr/>
          <w:p>
            <w:pPr>
              <w:pStyle w:val="Compact"/>
            </w:pPr>
            <w:r>
              <w:t xml:space="preserve">9%</w:t>
            </w:r>
          </w:p>
        </w:tc>
        <w:tc>
          <w:tcPr/>
          <w:p>
            <w:pPr>
              <w:pStyle w:val="Compact"/>
              <w:jc w:val="center"/>
            </w:pPr>
            <w:r>
              <w:t xml:space="preserve">Demanda crescendo entre compradores de primeira casa</w:t>
            </w:r>
          </w:p>
        </w:tc>
      </w:tr>
      <w:tr>
        <w:tc>
          <w:tcPr/>
          <w:p>
            <w:pPr>
              <w:pStyle w:val="Compact"/>
              <w:jc w:val="left"/>
            </w:pPr>
            <w:r>
              <w:t xml:space="preserve">Studio home-office</w:t>
            </w:r>
          </w:p>
        </w:tc>
        <w:tc>
          <w:tcPr/>
          <w:p>
            <w:pPr>
              <w:pStyle w:val="Compact"/>
              <w:jc w:val="center"/>
            </w:pPr>
            <w:r>
              <w:t xml:space="preserve">42%</w:t>
            </w:r>
          </w:p>
        </w:tc>
        <w:tc>
          <w:tcPr/>
          <w:p>
            <w:pPr>
              <w:pStyle w:val="Compact"/>
              <w:jc w:val="right"/>
            </w:pPr>
            <w:r>
              <w:t xml:space="preserve">15,4</w:t>
            </w:r>
          </w:p>
        </w:tc>
        <w:tc>
          <w:tcPr/>
          <w:p>
            <w:pPr>
              <w:pStyle w:val="Compact"/>
            </w:pPr>
            <w:r>
              <w:t xml:space="preserve">5%</w:t>
            </w:r>
          </w:p>
        </w:tc>
        <w:tc>
          <w:tcPr/>
          <w:p>
            <w:pPr>
              <w:pStyle w:val="Compact"/>
              <w:jc w:val="center"/>
            </w:pPr>
            <w:r>
              <w:t xml:space="preserve">Vendas caindo após dois anos fortes</w:t>
            </w:r>
          </w:p>
        </w:tc>
      </w:tr>
      <w:tr>
        <w:tc>
          <w:tcPr/>
          <w:p>
            <w:pPr>
              <w:pStyle w:val="Compact"/>
              <w:jc w:val="left"/>
            </w:pPr>
            <w:r>
              <w:t xml:space="preserve">Acessórios e decoração</w:t>
            </w:r>
          </w:p>
        </w:tc>
        <w:tc>
          <w:tcPr/>
          <w:p>
            <w:pPr>
              <w:pStyle w:val="Compact"/>
              <w:jc w:val="center"/>
            </w:pPr>
            <w:r>
              <w:t xml:space="preserve">58%</w:t>
            </w:r>
          </w:p>
        </w:tc>
        <w:tc>
          <w:tcPr/>
          <w:p>
            <w:pPr>
              <w:pStyle w:val="Compact"/>
              <w:jc w:val="right"/>
            </w:pPr>
            <w:r>
              <w:t xml:space="preserve">7,0</w:t>
            </w:r>
          </w:p>
        </w:tc>
        <w:tc>
          <w:tcPr/>
          <w:p>
            <w:pPr>
              <w:pStyle w:val="Compact"/>
            </w:pPr>
            <w:r>
              <w:t xml:space="preserve">2%</w:t>
            </w:r>
          </w:p>
        </w:tc>
        <w:tc>
          <w:tcPr/>
          <w:p>
            <w:pPr>
              <w:pStyle w:val="Compact"/>
              <w:jc w:val="center"/>
            </w:pPr>
            <w:r>
              <w:t xml:space="preserve">Alta margem de agregação; exibições inconsistentes</w:t>
            </w:r>
          </w:p>
        </w:tc>
      </w:tr>
    </w:tbl>
    <w:p>
      <w:pPr>
        <w:pStyle w:val="BodyText"/>
      </w:pPr>
      <w:r>
        <w:t xml:space="preserve">O grupo de merchandising propôs remover 900 produtos de baixo volume do site e das lojas, concentrando então o marketing em 12 coleções</w:t>
      </w:r>
      <w:r>
        <w:t xml:space="preserve"> </w:t>
      </w:r>
      <w:r>
        <w:t xml:space="preserve">“principais”</w:t>
      </w:r>
      <w:r>
        <w:t xml:space="preserve">. O grupo de comércio eletrônico se opôs à ideia. Um sortimento amplo atraía tráfego de busca e permitia à Hearthline aprender sobre gostos emergentes, mesmo quando um visitante não comprava imediatamente. A organização das lojas temia que padronizar os sortimentos ignorasse os estilos habitacionais locais, a demografia e os níveis de renda.</w:t>
      </w:r>
    </w:p>
    <w:bookmarkEnd w:id="12"/>
    <w:bookmarkEnd w:id="13"/>
    <w:bookmarkStart w:id="15" w:name="X4ec7005e1dd361afebcf73f67ea0c5110ecb4b7"/>
    <w:p>
      <w:pPr>
        <w:pStyle w:val="Heading1"/>
      </w:pPr>
      <w:r>
        <w:t xml:space="preserve">Preço, Promoção e o Risco de Treinar os Clientes</w:t>
      </w:r>
    </w:p>
    <w:p>
      <w:pPr>
        <w:pStyle w:val="FirstParagraph"/>
      </w:pPr>
      <w:r>
        <w:t xml:space="preserve">O calendário promocional histórico da Hearthline incluía descontos de fim de ano, ofertas de financiamento, pacotes de ambientes e eventos ocasionais de liquidação. Os concorrentes haviam se tornado mais agressivos, anunciando liquidações de</w:t>
      </w:r>
      <w:r>
        <w:t xml:space="preserve"> </w:t>
      </w:r>
      <w:r>
        <w:t xml:space="preserve">“40 por cento de desconto”</w:t>
      </w:r>
      <w:r>
        <w:t xml:space="preserve"> </w:t>
      </w:r>
      <w:r>
        <w:t xml:space="preserve">que eram difíceis de comparar porque os preços de tabela e as especificações dos produtos variavam. A pesquisa de clientes da Hearthline sugeria que muitos compradores adiavam as compras até que uma promoção aparecesse.</w:t>
      </w:r>
    </w:p>
    <w:p>
      <w:pPr>
        <w:pStyle w:val="BodyText"/>
      </w:pPr>
      <w:r>
        <w:t xml:space="preserve">Marquez estava considerando um evento nacional</w:t>
      </w:r>
      <w:r>
        <w:t xml:space="preserve"> </w:t>
      </w:r>
      <w:r>
        <w:t xml:space="preserve">“Mobilie o Ambiente”</w:t>
      </w:r>
      <w:r>
        <w:t xml:space="preserve">: clientes que comprassem um sofá e duas peças complementares receberiam um desconto de pacote de 15 por cento e entrega gratuita. A oferta poderia aumentar o valor médio do pedido e ajudar a vender acessórios. Também poderia reduzir a margem em produtos que poderiam ter sido vendidos sem desconto e criar congestionamento nas entregas bem antes das festas de fim de ano.</w:t>
      </w:r>
    </w:p>
    <w:bookmarkStart w:id="14" w:name="X14b59d6b3f36523b673b23842cdebe725e92570"/>
    <w:p>
      <w:pPr>
        <w:pStyle w:val="Heading2"/>
      </w:pPr>
      <w:r>
        <w:t xml:space="preserve">Exhibit 3. Iniciativas de Demanda Propostas</w:t>
      </w:r>
    </w:p>
    <w:tbl>
      <w:tblPr>
        <w:tblStyle w:val="Table"/>
        <w:tblW w:type="pct" w:w="4918"/>
        <w:tblLayout w:type="fixed"/>
        <w:tblLook w:firstRow="1" w:lastRow="0" w:firstColumn="0" w:lastColumn="0" w:noHBand="0" w:noVBand="0" w:val="0020"/>
      </w:tblPr>
      <w:tblGrid>
        <w:gridCol w:w="1882"/>
        <w:gridCol w:w="1233"/>
        <w:gridCol w:w="2012"/>
        <w:gridCol w:w="2661"/>
      </w:tblGrid>
      <w:tr>
        <w:trPr>
          <w:tblHeader w:val="on"/>
        </w:trPr>
        <w:tc>
          <w:tcPr/>
          <w:p>
            <w:pPr>
              <w:pStyle w:val="Compact"/>
              <w:jc w:val="left"/>
            </w:pPr>
            <w:r>
              <w:t xml:space="preserve">Iniciativa</w:t>
            </w:r>
          </w:p>
        </w:tc>
        <w:tc>
          <w:tcPr/>
          <w:p>
            <w:pPr>
              <w:pStyle w:val="Compact"/>
            </w:pPr>
            <w:r>
              <w:t xml:space="preserve">Custo de quatro mes</w:t>
            </w:r>
          </w:p>
        </w:tc>
        <w:tc>
          <w:tcPr/>
          <w:p>
            <w:pPr>
              <w:pStyle w:val="Compact"/>
              <w:jc w:val="left"/>
            </w:pPr>
            <w:r>
              <w:t xml:space="preserve">es Alcance esperado</w:t>
            </w:r>
          </w:p>
        </w:tc>
        <w:tc>
          <w:tcPr/>
          <w:p>
            <w:pPr>
              <w:pStyle w:val="Compact"/>
              <w:jc w:val="center"/>
            </w:pPr>
            <w:r>
              <w:t xml:space="preserve">Principal preocupação</w:t>
            </w:r>
          </w:p>
        </w:tc>
      </w:tr>
      <w:tr>
        <w:tc>
          <w:tcPr/>
          <w:p>
            <w:pPr>
              <w:pStyle w:val="Compact"/>
              <w:jc w:val="left"/>
            </w:pPr>
            <w:r>
              <w:t xml:space="preserve">Expansão da busca paga</w:t>
            </w:r>
          </w:p>
        </w:tc>
        <w:tc>
          <w:tcPr/>
          <w:p>
            <w:pPr>
              <w:pStyle w:val="Compact"/>
            </w:pPr>
            <w:r>
              <w:t xml:space="preserve">$1,6M</w:t>
            </w:r>
          </w:p>
        </w:tc>
        <w:tc>
          <w:tcPr/>
          <w:p>
            <w:pPr>
              <w:pStyle w:val="Compact"/>
              <w:jc w:val="left"/>
            </w:pPr>
            <w:r>
              <w:t xml:space="preserve">Compradores de alta intenção</w:t>
            </w:r>
          </w:p>
        </w:tc>
        <w:tc>
          <w:tcPr/>
          <w:p>
            <w:pPr>
              <w:pStyle w:val="Compact"/>
              <w:jc w:val="center"/>
            </w:pPr>
            <w:r>
              <w:t xml:space="preserve">Custos de leilão e resposta de concorrentes</w:t>
            </w:r>
          </w:p>
        </w:tc>
      </w:tr>
      <w:tr>
        <w:tc>
          <w:tcPr/>
          <w:p>
            <w:pPr>
              <w:pStyle w:val="Compact"/>
              <w:jc w:val="left"/>
            </w:pPr>
            <w:r>
              <w:t xml:space="preserve">Vídeo social + influenciadore</w:t>
            </w:r>
          </w:p>
        </w:tc>
        <w:tc>
          <w:tcPr/>
          <w:p>
            <w:pPr>
              <w:pStyle w:val="Compact"/>
            </w:pPr>
            <w:r>
              <w:t xml:space="preserve">s $1,2M</w:t>
            </w:r>
          </w:p>
        </w:tc>
        <w:tc>
          <w:tcPr/>
          <w:p>
            <w:pPr>
              <w:pStyle w:val="Compact"/>
              <w:jc w:val="left"/>
            </w:pPr>
            <w:r>
              <w:t xml:space="preserve">Domicílios preocupados com est</w:t>
            </w:r>
          </w:p>
        </w:tc>
        <w:tc>
          <w:tcPr/>
          <w:p>
            <w:pPr>
              <w:pStyle w:val="Compact"/>
              <w:jc w:val="center"/>
            </w:pPr>
            <w:r>
              <w:t xml:space="preserve">ilo Visualizações podem não se traduzir em compras</w:t>
            </w:r>
          </w:p>
        </w:tc>
      </w:tr>
      <w:tr>
        <w:tc>
          <w:tcPr/>
          <w:p>
            <w:pPr>
              <w:pStyle w:val="Compact"/>
              <w:jc w:val="left"/>
            </w:pPr>
            <w:r>
              <w:t xml:space="preserve">Televisão regional</w:t>
            </w:r>
          </w:p>
        </w:tc>
        <w:tc>
          <w:tcPr/>
          <w:p>
            <w:pPr>
              <w:pStyle w:val="Compact"/>
            </w:pPr>
            <w:r>
              <w:t xml:space="preserve">$1,5M</w:t>
            </w:r>
          </w:p>
        </w:tc>
        <w:tc>
          <w:tcPr/>
          <w:p>
            <w:pPr>
              <w:pStyle w:val="Compact"/>
              <w:jc w:val="left"/>
            </w:pPr>
            <w:r>
              <w:t xml:space="preserve">Ampla conscientização local</w:t>
            </w:r>
          </w:p>
        </w:tc>
        <w:tc>
          <w:tcPr/>
          <w:p>
            <w:pPr>
              <w:pStyle w:val="Compact"/>
              <w:jc w:val="center"/>
            </w:pPr>
            <w:r>
              <w:t xml:space="preserve">Atribuição fraca e transbordamento</w:t>
            </w:r>
          </w:p>
        </w:tc>
      </w:tr>
      <w:tr>
        <w:tc>
          <w:tcPr/>
          <w:p>
            <w:pPr>
              <w:pStyle w:val="Compact"/>
              <w:jc w:val="left"/>
            </w:pPr>
            <w:r>
              <w:t xml:space="preserve">Pacotes de ambientes por mala</w:t>
            </w:r>
          </w:p>
        </w:tc>
        <w:tc>
          <w:tcPr/>
          <w:p>
            <w:pPr>
              <w:pStyle w:val="Compact"/>
            </w:pPr>
            <w:r>
              <w:t xml:space="preserve">direta $0,7M</w:t>
            </w:r>
          </w:p>
        </w:tc>
        <w:tc>
          <w:tcPr/>
          <w:p>
            <w:pPr>
              <w:pStyle w:val="Compact"/>
              <w:jc w:val="left"/>
            </w:pPr>
            <w:r>
              <w:t xml:space="preserve">Domicílios conhecidos próximo</w:t>
            </w:r>
          </w:p>
        </w:tc>
        <w:tc>
          <w:tcPr/>
          <w:p>
            <w:pPr>
              <w:pStyle w:val="Compact"/>
              <w:jc w:val="center"/>
            </w:pPr>
            <w:r>
              <w:t xml:space="preserve">s às lojas Pode enviesar em direção a clientes existentes</w:t>
            </w:r>
          </w:p>
        </w:tc>
      </w:tr>
      <w:tr>
        <w:tc>
          <w:tcPr/>
          <w:p>
            <w:pPr>
              <w:pStyle w:val="Compact"/>
              <w:jc w:val="left"/>
            </w:pPr>
            <w:r>
              <w:t xml:space="preserve">Desconto de pacote de ambient</w:t>
            </w:r>
          </w:p>
        </w:tc>
        <w:tc>
          <w:tcPr/>
          <w:p>
            <w:pPr>
              <w:pStyle w:val="Compact"/>
            </w:pPr>
            <w:r>
              <w:t xml:space="preserve">es de 15% $2,0M-</w:t>
            </w:r>
          </w:p>
        </w:tc>
        <w:tc>
          <w:tcPr/>
          <w:p>
            <w:pPr>
              <w:pStyle w:val="Compact"/>
              <w:jc w:val="left"/>
            </w:pPr>
            <w:r>
              <w:t xml:space="preserve">-$4,5M* Clientes próximos d</w:t>
            </w:r>
          </w:p>
        </w:tc>
        <w:tc>
          <w:tcPr/>
          <w:p>
            <w:pPr>
              <w:pStyle w:val="Compact"/>
              <w:jc w:val="center"/>
            </w:pPr>
            <w:r>
              <w:t xml:space="preserve">a compra Perda de margem e pico de demanda</w:t>
            </w:r>
          </w:p>
        </w:tc>
      </w:tr>
      <w:tr>
        <w:tc>
          <w:tcPr/>
          <w:p>
            <w:pPr>
              <w:pStyle w:val="Compact"/>
              <w:jc w:val="left"/>
            </w:pPr>
            <w:r>
              <w:t xml:space="preserve">Testes A/B no site</w:t>
            </w:r>
          </w:p>
        </w:tc>
        <w:tc>
          <w:tcPr/>
          <w:p>
            <w:pPr>
              <w:pStyle w:val="Compact"/>
            </w:pPr>
            <w:r>
              <w:t xml:space="preserve">$0,45M</w:t>
            </w:r>
          </w:p>
        </w:tc>
        <w:tc>
          <w:tcPr/>
          <w:p>
            <w:pPr>
              <w:pStyle w:val="Compact"/>
              <w:jc w:val="left"/>
            </w:pPr>
            <w:r>
              <w:t xml:space="preserve">Todos os visitantes digitais</w:t>
            </w:r>
          </w:p>
        </w:tc>
        <w:tc>
          <w:tcPr/>
          <w:p>
            <w:pPr>
              <w:pStyle w:val="Compact"/>
              <w:jc w:val="center"/>
            </w:pPr>
            <w:r>
              <w:t xml:space="preserve">O aprendizado pode chegar depois do pico da temporada</w:t>
            </w:r>
          </w:p>
        </w:tc>
      </w:tr>
      <w:tr>
        <w:tc>
          <w:tcPr/>
          <w:p>
            <w:pPr>
              <w:pStyle w:val="Compact"/>
              <w:jc w:val="left"/>
            </w:pPr>
            <w:r>
              <w:t xml:space="preserve">Contratação de pessoal de loj</w:t>
            </w:r>
          </w:p>
        </w:tc>
        <w:tc>
          <w:tcPr/>
          <w:p>
            <w:pPr>
              <w:pStyle w:val="Compact"/>
            </w:pPr>
            <w:r>
              <w:t xml:space="preserve">a nos fins de seman</w:t>
            </w:r>
          </w:p>
        </w:tc>
        <w:tc>
          <w:tcPr/>
          <w:p>
            <w:pPr>
              <w:pStyle w:val="Compact"/>
              <w:jc w:val="left"/>
            </w:pPr>
            <w:r>
              <w:t xml:space="preserve">a $0,85M Compradores em loj</w:t>
            </w:r>
          </w:p>
        </w:tc>
        <w:tc>
          <w:tcPr/>
          <w:p>
            <w:pPr>
              <w:pStyle w:val="Compact"/>
              <w:jc w:val="center"/>
            </w:pPr>
            <w:r>
              <w:t xml:space="preserve">a Atrasos na contratação e no treinamento</w:t>
            </w:r>
          </w:p>
        </w:tc>
      </w:tr>
    </w:tbl>
    <w:p>
      <w:pPr>
        <w:pStyle w:val="BodyText"/>
      </w:pPr>
      <w:r>
        <w:t xml:space="preserve">*A redução estimada de receita depende da participação e da substituição.</w:t>
      </w:r>
    </w:p>
    <w:bookmarkEnd w:id="14"/>
    <w:bookmarkEnd w:id="15"/>
    <w:bookmarkStart w:id="17" w:name="sinais-digitais-e-aprendizado-imperfeito"/>
    <w:p>
      <w:pPr>
        <w:pStyle w:val="Heading1"/>
      </w:pPr>
      <w:r>
        <w:t xml:space="preserve">Sinais Digitais e Aprendizado Imperfeito</w:t>
      </w:r>
    </w:p>
    <w:p>
      <w:pPr>
        <w:pStyle w:val="FirstParagraph"/>
      </w:pPr>
      <w:r>
        <w:t xml:space="preserve">A Hearthline coletava milhões de observações digitais: buscas, cliques, visualizações de páginas de produtos, ambientes salvos, adições ao carrinho, solicitações de financiamento, sessões de chat e carrinhos abandonados. No entanto, os gerentes discordavam sobre o significado dos dados. Uma coleção com muitas visualizações de página podia indicar forte interesse — ou confusão sobre dimensões, cores ou entrega. Uma alta taxa de rejeição podia refletir uma página pouco atraente, um preço inadequado ou um cliente que encontrou a informação necessária imediatamente.</w:t>
      </w:r>
    </w:p>
    <w:p>
      <w:pPr>
        <w:pStyle w:val="BodyText"/>
      </w:pPr>
      <w:r>
        <w:t xml:space="preserve">A equipe de análise propôs uma sequência de experimentos controlados. Diferentes visitantes poderiam ver layouts de página alternativos, mensagens de entrega, ofertas de financiamento ou recomendações de produtos. Lojas selecionadas poderiam testar diferentes pacotes de ambientes e pontos de preço. Contudo, os testes consumiriam tráfego, arriscariam experiências inconsistentes para os clientes e produziriam resultados que poderiam não se transferir entre regiões ou estações.</w:t>
      </w:r>
    </w:p>
    <w:bookmarkStart w:id="16" w:name="exhibit-4.-funil-digital-de-agosto"/>
    <w:p>
      <w:pPr>
        <w:pStyle w:val="Heading2"/>
      </w:pPr>
      <w:r>
        <w:t xml:space="preserve">Exhibit 4. Funil Digital de Agosto</w:t>
      </w:r>
    </w:p>
    <w:tbl>
      <w:tblPr>
        <w:tblStyle w:val="Table"/>
        <w:tblW w:type="pct" w:w="4917"/>
        <w:tblLayout w:type="fixed"/>
        <w:tblLook w:firstRow="1" w:lastRow="0" w:firstColumn="0" w:lastColumn="0" w:noHBand="0" w:noVBand="0" w:val="0020"/>
      </w:tblPr>
      <w:tblGrid>
        <w:gridCol w:w="2029"/>
        <w:gridCol w:w="1112"/>
        <w:gridCol w:w="1570"/>
        <w:gridCol w:w="3076"/>
      </w:tblGrid>
      <w:tr>
        <w:trPr>
          <w:tblHeader w:val="on"/>
        </w:trPr>
        <w:tc>
          <w:tcPr/>
          <w:p>
            <w:pPr>
              <w:pStyle w:val="Compact"/>
              <w:jc w:val="left"/>
            </w:pPr>
            <w:r>
              <w:t xml:space="preserve">Etapa</w:t>
            </w:r>
          </w:p>
        </w:tc>
        <w:tc>
          <w:tcPr/>
          <w:p>
            <w:pPr>
              <w:pStyle w:val="Compact"/>
            </w:pPr>
            <w:r>
              <w:t xml:space="preserve">Volume mensal T</w:t>
            </w:r>
          </w:p>
        </w:tc>
        <w:tc>
          <w:tcPr/>
          <w:p>
            <w:pPr>
              <w:pStyle w:val="Compact"/>
            </w:pPr>
            <w:r>
              <w:t xml:space="preserve">axa em relação à etapa a</w:t>
            </w:r>
          </w:p>
        </w:tc>
        <w:tc>
          <w:tcPr/>
          <w:p>
            <w:pPr>
              <w:pStyle w:val="Compact"/>
              <w:jc w:val="left"/>
            </w:pPr>
            <w:r>
              <w:t xml:space="preserve">nterior Variação observada</w:t>
            </w:r>
          </w:p>
        </w:tc>
      </w:tr>
      <w:tr>
        <w:tc>
          <w:tcPr/>
          <w:p>
            <w:pPr>
              <w:pStyle w:val="Compact"/>
              <w:jc w:val="left"/>
            </w:pPr>
            <w:r>
              <w:t xml:space="preserve">Sessões no site</w:t>
            </w:r>
          </w:p>
        </w:tc>
        <w:tc>
          <w:tcPr/>
          <w:p>
            <w:pPr>
              <w:pStyle w:val="Compact"/>
            </w:pPr>
            <w:r>
              <w:t xml:space="preserve">3.840.000</w:t>
            </w:r>
          </w:p>
        </w:tc>
        <w:tc>
          <w:tcPr/>
          <w:p>
            <w:pPr>
              <w:pStyle w:val="Compact"/>
            </w:pPr>
            <w:r>
              <w:t xml:space="preserve">—</w:t>
            </w:r>
          </w:p>
        </w:tc>
        <w:tc>
          <w:tcPr/>
          <w:p>
            <w:pPr>
              <w:pStyle w:val="Compact"/>
              <w:jc w:val="left"/>
            </w:pPr>
            <w:r>
              <w:t xml:space="preserve">±18% por semana</w:t>
            </w:r>
          </w:p>
        </w:tc>
      </w:tr>
      <w:tr>
        <w:tc>
          <w:tcPr/>
          <w:p>
            <w:pPr>
              <w:pStyle w:val="Compact"/>
              <w:jc w:val="left"/>
            </w:pPr>
            <w:r>
              <w:t xml:space="preserve">Visualizações de detalhes do pr</w:t>
            </w:r>
          </w:p>
        </w:tc>
        <w:tc>
          <w:tcPr/>
          <w:p>
            <w:pPr>
              <w:pStyle w:val="Compact"/>
            </w:pPr>
            <w:r>
              <w:t xml:space="preserve">oduto 2.110.000</w:t>
            </w:r>
          </w:p>
        </w:tc>
        <w:tc>
          <w:tcPr/>
          <w:p>
            <w:pPr>
              <w:pStyle w:val="Compact"/>
            </w:pPr>
            <w:r>
              <w:t xml:space="preserve">55,0%</w:t>
            </w:r>
          </w:p>
        </w:tc>
        <w:tc>
          <w:tcPr/>
          <w:p>
            <w:pPr>
              <w:pStyle w:val="Compact"/>
              <w:jc w:val="left"/>
            </w:pPr>
            <w:r>
              <w:t xml:space="preserve">Categoria de móveis e origem do tráfego</w:t>
            </w:r>
          </w:p>
        </w:tc>
      </w:tr>
      <w:tr>
        <w:tc>
          <w:tcPr/>
          <w:p>
            <w:pPr>
              <w:pStyle w:val="Compact"/>
              <w:jc w:val="left"/>
            </w:pPr>
            <w:r>
              <w:t xml:space="preserve">Planejador de ambientes / item</w:t>
            </w:r>
          </w:p>
        </w:tc>
        <w:tc>
          <w:tcPr/>
          <w:p>
            <w:pPr>
              <w:pStyle w:val="Compact"/>
            </w:pPr>
            <w:r>
              <w:t xml:space="preserve">salvo 286.000</w:t>
            </w:r>
          </w:p>
        </w:tc>
        <w:tc>
          <w:tcPr/>
          <w:p>
            <w:pPr>
              <w:pStyle w:val="Compact"/>
            </w:pPr>
            <w:r>
              <w:t xml:space="preserve">13,6%</w:t>
            </w:r>
          </w:p>
        </w:tc>
        <w:tc>
          <w:tcPr/>
          <w:p>
            <w:pPr>
              <w:pStyle w:val="Compact"/>
              <w:jc w:val="left"/>
            </w:pPr>
            <w:r>
              <w:t xml:space="preserve">Muito maior para assentos modulares</w:t>
            </w:r>
          </w:p>
        </w:tc>
      </w:tr>
      <w:tr>
        <w:tc>
          <w:tcPr/>
          <w:p>
            <w:pPr>
              <w:pStyle w:val="Compact"/>
              <w:jc w:val="left"/>
            </w:pPr>
            <w:r>
              <w:t xml:space="preserve">Carrinho ou orçamento iniciado</w:t>
            </w:r>
          </w:p>
        </w:tc>
        <w:tc>
          <w:tcPr/>
          <w:p>
            <w:pPr>
              <w:pStyle w:val="Compact"/>
            </w:pPr>
            <w:r>
              <w:t xml:space="preserve">93.400</w:t>
            </w:r>
          </w:p>
        </w:tc>
        <w:tc>
          <w:tcPr/>
          <w:p>
            <w:pPr>
              <w:pStyle w:val="Compact"/>
            </w:pPr>
            <w:r>
              <w:t xml:space="preserve">32,7%</w:t>
            </w:r>
          </w:p>
        </w:tc>
        <w:tc>
          <w:tcPr/>
          <w:p>
            <w:pPr>
              <w:pStyle w:val="Compact"/>
              <w:jc w:val="left"/>
            </w:pPr>
            <w:r>
              <w:t xml:space="preserve">Cai acentuadamente quando a entrega é &gt;8 semanas</w:t>
            </w:r>
          </w:p>
        </w:tc>
      </w:tr>
      <w:tr>
        <w:tc>
          <w:tcPr/>
          <w:p>
            <w:pPr>
              <w:pStyle w:val="Compact"/>
              <w:jc w:val="left"/>
            </w:pPr>
            <w:r>
              <w:t xml:space="preserve">Pedido concluído</w:t>
            </w:r>
          </w:p>
        </w:tc>
        <w:tc>
          <w:tcPr/>
          <w:p>
            <w:pPr>
              <w:pStyle w:val="Compact"/>
            </w:pPr>
            <w:r>
              <w:t xml:space="preserve">59.100</w:t>
            </w:r>
          </w:p>
        </w:tc>
        <w:tc>
          <w:tcPr/>
          <w:p>
            <w:pPr>
              <w:pStyle w:val="Compact"/>
            </w:pPr>
            <w:r>
              <w:t xml:space="preserve">63,3%</w:t>
            </w:r>
          </w:p>
        </w:tc>
        <w:tc>
          <w:tcPr/>
          <w:p>
            <w:pPr>
              <w:pStyle w:val="Compact"/>
              <w:jc w:val="left"/>
            </w:pPr>
            <w:r>
              <w:t xml:space="preserve">Sensível à aprovação de financiamento</w:t>
            </w:r>
          </w:p>
        </w:tc>
      </w:tr>
      <w:tr>
        <w:tc>
          <w:tcPr/>
          <w:p>
            <w:pPr>
              <w:pStyle w:val="Compact"/>
              <w:jc w:val="left"/>
            </w:pPr>
            <w:r>
              <w:t xml:space="preserve">Pedido mantido após 14 dias</w:t>
            </w:r>
          </w:p>
        </w:tc>
        <w:tc>
          <w:tcPr/>
          <w:p>
            <w:pPr>
              <w:pStyle w:val="Compact"/>
            </w:pPr>
            <w:r>
              <w:t xml:space="preserve">54.800</w:t>
            </w:r>
          </w:p>
        </w:tc>
        <w:tc>
          <w:tcPr/>
          <w:p>
            <w:pPr>
              <w:pStyle w:val="Compact"/>
            </w:pPr>
            <w:r>
              <w:t xml:space="preserve">92,7%</w:t>
            </w:r>
          </w:p>
        </w:tc>
        <w:tc>
          <w:tcPr/>
          <w:p>
            <w:pPr>
              <w:pStyle w:val="Compact"/>
              <w:jc w:val="left"/>
            </w:pPr>
            <w:r>
              <w:t xml:space="preserve">Cancelamentos concentrados em pedidos atrasados</w:t>
            </w:r>
          </w:p>
        </w:tc>
      </w:tr>
    </w:tbl>
    <w:p>
      <w:pPr>
        <w:pStyle w:val="BodyText"/>
      </w:pPr>
      <w:r>
        <w:t xml:space="preserve">O diretor de informação alertou contra o excesso de confiança. As identidades dos clientes estavam fragmentadas entre os sistemas de loja, site e financiamento. Alguns domicílios pesquisavam online, mas compravam em uma loja em nome do cônjuge. As plataformas de publicidade relatavam conversões usando diferentes janelas de atribuição. Gerentes de loja às vezes registravam pedidos sob perfis de clientes genéricos para economizar tempo. Uma campanha podia parecer bem-sucedida em um sistema e malsucedida em outro.</w:t>
      </w:r>
    </w:p>
    <w:bookmarkEnd w:id="16"/>
    <w:bookmarkEnd w:id="17"/>
    <w:bookmarkStart w:id="18" w:name="lojas-pessoas-e-julgamento-local"/>
    <w:p>
      <w:pPr>
        <w:pStyle w:val="Heading1"/>
      </w:pPr>
      <w:r>
        <w:t xml:space="preserve">Lojas, Pessoas e Julgamento Local</w:t>
      </w:r>
    </w:p>
    <w:p>
      <w:pPr>
        <w:pStyle w:val="FirstParagraph"/>
      </w:pPr>
      <w:r>
        <w:t xml:space="preserve">A mão de obra das lojas era tanto um custo quanto uma alavanca de demanda. Vendedores experientes ajudavam os clientes a combinar estilos, explicar escolhas de tecido, organizar financiamentos e definir expectativas sobre entrega. Novos vendedores precisavam de meses para se tornarem produtivos. Ainda assim, contratar pessoal para cada loja em pico de tráfego era caro, e o fluxo de clientes variava com o clima, eventos locais e promoções da concorrência.</w:t>
      </w:r>
    </w:p>
    <w:p>
      <w:pPr>
        <w:pStyle w:val="BodyText"/>
      </w:pPr>
      <w:r>
        <w:t xml:space="preserve">Os vice-presidentes regionais queriam discricionariedade para ajustar pessoal, exibições, promoções e mídia local. A matriz queria experimentos consistentes e resultados comparáveis. Um gerente observou que uma promoção testada em uma loja suburbana com grandes salas de exposição não podia ser julgada em comparação a uma loja urbana onde os clientes dependiam mais fortemente de entrega e visualização digital.</w:t>
      </w:r>
    </w:p>
    <w:bookmarkEnd w:id="18"/>
    <w:bookmarkStart w:id="19" w:name="X81030ac9148d73fb79761d04568417ebee91e53"/>
    <w:p>
      <w:pPr>
        <w:pStyle w:val="Heading1"/>
      </w:pPr>
      <w:r>
        <w:t xml:space="preserve">A Restrição de Suprimento Por Trás da Decisão de Demanda</w:t>
      </w:r>
    </w:p>
    <w:p>
      <w:pPr>
        <w:pStyle w:val="FirstParagraph"/>
      </w:pPr>
      <w:r>
        <w:t xml:space="preserve">Embora a atribuição de Marquez dissesse respeito à demanda, ela não podia ignorar o fluxo de produtos. As unidades de canto mais vendidas da coleção Solace estavam atrasadas em um fornecedor de estofamento. Os conjuntos de jantar Alden ocupavam vagas no centro de distribuição. Dois contêineres de quarto importados eram esperados com três semanas de atraso após congestionamento portuário. Uma campanha bem-sucedida poderia piorar o atendimento ao cliente se promovesse produtos que a empresa não conseguisse entregar.</w:t>
      </w:r>
    </w:p>
    <w:p>
      <w:pPr>
        <w:pStyle w:val="BodyText"/>
      </w:pPr>
      <w:r>
        <w:t xml:space="preserve">A equipe de cadeia de suprimentos recomendou anunciar apenas itens com pelo menos oito semanas de suprimento disponível. O merchandising se opôs, argumentando que tal regra favoreceria produtos lentos e suprimiria justamente as coleções que geravam entusiasmo com a marca. As finanças sugeriram descontar agressivamente as mercadorias com excesso de estoque. A gestão da marca temia que descontos repetidos enfraquecessem o posicionamento de médio-premium da Hearthline.</w:t>
      </w:r>
    </w:p>
    <w:bookmarkEnd w:id="19"/>
    <w:bookmarkStart w:id="21" w:name="Xc319fa37ca9eac1716aa5a3480e0fce35d1042a"/>
    <w:p>
      <w:pPr>
        <w:pStyle w:val="Heading1"/>
      </w:pPr>
      <w:r>
        <w:t xml:space="preserve">A Decisão Antes da Temporada de Festas de Fim de Ano</w:t>
      </w:r>
    </w:p>
    <w:p>
      <w:pPr>
        <w:pStyle w:val="FirstParagraph"/>
      </w:pPr>
      <w:r>
        <w:t xml:space="preserve">Marquez organizou o problema em três abordagens amplas, nenhuma das quais excluía ações de apoio menores.</w:t>
      </w:r>
    </w:p>
    <w:p>
      <w:pPr>
        <w:pStyle w:val="BodyText"/>
      </w:pPr>
      <w:r>
        <w:t xml:space="preserve">Abordagem A: Concentrar. A Hearthline reduziria o sortimento visível, concentraria o marketing em um pequeno número de coleções, aumentaria o pessoal de fim de semana em seus mercados mais fortes e usaria campanhas regionais adaptadas ao estoque disponível. Essa abordagem prometia execução mais clara, mas arriscava perder novas preferências e enfraquecer o tráfego de busca.</w:t>
      </w:r>
    </w:p>
    <w:p>
      <w:pPr>
        <w:pStyle w:val="BodyText"/>
      </w:pPr>
      <w:r>
        <w:t xml:space="preserve">Abordagem B: Promover amplamente. A empresa manteria seu sortimento completo, lançaria o desconto de pacote de ambientes nacionalmente e expandiria a busca paga e as redes sociais. O plano poderia estimular as vendas rapidamente e fornecer dados substanciais de resposta do cliente, mas poderia sacrificar margem e sobrecarregar produtos e capacidade de entrega restritos.</w:t>
      </w:r>
    </w:p>
    <w:p>
      <w:pPr>
        <w:pStyle w:val="BodyText"/>
      </w:pPr>
      <w:r>
        <w:t xml:space="preserve">Abordagem C: Experimentar e aprender. A Hearthline limitaria os grandes descontos, alocaria mais fundos para experimentos de página web, pesquisas com clientes e testes regionais controlados, e adiaria uma campanha nacional até que os resultados surgissem. A abordagem poderia melhorar decisões futuras, mas a temporada de festas de fim de ano poderia passar antes que a empresa agisse com confiança.</w:t>
      </w:r>
    </w:p>
    <w:bookmarkStart w:id="20" w:name="Xd28dd9510ae53aa58b5c744c5ce264efdd2e7d4"/>
    <w:p>
      <w:pPr>
        <w:pStyle w:val="Heading2"/>
      </w:pPr>
      <w:r>
        <w:t xml:space="preserve">Exhibit 5. Cenários de Planejamento da Gestão, Setembro–Dezembro</w:t>
      </w:r>
    </w:p>
    <w:tbl>
      <w:tblPr>
        <w:tblStyle w:val="Table"/>
        <w:tblW w:type="pct" w:w="4907"/>
        <w:tblLayout w:type="fixed"/>
        <w:tblLook w:firstRow="1" w:lastRow="0" w:firstColumn="0" w:lastColumn="0" w:noHBand="0" w:noVBand="0" w:val="0020"/>
      </w:tblPr>
      <w:tblGrid>
        <w:gridCol w:w="2420"/>
        <w:gridCol w:w="880"/>
        <w:gridCol w:w="1100"/>
        <w:gridCol w:w="1393"/>
        <w:gridCol w:w="1980"/>
      </w:tblGrid>
      <w:tr>
        <w:trPr>
          <w:tblHeader w:val="on"/>
        </w:trPr>
        <w:tc>
          <w:tcPr/>
          <w:p>
            <w:pPr>
              <w:pStyle w:val="Compact"/>
              <w:jc w:val="left"/>
            </w:pPr>
            <w:r>
              <w:t xml:space="preserve">Cenário</w:t>
            </w:r>
          </w:p>
        </w:tc>
        <w:tc>
          <w:tcPr/>
          <w:p>
            <w:pPr>
              <w:pStyle w:val="Compact"/>
              <w:jc w:val="right"/>
            </w:pPr>
            <w:r>
              <w:t xml:space="preserve">Vendas líqu</w:t>
            </w:r>
          </w:p>
        </w:tc>
        <w:tc>
          <w:tcPr/>
          <w:p>
            <w:pPr>
              <w:pStyle w:val="Compact"/>
            </w:pPr>
            <w:r>
              <w:t xml:space="preserve">idas Margem b</w:t>
            </w:r>
          </w:p>
        </w:tc>
        <w:tc>
          <w:tcPr/>
          <w:p>
            <w:pPr>
              <w:pStyle w:val="Compact"/>
            </w:pPr>
            <w:r>
              <w:t xml:space="preserve">ruta Estoque fina</w:t>
            </w:r>
          </w:p>
        </w:tc>
        <w:tc>
          <w:tcPr/>
          <w:p>
            <w:pPr>
              <w:pStyle w:val="Compact"/>
            </w:pPr>
            <w:r>
              <w:t xml:space="preserve">l Taxa de pedidos atrasados</w:t>
            </w:r>
          </w:p>
        </w:tc>
      </w:tr>
      <w:tr>
        <w:tc>
          <w:tcPr/>
          <w:p>
            <w:pPr>
              <w:pStyle w:val="Compact"/>
              <w:jc w:val="left"/>
            </w:pPr>
            <w:r>
              <w:t xml:space="preserve">Mercado fraco</w:t>
            </w:r>
          </w:p>
        </w:tc>
        <w:tc>
          <w:tcPr/>
          <w:p>
            <w:pPr>
              <w:pStyle w:val="Compact"/>
              <w:jc w:val="right"/>
            </w:pPr>
            <w:r>
              <w:t xml:space="preserve">$133M</w:t>
            </w:r>
          </w:p>
        </w:tc>
        <w:tc>
          <w:tcPr/>
          <w:p>
            <w:pPr>
              <w:pStyle w:val="Compact"/>
            </w:pPr>
            <w:r>
              <w:t xml:space="preserve">42,0%</w:t>
            </w:r>
          </w:p>
        </w:tc>
        <w:tc>
          <w:tcPr/>
          <w:p>
            <w:pPr>
              <w:pStyle w:val="Compact"/>
            </w:pPr>
            <w:r>
              <w:t xml:space="preserve">$112M</w:t>
            </w:r>
          </w:p>
        </w:tc>
        <w:tc>
          <w:tcPr/>
          <w:p>
            <w:pPr>
              <w:pStyle w:val="Compact"/>
            </w:pPr>
            <w:r>
              <w:t xml:space="preserve">10%</w:t>
            </w:r>
          </w:p>
        </w:tc>
      </w:tr>
      <w:tr>
        <w:tc>
          <w:tcPr/>
          <w:p>
            <w:pPr>
              <w:pStyle w:val="Compact"/>
              <w:jc w:val="left"/>
            </w:pPr>
            <w:r>
              <w:t xml:space="preserve">Previsão base</w:t>
            </w:r>
          </w:p>
        </w:tc>
        <w:tc>
          <w:tcPr/>
          <w:p>
            <w:pPr>
              <w:pStyle w:val="Compact"/>
              <w:jc w:val="right"/>
            </w:pPr>
            <w:r>
              <w:t xml:space="preserve">$151M</w:t>
            </w:r>
          </w:p>
        </w:tc>
        <w:tc>
          <w:tcPr/>
          <w:p>
            <w:pPr>
              <w:pStyle w:val="Compact"/>
            </w:pPr>
            <w:r>
              <w:t xml:space="preserve">43,5%</w:t>
            </w:r>
          </w:p>
        </w:tc>
        <w:tc>
          <w:tcPr/>
          <w:p>
            <w:pPr>
              <w:pStyle w:val="Compact"/>
            </w:pPr>
            <w:r>
              <w:t xml:space="preserve">$94M</w:t>
            </w:r>
          </w:p>
        </w:tc>
        <w:tc>
          <w:tcPr/>
          <w:p>
            <w:pPr>
              <w:pStyle w:val="Compact"/>
            </w:pPr>
            <w:r>
              <w:t xml:space="preserve">13%</w:t>
            </w:r>
          </w:p>
        </w:tc>
      </w:tr>
      <w:tr>
        <w:tc>
          <w:tcPr/>
          <w:p>
            <w:pPr>
              <w:pStyle w:val="Compact"/>
              <w:jc w:val="left"/>
            </w:pPr>
            <w:r>
              <w:t xml:space="preserve">Resposta à promoção</w:t>
            </w:r>
          </w:p>
        </w:tc>
        <w:tc>
          <w:tcPr/>
          <w:p>
            <w:pPr>
              <w:pStyle w:val="Compact"/>
              <w:jc w:val="right"/>
            </w:pPr>
            <w:r>
              <w:t xml:space="preserve">$169M</w:t>
            </w:r>
          </w:p>
        </w:tc>
        <w:tc>
          <w:tcPr/>
          <w:p>
            <w:pPr>
              <w:pStyle w:val="Compact"/>
            </w:pPr>
            <w:r>
              <w:t xml:space="preserve">40,8%</w:t>
            </w:r>
          </w:p>
        </w:tc>
        <w:tc>
          <w:tcPr/>
          <w:p>
            <w:pPr>
              <w:pStyle w:val="Compact"/>
            </w:pPr>
            <w:r>
              <w:t xml:space="preserve">$76M</w:t>
            </w:r>
          </w:p>
        </w:tc>
        <w:tc>
          <w:tcPr/>
          <w:p>
            <w:pPr>
              <w:pStyle w:val="Compact"/>
            </w:pPr>
            <w:r>
              <w:t xml:space="preserve">21%</w:t>
            </w:r>
          </w:p>
        </w:tc>
      </w:tr>
      <w:tr>
        <w:tc>
          <w:tcPr/>
          <w:p>
            <w:pPr>
              <w:pStyle w:val="Compact"/>
              <w:jc w:val="left"/>
            </w:pPr>
            <w:r>
              <w:t xml:space="preserve">Mudança de estilo em direção a So</w:t>
            </w:r>
          </w:p>
        </w:tc>
        <w:tc>
          <w:tcPr/>
          <w:p>
            <w:pPr>
              <w:pStyle w:val="Compact"/>
              <w:jc w:val="right"/>
            </w:pPr>
            <w:r>
              <w:t xml:space="preserve">lace/Luma</w:t>
            </w:r>
            <w:r>
              <w:br/>
            </w:r>
          </w:p>
        </w:tc>
        <w:tc>
          <w:tcPr/>
          <w:p>
            <w:pPr>
              <w:pStyle w:val="Compact"/>
            </w:pPr>
            <w:r>
              <w:t xml:space="preserve">$158M 44,1%</w:t>
            </w:r>
          </w:p>
        </w:tc>
        <w:tc>
          <w:tcPr/>
          <w:p>
            <w:pPr>
              <w:pStyle w:val="Compact"/>
            </w:pPr>
            <w:r>
              <w:t xml:space="preserve">$101M</w:t>
            </w:r>
          </w:p>
        </w:tc>
        <w:tc>
          <w:tcPr/>
          <w:p>
            <w:pPr>
              <w:pStyle w:val="Compact"/>
            </w:pPr>
            <w:r>
              <w:t xml:space="preserve">27% nas linhas restritas</w:t>
            </w:r>
          </w:p>
        </w:tc>
      </w:tr>
      <w:tr>
        <w:tc>
          <w:tcPr/>
          <w:p>
            <w:pPr>
              <w:pStyle w:val="Compact"/>
              <w:jc w:val="left"/>
            </w:pPr>
            <w:r>
              <w:t xml:space="preserve">Guerra de preços da concorrência</w:t>
            </w:r>
          </w:p>
        </w:tc>
        <w:tc>
          <w:tcPr/>
          <w:p>
            <w:pPr>
              <w:pStyle w:val="Compact"/>
              <w:jc w:val="right"/>
            </w:pPr>
            <w:r>
              <w:t xml:space="preserve">$162M</w:t>
            </w:r>
          </w:p>
        </w:tc>
        <w:tc>
          <w:tcPr/>
          <w:p>
            <w:pPr>
              <w:pStyle w:val="Compact"/>
            </w:pPr>
            <w:r>
              <w:t xml:space="preserve">38,9%</w:t>
            </w:r>
          </w:p>
        </w:tc>
        <w:tc>
          <w:tcPr/>
          <w:p>
            <w:pPr>
              <w:pStyle w:val="Compact"/>
            </w:pPr>
            <w:r>
              <w:t xml:space="preserve">$88M</w:t>
            </w:r>
          </w:p>
        </w:tc>
        <w:tc>
          <w:tcPr/>
          <w:p>
            <w:pPr>
              <w:pStyle w:val="Compact"/>
            </w:pPr>
            <w:r>
              <w:t xml:space="preserve">15%</w:t>
            </w:r>
          </w:p>
        </w:tc>
      </w:tr>
    </w:tbl>
    <w:p>
      <w:pPr>
        <w:pStyle w:val="BodyText"/>
      </w:pPr>
      <w:r>
        <w:t xml:space="preserve">Os cenários não eram probabilidades. Eram histórias internamente consistentes montadas por finanças, merchandising, cadeia de suprimentos e marketing. Cada grupo desafiava as suposições dos outros. Ninguém sabia quantas vendas incrementais um desconto geraria, como os clientes substituiriam produtos quando os preferidos estivessem indisponíveis, ou com que rapidez os concorrentes responderiam.</w:t>
      </w:r>
    </w:p>
    <w:bookmarkEnd w:id="20"/>
    <w:bookmarkEnd w:id="21"/>
    <w:bookmarkStart w:id="22" w:name="o-prazo-de-sexta-feira"/>
    <w:p>
      <w:pPr>
        <w:pStyle w:val="Heading1"/>
      </w:pPr>
      <w:r>
        <w:t xml:space="preserve">O Prazo de Sexta-feira</w:t>
      </w:r>
    </w:p>
    <w:p>
      <w:pPr>
        <w:pStyle w:val="FirstParagraph"/>
      </w:pPr>
      <w:r>
        <w:t xml:space="preserve">Até sexta-feira, Marquez precisava recomendar como alocar o orçamento de $6,8 milhões, quais produtos e mercados enfatizar, se deveria autorizar o desconto de pacote nacional, e quais informações a Hearthline deveria coletar antes e durante a campanha. O diretor executivo também queria uma lista de condições sob as quais a administração deveria mudar de rumo durante a temporada.</w:t>
      </w:r>
    </w:p>
    <w:p>
      <w:pPr>
        <w:pStyle w:val="BodyText"/>
      </w:pPr>
      <w:r>
        <w:t xml:space="preserve">Olhando para os painéis, Marquez se perguntava se o verdadeiro problema da Hearthline era demanda fraca, sortimento errado, execução deficiente, promessas de entrega longas, orientação insuficiente ao cliente, ou a incapacidade da empresa de interpretar os sinais que já possuía. Cada explicação apontava para uma ação diferente. Cada ação poderia mudar as evidências usadas para avaliá-la.</w:t>
      </w:r>
    </w:p>
    <w:bookmarkEnd w:id="22"/>
    <w:bookmarkStart w:id="23" w:name="questões-de-discussão"/>
    <w:p>
      <w:pPr>
        <w:pStyle w:val="Heading1"/>
      </w:pPr>
      <w:r>
        <w:t xml:space="preserve">Questões de Discussão</w:t>
      </w:r>
    </w:p>
    <w:p>
      <w:pPr>
        <w:pStyle w:val="FirstParagraph"/>
      </w:pPr>
      <w:r>
        <w:t xml:space="preserve">1. Qual é o problema central de negócios enfrentado por Marquez? Quais sintomas podem ser consequências em vez de causas?</w:t>
      </w:r>
    </w:p>
    <w:p>
      <w:pPr>
        <w:pStyle w:val="BodyText"/>
      </w:pPr>
      <w:r>
        <w:t xml:space="preserve">2. Como a Hearthline deveria decidir quais produtos destacar quando os produtos mais populares podem estar com suprimento restrito?</w:t>
      </w:r>
    </w:p>
    <w:p>
      <w:pPr>
        <w:pStyle w:val="BodyText"/>
      </w:pPr>
      <w:r>
        <w:t xml:space="preserve">3. O desconto de pacote de ambientes deveria ser lançado nacionalmente, testado regionalmente, redesenhado ou rejeitado?</w:t>
      </w:r>
    </w:p>
    <w:p>
      <w:pPr>
        <w:pStyle w:val="BodyText"/>
      </w:pPr>
      <w:r>
        <w:t xml:space="preserve">4. Como a empresa deveria alocar os $6,8 milhões entre mídia, descontos, experimentos no site, pesquisa e pessoal de loja?</w:t>
      </w:r>
    </w:p>
    <w:p>
      <w:pPr>
        <w:pStyle w:val="BodyText"/>
      </w:pPr>
      <w:r>
        <w:t xml:space="preserve">5. Que evidência distinguiria um problema de publicidade de um problema de precificação, sortimento, entrega ou pessoal?</w:t>
      </w:r>
    </w:p>
    <w:p>
      <w:pPr>
        <w:pStyle w:val="BodyText"/>
      </w:pPr>
      <w:r>
        <w:t xml:space="preserve">6. Quais comportamentos de clientes a Hearthline deveria tentar influenciar, e quais podem ser custosos demais ou imprevisíveis demais para gerenciar?</w:t>
      </w:r>
    </w:p>
    <w:p>
      <w:pPr>
        <w:pStyle w:val="BodyText"/>
      </w:pPr>
      <w:r>
        <w:t xml:space="preserve">7. Como a atividade online e em loja deveria ser avaliada quando os clientes se movem entre canais?</w:t>
      </w:r>
    </w:p>
    <w:p>
      <w:pPr>
        <w:pStyle w:val="BodyText"/>
      </w:pPr>
      <w:r>
        <w:t xml:space="preserve">8. Que experimentos produziriam a informação mais útil antes do fim da temporada de festas de fim de ano?</w:t>
      </w:r>
    </w:p>
    <w:p>
      <w:pPr>
        <w:pStyle w:val="BodyText"/>
      </w:pPr>
      <w:r>
        <w:t xml:space="preserve">9. Quais gatilhos operacionais deveriam levar a administração a alterar precificação, publicidade, sortimento ou pessoal durante a campanha?</w:t>
      </w:r>
    </w:p>
    <w:p>
      <w:pPr>
        <w:pStyle w:val="BodyText"/>
      </w:pPr>
      <w:r>
        <w:t xml:space="preserve">10. O que constituiria um resultado bem-sucedido se vendas, margem, estoque, atendimento e aprendizado apontassem em direções diferentes?</w:t>
      </w:r>
    </w:p>
    <w:bookmarkEnd w:id="23"/>
    <w:bookmarkStart w:id="29" w:name="questões-de-enquadramento-da-decisão"/>
    <w:p>
      <w:pPr>
        <w:pStyle w:val="Heading1"/>
      </w:pPr>
      <w:r>
        <w:t xml:space="preserve">Questões de Enquadramento da Decisão</w:t>
      </w:r>
    </w:p>
    <w:p>
      <w:pPr>
        <w:numPr>
          <w:ilvl w:val="0"/>
          <w:numId w:val="1001"/>
        </w:numPr>
      </w:pPr>
      <w:r>
        <w:t xml:space="preserve">Identifique e descreva as responsabilidades do tomador de decisão. Isso deve definir o escopo do problema.</w:t>
      </w:r>
    </w:p>
    <w:p>
      <w:pPr>
        <w:numPr>
          <w:ilvl w:val="0"/>
          <w:numId w:val="1001"/>
        </w:numPr>
      </w:pPr>
      <w:r>
        <w:t xml:space="preserve">Use a</w:t>
      </w:r>
      <w:r>
        <w:t xml:space="preserve"> </w:t>
      </w:r>
      <w:hyperlink r:id="rId24">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finalmente um alvo (roxo).</w:t>
      </w:r>
    </w:p>
    <w:p>
      <w:pPr>
        <w:numPr>
          <w:ilvl w:val="0"/>
          <w:numId w:val="1001"/>
        </w:numPr>
      </w:pPr>
      <w:r>
        <w:t xml:space="preserve">Use a</w:t>
      </w:r>
      <w:r>
        <w:t xml:space="preserve"> </w:t>
      </w:r>
      <w:hyperlink r:id="rId25">
        <w:r>
          <w:rPr>
            <w:rStyle w:val="Hyperlink"/>
          </w:rPr>
          <w:t xml:space="preserve">ferramenta de priorização de decisões</w:t>
        </w:r>
      </w:hyperlink>
      <w:r>
        <w:t xml:space="preserve"> </w:t>
      </w:r>
      <w:r>
        <w:t xml:space="preserve">para primeiro listar os diferentes tipos de decisões (use os</w:t>
      </w:r>
      <w:r>
        <w:t xml:space="preserve"> </w:t>
      </w:r>
      <w:hyperlink r:id="rId26">
        <w:r>
          <w:rPr>
            <w:rStyle w:val="Hyperlink"/>
          </w:rPr>
          <w:t xml:space="preserve">tipos de decisões</w:t>
        </w:r>
      </w:hyperlink>
      <w:r>
        <w:t xml:space="preserve"> </w:t>
      </w:r>
      <w:r>
        <w:t xml:space="preserve">como guia). Estas então preencherão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1"/>
        </w:numPr>
      </w:pPr>
      <w:r>
        <w:t xml:space="preserve">Você pode pegar a alça (três barras) mais à esquerda em cada linha para movê-la para cima ou para baixo. Ordene as linhas de forma que as decisões com maior impacto nas métricas mais importantes fiquem no topo. As células no canto superior esquerdo devem ter a maior concentração de células vermelhas e laranja. Neste ponto, identifique as decisões que devem receber mais atenção em seu estudo. Se você não tiver decisões com impacto médio ou alto nas métricas mais importantes, revise sua lista de decisões.</w:t>
      </w:r>
    </w:p>
    <w:p>
      <w:pPr>
        <w:numPr>
          <w:ilvl w:val="0"/>
          <w:numId w:val="1001"/>
        </w:numPr>
      </w:pPr>
      <w:r>
        <w:t xml:space="preserve">Repita o processo para listar e priorizar as incertezas usando a</w:t>
      </w:r>
      <w:r>
        <w:t xml:space="preserve"> </w:t>
      </w:r>
      <w:hyperlink r:id="rId27">
        <w:r>
          <w:rPr>
            <w:rStyle w:val="Hyperlink"/>
          </w:rPr>
          <w:t xml:space="preserve">ferramenta de priorização de incertezas</w:t>
        </w:r>
      </w:hyperlink>
      <w:r>
        <w:t xml:space="preserve">. Use as</w:t>
      </w:r>
      <w:r>
        <w:t xml:space="preserve"> </w:t>
      </w:r>
      <w:hyperlink r:id="rId28">
        <w:r>
          <w:rPr>
            <w:rStyle w:val="Hyperlink"/>
          </w:rPr>
          <w:t xml:space="preserve">categorias de incerteza</w:t>
        </w:r>
      </w:hyperlink>
      <w:r>
        <w:t xml:space="preserve"> </w:t>
      </w:r>
      <w:r>
        <w:t xml:space="preserve">para ajudá-lo a identificá-las.</w:t>
      </w:r>
    </w:p>
    <w:p>
      <w:pPr>
        <w:numPr>
          <w:ilvl w:val="0"/>
          <w:numId w:val="1001"/>
        </w:numPr>
      </w:pPr>
      <w:r>
        <w:t xml:space="preserve">É importante diferenciar incertezas que podem ser avaliadas em média, ou como eventos de risco:</w:t>
      </w:r>
    </w:p>
    <w:p>
      <w:pPr>
        <w:numPr>
          <w:ilvl w:val="1"/>
          <w:numId w:val="1002"/>
        </w:numPr>
      </w:pPr>
      <w:r>
        <w:t xml:space="preserve">Quais fontes de incerteza seriam capturadas usando desempenho médio ao longo do tempo?</w:t>
      </w:r>
    </w:p>
    <w:p>
      <w:pPr>
        <w:numPr>
          <w:ilvl w:val="1"/>
          <w:numId w:val="1002"/>
        </w:numPr>
      </w:pPr>
      <w:r>
        <w:t xml:space="preserve">Quais fontes de incerteza representam formas de risco que não são adequadamente capturadas usando médias?</w:t>
      </w:r>
    </w:p>
    <w:p>
      <w:pPr>
        <w:numPr>
          <w:ilvl w:val="0"/>
          <w:numId w:val="1001"/>
        </w:numPr>
      </w:pPr>
      <w:r>
        <w:t xml:space="preserve">Escolha a única decisão que parece ter o maior impacto na métrica mais importante.</w:t>
      </w:r>
    </w:p>
    <w:p>
      <w:pPr>
        <w:numPr>
          <w:ilvl w:val="1"/>
          <w:numId w:val="1003"/>
        </w:numPr>
      </w:pPr>
      <w:r>
        <w:t xml:space="preserve">Que abordagem você acha que usaria para tomar essa decisão?</w:t>
      </w:r>
    </w:p>
    <w:p>
      <w:pPr>
        <w:numPr>
          <w:ilvl w:val="1"/>
          <w:numId w:val="1003"/>
        </w:numPr>
      </w:pPr>
      <w:r>
        <w:t xml:space="preserve">Quais dados parecem ser necessários para tomar essa decisão, incluindo o cálculo de quaisquer métricas de desempenho em que a decisão teria impacto alto ou médio.</w:t>
      </w:r>
    </w:p>
    <w:p>
      <w:pPr>
        <w:numPr>
          <w:ilvl w:val="0"/>
          <w:numId w:val="1001"/>
        </w:numPr>
      </w:pPr>
      <w:r>
        <w:t xml:space="preserve">Usando a mesma decisão que você identificou em (7), identifique as pessoas, departamentos, grupos ou organizações com os quais você precisaria trabalhar para implementar a decisão.</w:t>
      </w:r>
    </w:p>
    <w:bookmarkEnd w:id="29"/>
    <w:bookmarkStart w:id="30" w:name="nota-de-fonte"/>
    <w:p>
      <w:pPr>
        <w:pStyle w:val="Heading1"/>
      </w:pPr>
      <w:r>
        <w:t xml:space="preserve">Nota de Fonte</w:t>
      </w:r>
    </w:p>
    <w:p>
      <w:pPr>
        <w:pStyle w:val="FirstParagraph"/>
      </w:pPr>
      <w:r>
        <w:t xml:space="preserve">A base conceitual para este caso é a seção</w:t>
      </w:r>
      <w:r>
        <w:t xml:space="preserve"> </w:t>
      </w:r>
      <w:r>
        <w:t xml:space="preserve">“Demand management – selling furniture”</w:t>
      </w:r>
      <w:r>
        <w:t xml:space="preserve"> </w:t>
      </w:r>
      <w:r>
        <w:t xml:space="preserve">de Warren B. Powell, Bridging Decision Problems, Volume I: Framing the Problem, Capítulo 2. O caso incorpora suas ideias na narrativa e nos exhibits sem rotular separadamente categorias de métricas, decisões ou incertezas.</w:t>
      </w:r>
    </w:p>
    <w:p>
      <w:pPr>
        <w:pStyle w:val="BodyText"/>
      </w:pPr>
      <w:r>
        <w:t xml:space="preserve">Dados públicos usados para motivar o cenário: U.S. Census Bureau, Monthly State Retail Sales, December 2025 (vendas de lojas de móveis e artigos para o lar caíram 5,5 por cento em relação a dezembro de 2024); U.S. Census Bureau e U.S. Department of Housing and Urban Development, New Residential Sales, December 2025 (aproximadamente 679.000 novas casas unifamiliares vendidas em 2025); e U.S. Census Bureau, Quarterly Retail E-Commerce Sales, First Quarter 2026 ($326,7 bilhões em vendas estimadas de comércio eletrônico). Todos os dados financeiros, operacionais, de marketing e de clientes da Hearthline são fictícios.</w:t>
      </w:r>
    </w:p>
    <w:bookmarkEnd w:id="30"/>
    <w:bookmarkStart w:id="33" w:name="notas-do-chatgpt"/>
    <w:p>
      <w:pPr>
        <w:pStyle w:val="Heading1"/>
      </w:pPr>
      <w:r>
        <w:t xml:space="preserve">Notas do ChatGPT</w:t>
      </w:r>
    </w:p>
    <w:bookmarkStart w:id="31" w:name="prompt"/>
    <w:p>
      <w:pPr>
        <w:pStyle w:val="Heading2"/>
      </w:pPr>
      <w:r>
        <w:t xml:space="preserve">Prompt</w:t>
      </w:r>
    </w:p>
    <w:p>
      <w:pPr>
        <w:pStyle w:val="FirstParagraph"/>
      </w:pPr>
      <w:r>
        <w:t xml:space="preserve">Escreva um estudo de caso de 4 a 6 páginas baseado no material da seção em https://warrenpowell.org/bridging-vol1/chapter-2/#demandmanagementfurniture. Crie um contexto baseado nas métricas, decisões e incertezas da seção, mas sem chamar atenção explicitamente para elas. Motive seu problema de caso com dados.</w:t>
      </w:r>
    </w:p>
    <w:bookmarkEnd w:id="31"/>
    <w:bookmarkStart w:id="32" w:name="resumo"/>
    <w:p>
      <w:pPr>
        <w:pStyle w:val="Heading2"/>
      </w:pPr>
      <w:r>
        <w:t xml:space="preserve">Resumo</w:t>
      </w:r>
    </w:p>
    <w:p>
      <w:pPr>
        <w:pStyle w:val="FirstParagraph"/>
      </w:pPr>
      <w:r>
        <w:t xml:space="preserve">O caso segue a estrutura conceitual da seção de gestão de demanda de móveis sem rotular explicitamente suas categorias subjacentes. Ele situa uma varejista regional fictícia de móveis nos meses antes da temporada de festas de fim de ano, enfrentando decisões envolvendo:</w:t>
      </w:r>
    </w:p>
    <w:p>
      <w:pPr>
        <w:numPr>
          <w:ilvl w:val="0"/>
          <w:numId w:val="1004"/>
        </w:numPr>
      </w:pPr>
      <w:r>
        <w:t xml:space="preserve">Sortimento de produtos e estocagem regional</w:t>
      </w:r>
    </w:p>
    <w:p>
      <w:pPr>
        <w:numPr>
          <w:ilvl w:val="0"/>
          <w:numId w:val="1004"/>
        </w:numPr>
      </w:pPr>
      <w:r>
        <w:t xml:space="preserve">Precificação, pacotes e descontos promocionais</w:t>
      </w:r>
    </w:p>
    <w:p>
      <w:pPr>
        <w:numPr>
          <w:ilvl w:val="0"/>
          <w:numId w:val="1004"/>
        </w:numPr>
      </w:pPr>
      <w:r>
        <w:t xml:space="preserve">Busca paga, redes sociais, televisão, mala direta e influenciadores</w:t>
      </w:r>
    </w:p>
    <w:p>
      <w:pPr>
        <w:numPr>
          <w:ilvl w:val="0"/>
          <w:numId w:val="1004"/>
        </w:numPr>
      </w:pPr>
      <w:r>
        <w:t xml:space="preserve">Experimentos no site e pesquisa de clientes</w:t>
      </w:r>
    </w:p>
    <w:p>
      <w:pPr>
        <w:numPr>
          <w:ilvl w:val="0"/>
          <w:numId w:val="1004"/>
        </w:numPr>
      </w:pPr>
      <w:r>
        <w:t xml:space="preserve">Pessoal de loja e discricionariedade gerencial local</w:t>
      </w:r>
    </w:p>
    <w:p>
      <w:pPr>
        <w:numPr>
          <w:ilvl w:val="0"/>
          <w:numId w:val="1004"/>
        </w:numPr>
      </w:pPr>
      <w:r>
        <w:t xml:space="preserve">Coordenação entre estímulo de demanda e disponibilidade restrita de produtos</w:t>
      </w:r>
    </w:p>
    <w:p>
      <w:pPr>
        <w:pStyle w:val="FirstParagraph"/>
      </w:pPr>
      <w:r>
        <w:t xml:space="preserve">O caso contém cinco exhibits quantitativos, perspectivas gerenciais concorrentes, três abordagens estratégicas amplas e dez questões de discussão. Ele deliberadamente deixa não resolvido se o problema principal da empresa é demanda fraca, sortimento errado, precificação, eficácia da publicidade, atrasos na entrega, pessoal, ou sua interpretação dos dados de clientes.</w:t>
      </w:r>
    </w:p>
    <w:p>
      <w:pPr>
        <w:pStyle w:val="BodyText"/>
      </w:pPr>
      <w:r>
        <w:t xml:space="preserve">O cenário de mercado é motivado por dados do Censo mostrando que as vendas de lojas de móveis e artigos para o lar em dezembro de 2025 estavam 5,5% abaixo do ano anterior, aproximadamente 679.000 novas casas unifamiliares foram vendidas durante 2025, e as vendas de varejo de comércio eletrônico dos EUA atingiram uma estimativa de $326,7 bilhões no primeiro trimestre de 2026. A estrutura do caso se baseia na seção especificada de gestão de demanda de</w:t>
      </w:r>
      <w:r>
        <w:t xml:space="preserve"> </w:t>
      </w:r>
      <w:r>
        <w:rPr>
          <w:i/>
          <w:iCs/>
        </w:rPr>
        <w:t xml:space="preserve">Bridging Decision Problems, Volume I</w:t>
      </w:r>
      <w: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2026-09-11T16:44:34Z</dcterms:created>
  <dcterms:modified xsi:type="dcterms:W3CDTF">2026-09-11T16:44:34Z</dcterms:modified>
</cp:coreProperties>
</file>

<file path=docProps/custom.xml><?xml version="1.0" encoding="utf-8"?>
<Properties xmlns="http://schemas.openxmlformats.org/officeDocument/2006/custom-properties" xmlns:vt="http://schemas.openxmlformats.org/officeDocument/2006/docPropsVTypes"/>
</file>