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Lakeside Medical Group</w:t>
      </w:r>
    </w:p>
    <w:p>
      <w:pPr>
        <w:pStyle w:val="BodyText"/>
      </w:pPr>
      <w:r>
        <w:t xml:space="preserve">Os Próximos Noventa Dias</w:t>
      </w:r>
    </w:p>
    <w:p>
      <w:pPr>
        <w:pStyle w:val="BodyText"/>
      </w:pPr>
      <w:r>
        <w:rPr>
          <w:i/>
          <w:iCs/>
        </w:rPr>
        <w:t xml:space="preserve">Um caso de negócios sobre o manejo do Diabetes Tipo 2 quando a resposta clínica, o comportamento diário, a tecnologia e a acessibilidade financeira são difíceis de separar</w:t>
      </w:r>
    </w:p>
    <w:p>
      <w:pPr>
        <w:pStyle w:val="BodyText"/>
      </w:pPr>
      <w:r>
        <w:t xml:space="preserve">Este caso é fictício e destinado à discussão instrucional. Nomes, eventos, organizações e dados operacionais são inventados, embora o contexto da indústria seja informado por fontes públicas.</w:t>
      </w:r>
    </w:p>
    <w:tbl>
      <w:tblPr>
        <w:tblStyle w:val="Table"/>
        <w:tblW w:type="auto" w:w="0"/>
        <w:tblLook w:firstRow="0" w:lastRow="0" w:firstColumn="0" w:lastColumn="0" w:noHBand="0" w:noVBand="0" w:val="0000"/>
      </w:tblPr>
      <w:tblGrid>
        <w:gridCol w:w="7920"/>
      </w:tblGrid>
      <w:tr>
        <w:tc>
          <w:tcPr/>
          <w:p>
            <w:pPr>
              <w:pStyle w:val="Compact"/>
            </w:pPr>
            <w:r>
              <w:t xml:space="preserve">Em outubro de 2026, uma equipe de atenção primária precisa decidir como reformular o tratamento de um paciente cuja glicemia permanece mal controlada apesar de repetidas consultas, mudanças de medicação e extenso aconselhamento. O próximo passo poderia melhorar sua saúde no longo prazo—ou adicionar custo e complexidade que ele talvez não consiga sustentar.</w:t>
            </w:r>
          </w:p>
        </w:tc>
      </w:tr>
    </w:tbl>
    <w:p>
      <w:r>
        <w:pict>
          <v:rect style="width:0;height:1.5pt" o:hralign="center" o:hrstd="t" o:hr="t"/>
        </w:pict>
      </w:r>
    </w:p>
    <w:p>
      <w:pPr>
        <w:pStyle w:val="FirstParagraph"/>
      </w:pPr>
      <w:r>
        <w:t xml:space="preserve">Este caso é fictício e destinado à discussão instrucional, não à orientação médica. Nomes, eventos e dados internos foram criados para o caso. Estatísticas públicas são citadas na nota de fonte.</w:t>
      </w:r>
    </w:p>
    <w:bookmarkStart w:id="9" w:name="a-consulta-de-terça-feira"/>
    <w:p>
      <w:pPr>
        <w:pStyle w:val="Heading1"/>
      </w:pPr>
      <w:r>
        <w:t xml:space="preserve">A Consulta de Terça-Feira</w:t>
      </w:r>
    </w:p>
    <w:p>
      <w:pPr>
        <w:pStyle w:val="FirstParagraph"/>
      </w:pPr>
      <w:r>
        <w:t xml:space="preserve">Às 7h35 de uma manhã de terça-feira, a Dra. Elena Park abriu o prontuário de Marcus Reed antes da primeira consulta na clínica Northgate do Lakeside Medical Group. Reed tinha 58 anos, trabalhava em turnos rotativos como supervisor de manutenção, e vivia com Diabetes Tipo 2 há nove anos. Sua última hemoglobina glicada A1c era de 9,2 por cento—mais alta do que seis meses antes e bem acima da meta individualizada que sua equipe de cuidados havia discutido com ele.</w:t>
      </w:r>
    </w:p>
    <w:p>
      <w:pPr>
        <w:pStyle w:val="BodyText"/>
      </w:pPr>
      <w:r>
        <w:t xml:space="preserve">O número não revelava o que havia dado errado. Reed havia parado de tomar metformina após sintomas gastrointestinais recorrentes. Ele tomava um segundo medicamento oral na maioria dos dias, mas não de forma consistente quando seus turnos mudavam. Ele havia perdido oito libras na primavera, recuperado cinco durante um verão de horas extras, e faltado a duas consultas enquanto cuidava de sua mãe. Um teste curto com monitor contínuo de glicose havia mostrado aumentos acentuados após refeições noturnas tardias, mas também duas leituras noturnas baixas o suficiente para preocupar o farmacêutico da clínica.</w:t>
      </w:r>
    </w:p>
    <w:p>
      <w:pPr>
        <w:pStyle w:val="BodyText"/>
      </w:pPr>
      <w:r>
        <w:t xml:space="preserve">Park havia agendado uma conferência de caso de 30 minutos com um farmacêutico clínico, educador em diabetes, enfermeira gerente de cuidados e conselheiro financeiro. O grupo precisava recomendar um plano para os próximos noventa dias. As opções incluíam ajustar medicações, adicionar uma terapia injetável, prescrever monitoramento de glicose de prazo mais longo, intensificar o suporte nutricional e de exercícios, providenciar contato mais frequente, ou simplificar o plano. Cada opção impunha custos e cargas diferentes sobre Reed e a clínica. Nenhuma garantia que o plano resultante seria seguido—ou que seu corpo responderia como esperado.</w:t>
      </w:r>
    </w:p>
    <w:bookmarkEnd w:id="9"/>
    <w:bookmarkStart w:id="11" w:name="uma-condição-grande-e-cara"/>
    <w:p>
      <w:pPr>
        <w:pStyle w:val="Heading1"/>
      </w:pPr>
      <w:r>
        <w:t xml:space="preserve">Uma Condição Grande e Cara</w:t>
      </w:r>
    </w:p>
    <w:p>
      <w:pPr>
        <w:pStyle w:val="FirstParagraph"/>
      </w:pPr>
      <w:r>
        <w:t xml:space="preserve">A situação de Reed era comum o suficiente para ser um problema nacional, mas pessoal o suficiente para resistir a uma solução padrão. O CDC estimou que 40,1 milhões de pessoas nos Estados Unidos tinham diabetes diagnosticado ou não diagnosticado em 2023, equivalente a cerca de 12 por cento da população. O Diabetes Tipo 2 responde por aproximadamente 90 a 95 por cento dos casos diagnosticados. Mais de um quarto dos adultos com diabetes foram estimados como não sabendo que a tinham.</w:t>
      </w:r>
    </w:p>
    <w:p>
      <w:pPr>
        <w:pStyle w:val="BodyText"/>
      </w:pPr>
      <w:r>
        <w:t xml:space="preserve">O ônus financeiro também era substancial. Estimativas federais colocaram o custo total do diabetes em centenas de bilhões de dólares anualmente por meio de gastos médicos diretos e produtividade reduzida. Pessoas com diabetes incorrem em custos médicos mais de duas vezes maiores do que pessoas sem a condição. No entanto, muitos dos resultados mais consequentes—insuficiência renal, doença cardiovascular, perda de visão, neuropatia e amputação de membro inferior—se desenvolvem ao longo de anos, enquanto pacientes e clínicos fazem escolhas todos os dias.</w:t>
      </w:r>
    </w:p>
    <w:bookmarkStart w:id="10" w:name="X034a22065388b8e9b53063b66f99dae40f0ab3c"/>
    <w:p>
      <w:pPr>
        <w:pStyle w:val="Heading2"/>
      </w:pPr>
      <w:r>
        <w:t xml:space="preserve">Exhibit 1. Marcus Reed: Perfil Clínico e Pessoal Atual</w:t>
      </w:r>
    </w:p>
    <w:tbl>
      <w:tblPr>
        <w:tblStyle w:val="Table"/>
        <w:tblW w:type="pct" w:w="4900"/>
        <w:tblLayout w:type="fixed"/>
        <w:tblLook w:firstRow="1" w:lastRow="0" w:firstColumn="0" w:lastColumn="0" w:noHBand="0" w:noVBand="0" w:val="0020"/>
      </w:tblPr>
      <w:tblGrid>
        <w:gridCol w:w="2296"/>
        <w:gridCol w:w="3009"/>
        <w:gridCol w:w="2455"/>
      </w:tblGrid>
      <w:tr>
        <w:trPr>
          <w:tblHeader w:val="on"/>
        </w:trPr>
        <w:tc>
          <w:tcPr/>
          <w:p>
            <w:pPr>
              <w:pStyle w:val="Compact"/>
              <w:jc w:val="left"/>
            </w:pPr>
            <w:r>
              <w:t xml:space="preserve">Indicador</w:t>
            </w:r>
          </w:p>
        </w:tc>
        <w:tc>
          <w:tcPr/>
          <w:p>
            <w:pPr>
              <w:pStyle w:val="Compact"/>
              <w:jc w:val="left"/>
            </w:pPr>
            <w:r>
              <w:t xml:space="preserve">Informação atual</w:t>
            </w:r>
          </w:p>
        </w:tc>
        <w:tc>
          <w:tcPr/>
          <w:p>
            <w:pPr>
              <w:pStyle w:val="Compact"/>
              <w:jc w:val="right"/>
            </w:pPr>
            <w:r>
              <w:t xml:space="preserve">Ponto anterior / de referência</w:t>
            </w:r>
          </w:p>
        </w:tc>
      </w:tr>
      <w:tr>
        <w:tc>
          <w:tcPr/>
          <w:p>
            <w:pPr>
              <w:pStyle w:val="Compact"/>
              <w:jc w:val="left"/>
            </w:pPr>
            <w:r>
              <w:t xml:space="preserve">Hemoglobina A1c</w:t>
            </w:r>
          </w:p>
        </w:tc>
        <w:tc>
          <w:tcPr/>
          <w:p>
            <w:pPr>
              <w:pStyle w:val="Compact"/>
              <w:jc w:val="left"/>
            </w:pPr>
            <w:r>
              <w:t xml:space="preserve">9,2%</w:t>
            </w:r>
          </w:p>
        </w:tc>
        <w:tc>
          <w:tcPr/>
          <w:p>
            <w:pPr>
              <w:pStyle w:val="Compact"/>
              <w:jc w:val="right"/>
            </w:pPr>
            <w:r>
              <w:t xml:space="preserve">8,4% seis meses antes</w:t>
            </w:r>
          </w:p>
        </w:tc>
      </w:tr>
      <w:tr>
        <w:tc>
          <w:tcPr/>
          <w:p>
            <w:pPr>
              <w:pStyle w:val="Compact"/>
              <w:jc w:val="left"/>
            </w:pPr>
            <w:r>
              <w:t xml:space="preserve">Glicemia laboratorial de jeju</w:t>
            </w:r>
          </w:p>
        </w:tc>
        <w:tc>
          <w:tcPr/>
          <w:p>
            <w:pPr>
              <w:pStyle w:val="Compact"/>
              <w:jc w:val="left"/>
            </w:pPr>
            <w:r>
              <w:t xml:space="preserve">m 186 mg/dL</w:t>
            </w:r>
          </w:p>
        </w:tc>
        <w:tc>
          <w:tcPr/>
          <w:p>
            <w:pPr>
              <w:pStyle w:val="Compact"/>
              <w:jc w:val="right"/>
            </w:pPr>
            <w:r>
              <w:t xml:space="preserve">154 mg/dL seis meses antes</w:t>
            </w:r>
          </w:p>
        </w:tc>
      </w:tr>
      <w:tr>
        <w:tc>
          <w:tcPr/>
          <w:p>
            <w:pPr>
              <w:pStyle w:val="Compact"/>
              <w:jc w:val="left"/>
            </w:pPr>
            <w:r>
              <w:t xml:space="preserve">Pressão arterial</w:t>
            </w:r>
          </w:p>
        </w:tc>
        <w:tc>
          <w:tcPr/>
          <w:p>
            <w:pPr>
              <w:pStyle w:val="Compact"/>
              <w:jc w:val="left"/>
            </w:pPr>
            <w:r>
              <w:t xml:space="preserve">142/86 mm Hg</w:t>
            </w:r>
          </w:p>
        </w:tc>
        <w:tc>
          <w:tcPr/>
          <w:p>
            <w:pPr>
              <w:pStyle w:val="Compact"/>
              <w:jc w:val="right"/>
            </w:pPr>
            <w:r>
              <w:t xml:space="preserve">Geralmente 134–140 / 80–86</w:t>
            </w:r>
          </w:p>
        </w:tc>
      </w:tr>
      <w:tr>
        <w:tc>
          <w:tcPr/>
          <w:p>
            <w:pPr>
              <w:pStyle w:val="Compact"/>
              <w:jc w:val="left"/>
            </w:pPr>
            <w:r>
              <w:t xml:space="preserve">Peso</w:t>
            </w:r>
          </w:p>
        </w:tc>
        <w:tc>
          <w:tcPr/>
          <w:p>
            <w:pPr>
              <w:pStyle w:val="Compact"/>
              <w:jc w:val="left"/>
            </w:pPr>
            <w:r>
              <w:t xml:space="preserve">226 lb</w:t>
            </w:r>
          </w:p>
        </w:tc>
        <w:tc>
          <w:tcPr/>
          <w:p>
            <w:pPr>
              <w:pStyle w:val="Compact"/>
              <w:jc w:val="right"/>
            </w:pPr>
            <w:r>
              <w:t xml:space="preserve">221 lb três meses antes</w:t>
            </w:r>
          </w:p>
        </w:tc>
      </w:tr>
      <w:tr>
        <w:tc>
          <w:tcPr/>
          <w:p>
            <w:pPr>
              <w:pStyle w:val="Compact"/>
              <w:jc w:val="left"/>
            </w:pPr>
            <w:r>
              <w:t xml:space="preserve">Função renal</w:t>
            </w:r>
          </w:p>
        </w:tc>
        <w:tc>
          <w:tcPr/>
          <w:p>
            <w:pPr>
              <w:pStyle w:val="Compact"/>
              <w:jc w:val="left"/>
            </w:pPr>
            <w:r>
              <w:t xml:space="preserve">Declínio leve; estável em novo teste</w:t>
            </w:r>
          </w:p>
        </w:tc>
        <w:tc>
          <w:tcPr/>
          <w:p>
            <w:pPr>
              <w:pStyle w:val="Compact"/>
              <w:jc w:val="right"/>
            </w:pPr>
            <w:r>
              <w:t xml:space="preserve">Normal dois anos antes</w:t>
            </w:r>
          </w:p>
        </w:tc>
      </w:tr>
      <w:tr>
        <w:tc>
          <w:tcPr/>
          <w:p>
            <w:pPr>
              <w:pStyle w:val="Compact"/>
              <w:jc w:val="left"/>
            </w:pPr>
            <w:r>
              <w:t xml:space="preserve">Exame oftalmológico</w:t>
            </w:r>
          </w:p>
        </w:tc>
        <w:tc>
          <w:tcPr/>
          <w:p>
            <w:pPr>
              <w:pStyle w:val="Compact"/>
              <w:jc w:val="left"/>
            </w:pPr>
            <w:r>
              <w:t xml:space="preserve">Atrasado em 14 meses</w:t>
            </w:r>
          </w:p>
        </w:tc>
        <w:tc>
          <w:tcPr/>
          <w:p>
            <w:pPr>
              <w:pStyle w:val="Compact"/>
              <w:jc w:val="right"/>
            </w:pPr>
            <w:r>
              <w:t xml:space="preserve">Sem retinopatia no último exame</w:t>
            </w:r>
          </w:p>
        </w:tc>
      </w:tr>
      <w:tr>
        <w:tc>
          <w:tcPr/>
          <w:p>
            <w:pPr>
              <w:pStyle w:val="Compact"/>
              <w:jc w:val="left"/>
            </w:pPr>
            <w:r>
              <w:t xml:space="preserve">Sintomas nos pés</w:t>
            </w:r>
          </w:p>
        </w:tc>
        <w:tc>
          <w:tcPr/>
          <w:p>
            <w:pPr>
              <w:pStyle w:val="Compact"/>
              <w:jc w:val="left"/>
            </w:pPr>
            <w:r>
              <w:t xml:space="preserve">Dormência intermitente</w:t>
            </w:r>
          </w:p>
        </w:tc>
        <w:tc>
          <w:tcPr/>
          <w:p>
            <w:pPr>
              <w:pStyle w:val="Compact"/>
              <w:jc w:val="right"/>
            </w:pPr>
            <w:r>
              <w:t xml:space="preserve">Relatado duas vezes no último ano</w:t>
            </w:r>
          </w:p>
        </w:tc>
      </w:tr>
      <w:tr>
        <w:tc>
          <w:tcPr/>
          <w:p>
            <w:pPr>
              <w:pStyle w:val="Compact"/>
              <w:jc w:val="left"/>
            </w:pPr>
            <w:r>
              <w:t xml:space="preserve">Padrão de trabalho</w:t>
            </w:r>
          </w:p>
        </w:tc>
        <w:tc>
          <w:tcPr/>
          <w:p>
            <w:pPr>
              <w:pStyle w:val="Compact"/>
              <w:jc w:val="left"/>
            </w:pPr>
            <w:r>
              <w:t xml:space="preserve">Turnos rotativos dia/noite</w:t>
            </w:r>
          </w:p>
        </w:tc>
        <w:tc>
          <w:tcPr/>
          <w:p>
            <w:pPr>
              <w:pStyle w:val="Compact"/>
              <w:jc w:val="right"/>
            </w:pPr>
            <w:r>
              <w:t xml:space="preserve">Escala muda semanalmente</w:t>
            </w:r>
          </w:p>
        </w:tc>
      </w:tr>
      <w:tr>
        <w:tc>
          <w:tcPr/>
          <w:p>
            <w:pPr>
              <w:pStyle w:val="Compact"/>
              <w:jc w:val="left"/>
            </w:pPr>
            <w:r>
              <w:t xml:space="preserve">Cobertura de medicação</w:t>
            </w:r>
          </w:p>
        </w:tc>
        <w:tc>
          <w:tcPr/>
          <w:p>
            <w:pPr>
              <w:pStyle w:val="Compact"/>
              <w:jc w:val="left"/>
            </w:pPr>
            <w:r>
              <w:t xml:space="preserve">Franquia anual de $2.000</w:t>
            </w:r>
          </w:p>
        </w:tc>
        <w:tc>
          <w:tcPr/>
          <w:p>
            <w:pPr>
              <w:pStyle w:val="Compact"/>
              <w:jc w:val="right"/>
            </w:pPr>
            <w:r>
              <w:t xml:space="preserve">Franquia reinicia em 1º de janeiro</w:t>
            </w:r>
          </w:p>
        </w:tc>
      </w:tr>
    </w:tbl>
    <w:p>
      <w:pPr>
        <w:pStyle w:val="BodyText"/>
      </w:pPr>
      <w:r>
        <w:t xml:space="preserve">Park relutava em interpretar a A1c crescente como uma simples falha de esforço. Ela resumia aproximadamente dois a três meses de exposição à glicose, mas não mostrava quando os níveis de Reed estavam altos ou baixos. As leituras de ponta de dedo eram escassas e concentradas antes das consultas. O teste do monitor cobriu apenas quatorze dias, incluindo uma semana em que Reed trabalhou à noite e uma em que estava de férias.</w:t>
      </w:r>
    </w:p>
    <w:bookmarkEnd w:id="10"/>
    <w:bookmarkEnd w:id="11"/>
    <w:bookmarkStart w:id="13" w:name="o-que-o-monitor-reveloue-ocultou"/>
    <w:p>
      <w:pPr>
        <w:pStyle w:val="Heading1"/>
      </w:pPr>
      <w:r>
        <w:t xml:space="preserve">O Que o Monitor Revelou—e Ocultou</w:t>
      </w:r>
    </w:p>
    <w:p>
      <w:pPr>
        <w:pStyle w:val="FirstParagraph"/>
      </w:pPr>
      <w:r>
        <w:t xml:space="preserve">O monitor contínuo havia produzido mais de 1.300 leituras. A glicose média de Reed era alta, mas os padrões diários variavam amplamente. Nos turnos diurnos, o café da manhã e o almoço eram relativamente previsíveis. Nos turnos noturnos, ele às vezes comia uma refeição grande perto da meia-noite, pulava o café da manhã, e dormia até o início da tarde. O exercício dependia de se ele passava o dia supervisionando ou consertando equipamentos ele mesmo.</w:t>
      </w:r>
    </w:p>
    <w:bookmarkStart w:id="12" w:name="X994cc10fd578a88bc1479b716acade87abd2df5"/>
    <w:p>
      <w:pPr>
        <w:pStyle w:val="Heading2"/>
      </w:pPr>
      <w:r>
        <w:t xml:space="preserve">Exhibit 2. Resumo de Monitor de Glicose de Quatorze Dias</w:t>
      </w:r>
    </w:p>
    <w:tbl>
      <w:tblPr>
        <w:tblStyle w:val="Table"/>
        <w:tblW w:type="pct" w:w="4896"/>
        <w:tblLayout w:type="fixed"/>
        <w:tblLook w:firstRow="1" w:lastRow="0" w:firstColumn="0" w:lastColumn="0" w:noHBand="0" w:noVBand="0" w:val="0020"/>
      </w:tblPr>
      <w:tblGrid>
        <w:gridCol w:w="2227"/>
        <w:gridCol w:w="1485"/>
        <w:gridCol w:w="4042"/>
      </w:tblGrid>
      <w:tr>
        <w:trPr>
          <w:tblHeader w:val="on"/>
        </w:trPr>
        <w:tc>
          <w:tcPr/>
          <w:p>
            <w:pPr>
              <w:pStyle w:val="Compact"/>
            </w:pPr>
            <w:r>
              <w:t xml:space="preserve">Medida R</w:t>
            </w:r>
          </w:p>
        </w:tc>
        <w:tc>
          <w:tcPr/>
          <w:p>
            <w:pPr>
              <w:pStyle w:val="Compact"/>
            </w:pPr>
            <w:r>
              <w:t xml:space="preserve">esultado observado</w:t>
            </w:r>
          </w:p>
        </w:tc>
        <w:tc>
          <w:tcPr/>
          <w:p>
            <w:pPr>
              <w:pStyle w:val="Compact"/>
              <w:jc w:val="center"/>
            </w:pPr>
            <w:r>
              <w:t xml:space="preserve">Padrão observado pela equipe</w:t>
            </w:r>
          </w:p>
        </w:tc>
      </w:tr>
      <w:tr>
        <w:tc>
          <w:tcPr/>
          <w:p>
            <w:pPr>
              <w:pStyle w:val="Compact"/>
            </w:pPr>
            <w:r>
              <w:t xml:space="preserve">Glicose média 20</w:t>
            </w:r>
          </w:p>
        </w:tc>
        <w:tc>
          <w:tcPr/>
          <w:p>
            <w:pPr>
              <w:pStyle w:val="Compact"/>
            </w:pPr>
            <w:r>
              <w:t xml:space="preserve">4 mg/dL Ma</w:t>
            </w:r>
          </w:p>
        </w:tc>
        <w:tc>
          <w:tcPr/>
          <w:p>
            <w:pPr>
              <w:pStyle w:val="Compact"/>
              <w:jc w:val="center"/>
            </w:pPr>
            <w:r>
              <w:t xml:space="preserve">is alta em dias de turno noturno</w:t>
            </w:r>
          </w:p>
        </w:tc>
      </w:tr>
      <w:tr>
        <w:tc>
          <w:tcPr/>
          <w:p>
            <w:pPr>
              <w:pStyle w:val="Compact"/>
            </w:pPr>
            <w:r>
              <w:t xml:space="preserve">Tempo entre 70–180 mg/dL</w:t>
            </w:r>
          </w:p>
        </w:tc>
        <w:tc>
          <w:tcPr/>
          <w:p>
            <w:pPr>
              <w:pStyle w:val="Compact"/>
            </w:pPr>
            <w:r>
              <w:t xml:space="preserve">38%</w:t>
            </w:r>
          </w:p>
        </w:tc>
        <w:tc>
          <w:tcPr/>
          <w:p>
            <w:pPr>
              <w:pStyle w:val="Compact"/>
              <w:jc w:val="center"/>
            </w:pPr>
            <w:r>
              <w:t xml:space="preserve">Melhor em fins de semana com refeições regulares</w:t>
            </w:r>
          </w:p>
        </w:tc>
      </w:tr>
      <w:tr>
        <w:tc>
          <w:tcPr/>
          <w:p>
            <w:pPr>
              <w:pStyle w:val="Compact"/>
            </w:pPr>
            <w:r>
              <w:t xml:space="preserve">Tempo acima de 180 mg/dL</w:t>
            </w:r>
          </w:p>
        </w:tc>
        <w:tc>
          <w:tcPr/>
          <w:p>
            <w:pPr>
              <w:pStyle w:val="Compact"/>
            </w:pPr>
            <w:r>
              <w:t xml:space="preserve">59%</w:t>
            </w:r>
          </w:p>
        </w:tc>
        <w:tc>
          <w:tcPr/>
          <w:p>
            <w:pPr>
              <w:pStyle w:val="Compact"/>
              <w:jc w:val="center"/>
            </w:pPr>
            <w:r>
              <w:t xml:space="preserve">Concentrado após refeições noturnas / de fim de noite</w:t>
            </w:r>
          </w:p>
        </w:tc>
      </w:tr>
      <w:tr>
        <w:tc>
          <w:tcPr/>
          <w:p>
            <w:pPr>
              <w:pStyle w:val="Compact"/>
            </w:pPr>
            <w:r>
              <w:t xml:space="preserve">Tempo abaixo de 70 mg/dL</w:t>
            </w:r>
          </w:p>
        </w:tc>
        <w:tc>
          <w:tcPr/>
          <w:p>
            <w:pPr>
              <w:pStyle w:val="Compact"/>
            </w:pPr>
            <w:r>
              <w:t xml:space="preserve">3%</w:t>
            </w:r>
          </w:p>
        </w:tc>
        <w:tc>
          <w:tcPr/>
          <w:p>
            <w:pPr>
              <w:pStyle w:val="Compact"/>
              <w:jc w:val="center"/>
            </w:pPr>
            <w:r>
              <w:t xml:space="preserve">Dois episódios noturnos</w:t>
            </w:r>
          </w:p>
        </w:tc>
      </w:tr>
      <w:tr>
        <w:tc>
          <w:tcPr/>
          <w:p>
            <w:pPr>
              <w:pStyle w:val="Compact"/>
            </w:pPr>
            <w:r>
              <w:t xml:space="preserve">Equivalente estimado de A1c</w:t>
            </w:r>
          </w:p>
        </w:tc>
        <w:tc>
          <w:tcPr/>
          <w:p>
            <w:pPr>
              <w:pStyle w:val="Compact"/>
            </w:pPr>
            <w:r>
              <w:t xml:space="preserve">8,7%</w:t>
            </w:r>
          </w:p>
        </w:tc>
        <w:tc>
          <w:tcPr/>
          <w:p>
            <w:pPr>
              <w:pStyle w:val="Compact"/>
              <w:jc w:val="center"/>
            </w:pPr>
            <w:r>
              <w:t xml:space="preserve">Menor do que a A1c laboratorial</w:t>
            </w:r>
          </w:p>
        </w:tc>
      </w:tr>
      <w:tr>
        <w:tc>
          <w:tcPr/>
          <w:p>
            <w:pPr>
              <w:pStyle w:val="Compact"/>
            </w:pPr>
            <w:r>
              <w:t xml:space="preserve">Variabilidade diária</w:t>
            </w:r>
          </w:p>
        </w:tc>
        <w:tc>
          <w:tcPr/>
          <w:p>
            <w:pPr>
              <w:pStyle w:val="Compact"/>
            </w:pPr>
            <w:r>
              <w:t xml:space="preserve">Alta</w:t>
            </w:r>
          </w:p>
        </w:tc>
        <w:tc>
          <w:tcPr/>
          <w:p>
            <w:pPr>
              <w:pStyle w:val="Compact"/>
              <w:jc w:val="center"/>
            </w:pPr>
            <w:r>
              <w:t xml:space="preserve">Horários de refeição e medicação ambos mudaram</w:t>
            </w:r>
          </w:p>
        </w:tc>
      </w:tr>
    </w:tbl>
    <w:p>
      <w:pPr>
        <w:pStyle w:val="BodyText"/>
      </w:pPr>
      <w:r>
        <w:t xml:space="preserve">O farmacêutico viu evidência de que a medicação atual poderia contribuir para baixas noturnas quando Reed pulava refeições. O educador viu um problema de horário de refeições. Park viu evidência de que um medicamento mais eficaz poderia ser necessário. Reed viu um dispositivo que apitava durante reuniões, afrouxava quando ele suava, e o deixava ansioso sempre que o gráfico se movia bruscamente.</w:t>
      </w:r>
    </w:p>
    <w:p>
      <w:pPr>
        <w:pStyle w:val="BodyText"/>
      </w:pPr>
      <w:r>
        <w:t xml:space="preserve">O monitor também criou questões sobre a própria observação. Reed relatou mudar o que comia porque sabia que o dispositivo estava registrando. Se o monitoramento melhorou seu comportamento, isso poderia fazer parte do tratamento. Se apenas produziu duas semanas incomumente disciplinadas, suas previsões de controle futuro poderiam ser enganosas.</w:t>
      </w:r>
    </w:p>
    <w:bookmarkEnd w:id="12"/>
    <w:bookmarkEnd w:id="13"/>
    <w:bookmarkStart w:id="15" w:name="o-caminho-de-tratamento-até-agora"/>
    <w:p>
      <w:pPr>
        <w:pStyle w:val="Heading1"/>
      </w:pPr>
      <w:r>
        <w:t xml:space="preserve">O Caminho de Tratamento até Agora</w:t>
      </w:r>
    </w:p>
    <w:p>
      <w:pPr>
        <w:pStyle w:val="FirstParagraph"/>
      </w:pPr>
      <w:r>
        <w:t xml:space="preserve">Quando Reed foi diagnosticado, sua A1c diminuiu depois que ele mudou sua dieta, caminhou regularmente, e começou a tomar metformina. Com o tempo, os benefícios enfraqueceram. Aumentar a dose causava problemas estomacais. Uma dose menor era tolerável, mas parecia insuficiente. Um segundo medicamento oral melhorou as leituras, mas introduziu uma preocupação maior com glicose baixa quando as refeições eram atrasadas. Reed resistia a injeções, em parte porque as associava com o diabetes grave vivido por seu pai.</w:t>
      </w:r>
    </w:p>
    <w:p>
      <w:pPr>
        <w:pStyle w:val="BodyText"/>
      </w:pPr>
      <w:r>
        <w:t xml:space="preserve">Os clínicos da Lakeside tinham vários caminhos amplos de tratamento disponíveis. Medicamentos mais novos poderiam melhorar os níveis de glicose e, às vezes, ajudar com peso ou risco cardiovascular, mas a aprovação do seguro e a despesa do próprio bolso variavam. A insulina poderia reduzir a glicose de forma confiável quando tomada e ajustada adequadamente, mas exigia educação, monitoramento e atenção ao risco de glicose baixa. A tecnologia poderia revelar padrões, mas somente se Reed a usasse e a equipe de cuidados tivesse tempo para interpretar os dados.</w:t>
      </w:r>
    </w:p>
    <w:bookmarkStart w:id="14" w:name="X610fcaaa5d0e0681f21dc2e2baaa015c2c7f676"/>
    <w:p>
      <w:pPr>
        <w:pStyle w:val="Heading2"/>
      </w:pPr>
      <w:r>
        <w:t xml:space="preserve">Exhibit 3. Estimativas de Planejamento para Abordagens Selecionadas</w:t>
      </w:r>
    </w:p>
    <w:tbl>
      <w:tblPr>
        <w:tblStyle w:val="Table"/>
        <w:tblW w:type="pct" w:w="4928"/>
        <w:tblLayout w:type="fixed"/>
        <w:tblLook w:firstRow="1" w:lastRow="0" w:firstColumn="0" w:lastColumn="0" w:noHBand="0" w:noVBand="0" w:val="0020"/>
      </w:tblPr>
      <w:tblGrid>
        <w:gridCol w:w="2180"/>
        <w:gridCol w:w="1549"/>
        <w:gridCol w:w="2008"/>
        <w:gridCol w:w="2066"/>
      </w:tblGrid>
      <w:tr>
        <w:trPr>
          <w:tblHeader w:val="on"/>
        </w:trPr>
        <w:tc>
          <w:tcPr/>
          <w:p>
            <w:pPr>
              <w:pStyle w:val="Compact"/>
              <w:jc w:val="left"/>
            </w:pPr>
            <w:r>
              <w:t xml:space="preserve">Abordagem</w:t>
            </w:r>
          </w:p>
        </w:tc>
        <w:tc>
          <w:tcPr/>
          <w:p>
            <w:pPr>
              <w:pStyle w:val="Compact"/>
              <w:jc w:val="right"/>
            </w:pPr>
            <w:r>
              <w:t xml:space="preserve">Custo estimado do paciente</w:t>
            </w:r>
          </w:p>
        </w:tc>
        <w:tc>
          <w:tcPr/>
          <w:p>
            <w:pPr>
              <w:pStyle w:val="Compact"/>
            </w:pPr>
            <w:r>
              <w:t xml:space="preserve">* Esforço da clínica nos primeir</w:t>
            </w:r>
          </w:p>
        </w:tc>
        <w:tc>
          <w:tcPr/>
          <w:p>
            <w:pPr>
              <w:pStyle w:val="Compact"/>
            </w:pPr>
            <w:r>
              <w:t xml:space="preserve">os 90 dias Preocupação principal</w:t>
            </w:r>
          </w:p>
        </w:tc>
      </w:tr>
      <w:tr>
        <w:tc>
          <w:tcPr/>
          <w:p>
            <w:pPr>
              <w:pStyle w:val="Compact"/>
              <w:jc w:val="left"/>
            </w:pPr>
            <w:r>
              <w:t xml:space="preserve">Simplificar regime oral</w:t>
            </w:r>
          </w:p>
        </w:tc>
        <w:tc>
          <w:tcPr/>
          <w:p>
            <w:pPr>
              <w:pStyle w:val="Compact"/>
              <w:jc w:val="right"/>
            </w:pPr>
            <w:r>
              <w:t xml:space="preserve">$15–$55/mês</w:t>
            </w:r>
          </w:p>
        </w:tc>
        <w:tc>
          <w:tcPr/>
          <w:p>
            <w:pPr>
              <w:pStyle w:val="Compact"/>
            </w:pPr>
            <w:r>
              <w:t xml:space="preserve">2 consultas + acompanhamento por te</w:t>
            </w:r>
          </w:p>
        </w:tc>
        <w:tc>
          <w:tcPr/>
          <w:p>
            <w:pPr>
              <w:pStyle w:val="Compact"/>
            </w:pPr>
            <w:r>
              <w:t xml:space="preserve">lefone Pode não reduzir a glicose o suficiente</w:t>
            </w:r>
          </w:p>
        </w:tc>
      </w:tr>
      <w:tr>
        <w:tc>
          <w:tcPr/>
          <w:p>
            <w:pPr>
              <w:pStyle w:val="Compact"/>
              <w:jc w:val="left"/>
            </w:pPr>
            <w:r>
              <w:t xml:space="preserve">Adicionar injetável semanal mais novo</w:t>
            </w:r>
          </w:p>
        </w:tc>
        <w:tc>
          <w:tcPr/>
          <w:p>
            <w:pPr>
              <w:pStyle w:val="Compact"/>
              <w:jc w:val="right"/>
            </w:pPr>
            <w:r>
              <w:t xml:space="preserve">$90–$550</w:t>
            </w:r>
          </w:p>
        </w:tc>
        <w:tc>
          <w:tcPr/>
          <w:p>
            <w:pPr>
              <w:pStyle w:val="Compact"/>
            </w:pPr>
            <w:r>
              <w:t xml:space="preserve">/mês Autorização prévia +</w:t>
            </w:r>
          </w:p>
        </w:tc>
        <w:tc>
          <w:tcPr/>
          <w:p>
            <w:pPr>
              <w:pStyle w:val="Compact"/>
            </w:pPr>
            <w:r>
              <w:t xml:space="preserve">3 contatos Custo, tolerância, disponibilidade</w:t>
            </w:r>
          </w:p>
        </w:tc>
      </w:tr>
      <w:tr>
        <w:tc>
          <w:tcPr/>
          <w:p>
            <w:pPr>
              <w:pStyle w:val="Compact"/>
              <w:jc w:val="left"/>
            </w:pPr>
            <w:r>
              <w:t xml:space="preserve">Iniciar insulina basal</w:t>
            </w:r>
          </w:p>
        </w:tc>
        <w:tc>
          <w:tcPr/>
          <w:p>
            <w:pPr>
              <w:pStyle w:val="Compact"/>
              <w:jc w:val="right"/>
            </w:pPr>
            <w:r>
              <w:t xml:space="preserve">$35–$140/mês</w:t>
            </w:r>
          </w:p>
        </w:tc>
        <w:tc>
          <w:tcPr/>
          <w:p>
            <w:pPr>
              <w:pStyle w:val="Compact"/>
            </w:pPr>
            <w:r>
              <w:t xml:space="preserve">Treinamento + revisão frequente da</w:t>
            </w:r>
          </w:p>
        </w:tc>
        <w:tc>
          <w:tcPr/>
          <w:p>
            <w:pPr>
              <w:pStyle w:val="Compact"/>
            </w:pPr>
            <w:r>
              <w:t xml:space="preserve">dose Glicose baixa; resistência à injeção</w:t>
            </w:r>
          </w:p>
        </w:tc>
      </w:tr>
      <w:tr>
        <w:tc>
          <w:tcPr/>
          <w:p>
            <w:pPr>
              <w:pStyle w:val="Compact"/>
              <w:jc w:val="left"/>
            </w:pPr>
            <w:r>
              <w:t xml:space="preserve">Continuar CGM por 90 dias</w:t>
            </w:r>
          </w:p>
        </w:tc>
        <w:tc>
          <w:tcPr/>
          <w:p>
            <w:pPr>
              <w:pStyle w:val="Compact"/>
              <w:jc w:val="right"/>
            </w:pPr>
            <w:r>
              <w:t xml:space="preserve">$0–$180/mês</w:t>
            </w:r>
          </w:p>
        </w:tc>
        <w:tc>
          <w:tcPr/>
          <w:p>
            <w:pPr>
              <w:pStyle w:val="Compact"/>
            </w:pPr>
            <w:r>
              <w:t xml:space="preserve">Revisão de dados a cada 2–4 sema</w:t>
            </w:r>
          </w:p>
        </w:tc>
        <w:tc>
          <w:tcPr/>
          <w:p>
            <w:pPr>
              <w:pStyle w:val="Compact"/>
            </w:pPr>
            <w:r>
              <w:t xml:space="preserve">nas Cobertura e uso sustentado</w:t>
            </w:r>
          </w:p>
        </w:tc>
      </w:tr>
      <w:tr>
        <w:tc>
          <w:tcPr/>
          <w:p>
            <w:pPr>
              <w:pStyle w:val="Compact"/>
              <w:jc w:val="left"/>
            </w:pPr>
            <w:r>
              <w:t xml:space="preserve">Suporte intensivo de estilo de vida</w:t>
            </w:r>
          </w:p>
        </w:tc>
        <w:tc>
          <w:tcPr/>
          <w:p>
            <w:pPr>
              <w:pStyle w:val="Compact"/>
              <w:jc w:val="right"/>
            </w:pPr>
            <w:r>
              <w:t xml:space="preserve">$0–$350 total</w:t>
            </w:r>
          </w:p>
        </w:tc>
        <w:tc>
          <w:tcPr/>
          <w:p>
            <w:pPr>
              <w:pStyle w:val="Compact"/>
            </w:pPr>
            <w:r>
              <w:t xml:space="preserve">Nutricionista + educador + coachin</w:t>
            </w:r>
          </w:p>
        </w:tc>
        <w:tc>
          <w:tcPr/>
          <w:p>
            <w:pPr>
              <w:pStyle w:val="Compact"/>
            </w:pPr>
            <w:r>
              <w:t xml:space="preserve">g Comparecimento e escala de trabalho</w:t>
            </w:r>
          </w:p>
        </w:tc>
      </w:tr>
      <w:tr>
        <w:tc>
          <w:tcPr/>
          <w:p>
            <w:pPr>
              <w:pStyle w:val="Compact"/>
              <w:jc w:val="left"/>
            </w:pPr>
            <w:r>
              <w:t xml:space="preserve">Plano combinado de medicação/tecnologi</w:t>
            </w:r>
          </w:p>
        </w:tc>
        <w:tc>
          <w:tcPr/>
          <w:p>
            <w:pPr>
              <w:pStyle w:val="Compact"/>
              <w:jc w:val="right"/>
            </w:pPr>
            <w:r>
              <w:t xml:space="preserve">a $125–$700/mês</w:t>
            </w:r>
          </w:p>
        </w:tc>
        <w:tc>
          <w:tcPr/>
          <w:p>
            <w:pPr>
              <w:pStyle w:val="Compact"/>
            </w:pPr>
            <w:r>
              <w:t xml:space="preserve">Maior coordenação inicial C</w:t>
            </w:r>
          </w:p>
        </w:tc>
        <w:tc>
          <w:tcPr/>
          <w:p>
            <w:pPr>
              <w:pStyle w:val="Compact"/>
            </w:pPr>
            <w:r>
              <w:t xml:space="preserve">omplexidade e abandono</w:t>
            </w:r>
          </w:p>
        </w:tc>
      </w:tr>
    </w:tbl>
    <w:p>
      <w:pPr>
        <w:pStyle w:val="BodyText"/>
      </w:pPr>
      <w:r>
        <w:t xml:space="preserve">*Estimativas fictícias ilustrativas após seguro; os custos reais variam amplamente conforme o plano, elegibilidade, farmácia e produto.</w:t>
      </w:r>
    </w:p>
    <w:bookmarkEnd w:id="14"/>
    <w:bookmarkEnd w:id="15"/>
    <w:bookmarkStart w:id="16" w:name="a-versão-do-paciente-sobre-o-problema"/>
    <w:p>
      <w:pPr>
        <w:pStyle w:val="Heading1"/>
      </w:pPr>
      <w:r>
        <w:t xml:space="preserve">A Versão do Paciente sobre o Problema</w:t>
      </w:r>
    </w:p>
    <w:p>
      <w:pPr>
        <w:pStyle w:val="FirstParagraph"/>
      </w:pPr>
      <w:r>
        <w:t xml:space="preserve">Quando Park perguntou a Reed o que tornava o plano mais difícil, ele não começou com a glicose. Ele descreveu fadiga, mudanças de turno, as consultas de sua mãe, e o medo de que um novo medicamento criasse efeitos colaterais que ele não pudesse gerenciar no trabalho. Ele queria evitar diálise e amputação, que havia visto em parentes, mas esses riscos pareciam distantes em comparação com um turno perdido ou uma conta de farmácia de $400.</w:t>
      </w:r>
    </w:p>
    <w:p>
      <w:pPr>
        <w:pStyle w:val="BodyText"/>
      </w:pPr>
      <w:r>
        <w:t xml:space="preserve">Reed disse que conseguia caminhar depois do jantar em turnos diurnos, mas não com segurança perto da fábrica às 2h da manhã. O refeitório dos funcionários publicava informações nutricionais de forma inconsistente. Ele às vezes mantinha comida por perto para evitar glicose baixa, e então a comia mesmo quando a leitura não estava baixa porque estava com fome. Ele estava disposto a tentar outro monitor, mas não queria que colegas de trabalho vissem alertas em seu telefone.</w:t>
      </w:r>
    </w:p>
    <w:p>
      <w:pPr>
        <w:pStyle w:val="BodyText"/>
      </w:pPr>
      <w:r>
        <w:t xml:space="preserve">O conselheiro financeiro descobriu que uma medicação exigiria uma coparticipação alta até que Reed atingisse sua franquia. Um programa de assistência do fabricante poderia reduzir o custo, mas a elegibilidade teria que ser renovada e poderia mudar. O monitor poderia ser coberto porque Reed tinha leituras baixas documentadas, embora a seguradora pudesse solicitar evidência de ajuste frequente de medicação. Em janeiro, a franquia seria reiniciada, potencialmente mudando qual plano Reed poderia pagar justamente quando a equipe descobrisse se funcionou.</w:t>
      </w:r>
    </w:p>
    <w:bookmarkEnd w:id="16"/>
    <w:bookmarkStart w:id="18" w:name="capacidade-na-lakeside"/>
    <w:p>
      <w:pPr>
        <w:pStyle w:val="Heading1"/>
      </w:pPr>
      <w:r>
        <w:t xml:space="preserve">Capacidade na Lakeside</w:t>
      </w:r>
    </w:p>
    <w:p>
      <w:pPr>
        <w:pStyle w:val="FirstParagraph"/>
      </w:pPr>
      <w:r>
        <w:t xml:space="preserve">A Lakeside atendia 11.800 adultos com diabetes diagnosticado em sete clínicas. Seu programa de gestão de cuidados priorizava pacientes com valores altos de A1c, uso hospitalar recente, gravidez, doença renal, ou dificuldade em obter medicação. A clínica Northgate tinha um educador compartilhado com duas localidades e um farmacêutico disponível três meios-dias por semana. A demanda por consultas excedia a capacidade.</w:t>
      </w:r>
    </w:p>
    <w:p>
      <w:pPr>
        <w:pStyle w:val="BodyText"/>
      </w:pPr>
      <w:r>
        <w:t xml:space="preserve">A gerente de cuidados propôs check-ins semanais por mensagem de texto e revisão rápida de medicação. O diretor médico questionou se a equipe deveria dedicar esse nível de atenção a um paciente relativamente estável quando outros haviam visitado recentemente os pronto-socorros. O diretor financeiro observou que muitas atividades de coordenação eram mal reembolsadas, mesmo que prevenissem complicações caras anos depois.</w:t>
      </w:r>
    </w:p>
    <w:bookmarkStart w:id="17" w:name="Xaa6c9413dd717d2fceab1bd1594d421e12dd9b4"/>
    <w:p>
      <w:pPr>
        <w:pStyle w:val="Heading2"/>
      </w:pPr>
      <w:r>
        <w:t xml:space="preserve">Exhibit 4. Programa de Diabetes da Lakeside, Últimos 12 Meses</w:t>
      </w:r>
    </w:p>
    <w:tbl>
      <w:tblPr>
        <w:tblStyle w:val="Table"/>
        <w:tblW w:type="pct" w:w="4792"/>
        <w:tblLayout w:type="fixed"/>
        <w:tblLook w:firstRow="1" w:lastRow="0" w:firstColumn="0" w:lastColumn="0" w:noHBand="0" w:noVBand="0" w:val="0020"/>
      </w:tblPr>
      <w:tblGrid>
        <w:gridCol w:w="5170"/>
        <w:gridCol w:w="2420"/>
      </w:tblGrid>
      <w:tr>
        <w:trPr>
          <w:tblHeader w:val="on"/>
        </w:trPr>
        <w:tc>
          <w:tcPr/>
          <w:p>
            <w:pPr>
              <w:pStyle w:val="Compact"/>
              <w:jc w:val="left"/>
            </w:pPr>
            <w:r>
              <w:t xml:space="preserve">Indicador do programa</w:t>
            </w:r>
          </w:p>
        </w:tc>
        <w:tc>
          <w:tcPr/>
          <w:p>
            <w:pPr>
              <w:pStyle w:val="Compact"/>
              <w:jc w:val="center"/>
            </w:pPr>
            <w:r>
              <w:t xml:space="preserve">Resultado</w:t>
            </w:r>
          </w:p>
        </w:tc>
      </w:tr>
      <w:tr>
        <w:tc>
          <w:tcPr/>
          <w:p>
            <w:pPr>
              <w:pStyle w:val="Compact"/>
              <w:jc w:val="left"/>
            </w:pPr>
            <w:r>
              <w:t xml:space="preserve">Adultos com diabetes diagnosticado</w:t>
            </w:r>
          </w:p>
        </w:tc>
        <w:tc>
          <w:tcPr/>
          <w:p>
            <w:pPr>
              <w:pStyle w:val="Compact"/>
              <w:jc w:val="center"/>
            </w:pPr>
            <w:r>
              <w:t xml:space="preserve">11.800</w:t>
            </w:r>
          </w:p>
        </w:tc>
      </w:tr>
      <w:tr>
        <w:tc>
          <w:tcPr/>
          <w:p>
            <w:pPr>
              <w:pStyle w:val="Compact"/>
              <w:jc w:val="left"/>
            </w:pPr>
            <w:r>
              <w:t xml:space="preserve">Pacientes com A1c mais recente ≥9%</w:t>
            </w:r>
          </w:p>
        </w:tc>
        <w:tc>
          <w:tcPr/>
          <w:p>
            <w:pPr>
              <w:pStyle w:val="Compact"/>
              <w:jc w:val="center"/>
            </w:pPr>
            <w:r>
              <w:t xml:space="preserve">2.140</w:t>
            </w:r>
          </w:p>
        </w:tc>
      </w:tr>
      <w:tr>
        <w:tc>
          <w:tcPr/>
          <w:p>
            <w:pPr>
              <w:pStyle w:val="Compact"/>
              <w:jc w:val="left"/>
            </w:pPr>
            <w:r>
              <w:t xml:space="preserve">Pacientes sem teste de A1c em 12 meses 1.3</w:t>
            </w:r>
          </w:p>
        </w:tc>
        <w:tc>
          <w:tcPr/>
          <w:p>
            <w:pPr>
              <w:pStyle w:val="Compact"/>
              <w:jc w:val="center"/>
            </w:pPr>
            <w:r>
              <w:t xml:space="preserve">30</w:t>
            </w:r>
          </w:p>
        </w:tc>
      </w:tr>
      <w:tr>
        <w:tc>
          <w:tcPr/>
          <w:p>
            <w:pPr>
              <w:pStyle w:val="Compact"/>
              <w:jc w:val="left"/>
            </w:pPr>
            <w:r>
              <w:t xml:space="preserve">Pacientes com atraso em triagem de retina</w:t>
            </w:r>
          </w:p>
        </w:tc>
        <w:tc>
          <w:tcPr/>
          <w:p>
            <w:pPr>
              <w:pStyle w:val="Compact"/>
              <w:jc w:val="center"/>
            </w:pPr>
            <w:r>
              <w:t xml:space="preserve">3.420</w:t>
            </w:r>
          </w:p>
        </w:tc>
      </w:tr>
      <w:tr>
        <w:tc>
          <w:tcPr/>
          <w:p>
            <w:pPr>
              <w:pStyle w:val="Compact"/>
              <w:jc w:val="left"/>
            </w:pPr>
            <w:r>
              <w:t xml:space="preserve">Visitas de emergência relacionadas ao diabetes</w:t>
            </w:r>
          </w:p>
        </w:tc>
        <w:tc>
          <w:tcPr/>
          <w:p>
            <w:pPr>
              <w:pStyle w:val="Compact"/>
              <w:jc w:val="center"/>
            </w:pPr>
            <w:r>
              <w:t xml:space="preserve">684</w:t>
            </w:r>
          </w:p>
        </w:tc>
      </w:tr>
      <w:tr>
        <w:tc>
          <w:tcPr/>
          <w:p>
            <w:pPr>
              <w:pStyle w:val="Compact"/>
              <w:jc w:val="left"/>
            </w:pPr>
            <w:r>
              <w:t xml:space="preserve">Consultas com educador concluídas 3</w:t>
            </w:r>
          </w:p>
        </w:tc>
        <w:tc>
          <w:tcPr/>
          <w:p>
            <w:pPr>
              <w:pStyle w:val="Compact"/>
              <w:jc w:val="center"/>
            </w:pPr>
            <w:r>
              <w:t xml:space="preserve">.760</w:t>
            </w:r>
          </w:p>
        </w:tc>
      </w:tr>
      <w:tr>
        <w:tc>
          <w:tcPr/>
          <w:p>
            <w:pPr>
              <w:pStyle w:val="Compact"/>
              <w:jc w:val="left"/>
            </w:pPr>
            <w:r>
              <w:t xml:space="preserve">Taxa de falta / cancelamento tardio do educador</w:t>
            </w:r>
          </w:p>
        </w:tc>
        <w:tc>
          <w:tcPr/>
          <w:p>
            <w:pPr>
              <w:pStyle w:val="Compact"/>
              <w:jc w:val="center"/>
            </w:pPr>
            <w:r>
              <w:t xml:space="preserve">24%</w:t>
            </w:r>
          </w:p>
        </w:tc>
      </w:tr>
      <w:tr>
        <w:tc>
          <w:tcPr/>
          <w:p>
            <w:pPr>
              <w:pStyle w:val="Compact"/>
              <w:jc w:val="left"/>
            </w:pPr>
            <w:r>
              <w:t xml:space="preserve">Carga média de casos do farmacêutico</w:t>
            </w:r>
          </w:p>
        </w:tc>
        <w:tc>
          <w:tcPr/>
          <w:p>
            <w:pPr>
              <w:pStyle w:val="Compact"/>
              <w:jc w:val="center"/>
            </w:pPr>
            <w:r>
              <w:t xml:space="preserve">286 pacientes ativos</w:t>
            </w:r>
          </w:p>
        </w:tc>
      </w:tr>
      <w:tr>
        <w:tc>
          <w:tcPr/>
          <w:p>
            <w:pPr>
              <w:pStyle w:val="Compact"/>
              <w:jc w:val="left"/>
            </w:pPr>
            <w:r>
              <w:t xml:space="preserve">Despesa não reembolsada de gestão de cuidados</w:t>
            </w:r>
          </w:p>
        </w:tc>
        <w:tc>
          <w:tcPr/>
          <w:p>
            <w:pPr>
              <w:pStyle w:val="Compact"/>
              <w:jc w:val="center"/>
            </w:pPr>
            <w:r>
              <w:t xml:space="preserve">$1,18 milhão</w:t>
            </w:r>
          </w:p>
        </w:tc>
      </w:tr>
    </w:tbl>
    <w:p>
      <w:pPr>
        <w:pStyle w:val="BodyText"/>
      </w:pPr>
      <w:r>
        <w:t xml:space="preserve">O painel de qualidade da clínica recompensava o controle melhorado de A1c e a conclusão de triagens selecionadas, mas não capturava totalmente episódios graves de glicose baixa evitados, carga de tratamento, estresse financeiro, ou se a melhora persistiria. Um plano de medicação que produzisse uma A1c mais baixa mas causasse leituras baixas repetidas ou dificuldade financeira poderia parecer bem-sucedido em um relatório e prejudicial em outro.</w:t>
      </w:r>
    </w:p>
    <w:bookmarkEnd w:id="17"/>
    <w:bookmarkEnd w:id="18"/>
    <w:bookmarkStart w:id="19" w:name="interpretações-diferentes"/>
    <w:p>
      <w:pPr>
        <w:pStyle w:val="Heading1"/>
      </w:pPr>
      <w:r>
        <w:t xml:space="preserve">Interpretações Diferentes</w:t>
      </w:r>
    </w:p>
    <w:p>
      <w:pPr>
        <w:pStyle w:val="FirstParagraph"/>
      </w:pPr>
      <w:r>
        <w:t xml:space="preserve">Cada membro da equipe de cuidados enquadrou o caso de Reed de forma diferente. O farmacêutico favorecia remover a medicação associada às leituras baixas e substituí-la por um medicamento com menor risco de hipoglicemia, assumindo que a cobertura pudesse ser providenciada. O educador queria começar com um plano que Reed pudesse executar em ambos os horários de turno. A enfermeira gerente de cuidados argumentou que a equipe precisava de mais observações frequentes antes de fazer outra mudança grande. Park se preocupava que esperar por informações melhores prolongasse a exposição à glicose alta.</w:t>
      </w:r>
    </w:p>
    <w:p>
      <w:pPr>
        <w:pStyle w:val="BodyText"/>
      </w:pPr>
      <w:r>
        <w:t xml:space="preserve">As prioridades de Reed não se encaixavam claramente em nenhuma proposta. Ele queria mais energia, menos interrupções no trabalho, proteção contra complicações de longo prazo, e um custo mensal que pudesse prever. Ele estava disposto a fazer mudanças, mas não todas de uma vez. A equipe poderia simplificar o plano, intensificá-lo, ou fazê-lo por etapas—mas cada sequência afetaria o que aprenderiam sobre as causas da melhora ou do fracasso.</w:t>
      </w:r>
    </w:p>
    <w:bookmarkEnd w:id="19"/>
    <w:bookmarkStart w:id="21" w:name="a-escolha-dos-noventa-dias"/>
    <w:p>
      <w:pPr>
        <w:pStyle w:val="Heading1"/>
      </w:pPr>
      <w:r>
        <w:t xml:space="preserve">A Escolha dos Noventa Dias</w:t>
      </w:r>
    </w:p>
    <w:p>
      <w:pPr>
        <w:pStyle w:val="FirstParagraph"/>
      </w:pPr>
      <w:r>
        <w:t xml:space="preserve">A conferência de caso restringiu a discussão a três abordagens amplas.</w:t>
      </w:r>
    </w:p>
    <w:p>
      <w:pPr>
        <w:pStyle w:val="BodyText"/>
      </w:pPr>
      <w:r>
        <w:t xml:space="preserve">Abordagem A: Intensificar agora. A equipe substituiria o segundo medicamento atual, buscaria aprovação para um injetável semanal mais novo, continuaria o monitoramento contínuo, e agendaria acompanhamento frequente. O plano oferecia a maior chance de uma melhora rápida, mas também o maior custo, carga de coordenação, e risco de que efeitos colaterais ou atrasos de autorização fizessem Reed abandoná-lo.</w:t>
      </w:r>
    </w:p>
    <w:p>
      <w:pPr>
        <w:pStyle w:val="BodyText"/>
      </w:pPr>
      <w:r>
        <w:t xml:space="preserve">Abordagem B: Simplificar e estabilizar. A equipe projetaria um regime de menor custo em torno dos turnos rotativos de Reed, reduziria o risco de glicose baixa, focaria no horário das refeições e em atividade viável, e reavaliaria após três meses. O plano poderia ser mais fácil de sustentar, mas poderia deixar a glicose elevada enquanto a doença progredisse.</w:t>
      </w:r>
    </w:p>
    <w:p>
      <w:pPr>
        <w:pStyle w:val="BodyText"/>
      </w:pPr>
      <w:r>
        <w:t xml:space="preserve">Abordagem C: Aprender antes de se comprometer. A equipe usaria outro período de monitoramento, registros estruturados de refeição e medicação, e contatos remotos curtos para identificar padrões antes de selecionar uma mudança de terapia importante. A abordagem poderia revelar o que estava impulsionando a variabilidade, mas as informações adicionais poderiam ser incompletas, alteradas pela observação, ou chegar tarde demais para justificar o atraso.</w:t>
      </w:r>
    </w:p>
    <w:bookmarkStart w:id="20" w:name="X2dd3a9520c74836c10310f1fc18f20b1d755178"/>
    <w:p>
      <w:pPr>
        <w:pStyle w:val="Heading2"/>
      </w:pPr>
      <w:r>
        <w:t xml:space="preserve">Exhibit 5. Cenários de Planejamento de Noventa Dias</w:t>
      </w:r>
    </w:p>
    <w:tbl>
      <w:tblPr>
        <w:tblStyle w:val="Table"/>
        <w:tblW w:type="pct" w:w="4926"/>
        <w:tblLayout w:type="fixed"/>
        <w:tblLook w:firstRow="1" w:lastRow="0" w:firstColumn="0" w:lastColumn="0" w:noHBand="0" w:noVBand="0" w:val="0020"/>
      </w:tblPr>
      <w:tblGrid>
        <w:gridCol w:w="2445"/>
        <w:gridCol w:w="1106"/>
        <w:gridCol w:w="1281"/>
        <w:gridCol w:w="1106"/>
        <w:gridCol w:w="1863"/>
      </w:tblGrid>
      <w:tr>
        <w:trPr>
          <w:tblHeader w:val="on"/>
        </w:trPr>
        <w:tc>
          <w:tcPr/>
          <w:p>
            <w:pPr>
              <w:pStyle w:val="Compact"/>
            </w:pPr>
            <w:r>
              <w:t xml:space="preserve">Cenário A</w:t>
            </w:r>
          </w:p>
        </w:tc>
        <w:tc>
          <w:tcPr/>
          <w:p>
            <w:pPr>
              <w:pStyle w:val="Compact"/>
            </w:pPr>
            <w:r>
              <w:t xml:space="preserve">1c no acompanhament</w:t>
            </w:r>
          </w:p>
        </w:tc>
        <w:tc>
          <w:tcPr/>
          <w:p>
            <w:pPr>
              <w:pStyle w:val="Compact"/>
            </w:pPr>
            <w:r>
              <w:t xml:space="preserve">o Risco de glicose b</w:t>
            </w:r>
          </w:p>
        </w:tc>
        <w:tc>
          <w:tcPr/>
          <w:p>
            <w:pPr>
              <w:pStyle w:val="Compact"/>
            </w:pPr>
            <w:r>
              <w:t xml:space="preserve">aixa Carga do</w:t>
            </w:r>
          </w:p>
        </w:tc>
        <w:tc>
          <w:tcPr/>
          <w:p>
            <w:pPr>
              <w:pStyle w:val="Compact"/>
            </w:pPr>
            <w:r>
              <w:t xml:space="preserve">paciente Custo estimado do paciente em 90 dias</w:t>
            </w:r>
          </w:p>
        </w:tc>
      </w:tr>
      <w:tr>
        <w:tc>
          <w:tcPr/>
          <w:p>
            <w:pPr>
              <w:pStyle w:val="Compact"/>
            </w:pPr>
            <w:r>
              <w:t xml:space="preserve">Resposta forte / uso sustentado 7</w:t>
            </w:r>
          </w:p>
        </w:tc>
        <w:tc>
          <w:tcPr/>
          <w:p>
            <w:pPr>
              <w:pStyle w:val="Compact"/>
            </w:pPr>
            <w:r>
              <w:t xml:space="preserve">,4–8,0% B</w:t>
            </w:r>
          </w:p>
        </w:tc>
        <w:tc>
          <w:tcPr/>
          <w:p>
            <w:pPr>
              <w:pStyle w:val="Compact"/>
            </w:pPr>
            <w:r>
              <w:t xml:space="preserve">aixo a moderado</w:t>
            </w:r>
          </w:p>
        </w:tc>
        <w:tc>
          <w:tcPr/>
          <w:p>
            <w:pPr>
              <w:pStyle w:val="Compact"/>
            </w:pPr>
            <w:r>
              <w:t xml:space="preserve">Moderado</w:t>
            </w:r>
          </w:p>
        </w:tc>
        <w:tc>
          <w:tcPr/>
          <w:p>
            <w:pPr>
              <w:pStyle w:val="Compact"/>
            </w:pPr>
            <w:r>
              <w:t xml:space="preserve">$180–$1.600</w:t>
            </w:r>
          </w:p>
        </w:tc>
      </w:tr>
      <w:tr>
        <w:tc>
          <w:tcPr/>
          <w:p>
            <w:pPr>
              <w:pStyle w:val="Compact"/>
            </w:pPr>
            <w:r>
              <w:t xml:space="preserve">Resposta parcial</w:t>
            </w:r>
          </w:p>
        </w:tc>
        <w:tc>
          <w:tcPr/>
          <w:p>
            <w:pPr>
              <w:pStyle w:val="Compact"/>
            </w:pPr>
            <w:r>
              <w:t xml:space="preserve">8,1–8,7%</w:t>
            </w:r>
          </w:p>
        </w:tc>
        <w:tc>
          <w:tcPr/>
          <w:p>
            <w:pPr>
              <w:pStyle w:val="Compact"/>
            </w:pPr>
            <w:r>
              <w:t xml:space="preserve">Varia conforme o regim</w:t>
            </w:r>
          </w:p>
        </w:tc>
        <w:tc>
          <w:tcPr/>
          <w:p>
            <w:pPr>
              <w:pStyle w:val="Compact"/>
            </w:pPr>
            <w:r>
              <w:t xml:space="preserve">e Moderado a a</w:t>
            </w:r>
          </w:p>
        </w:tc>
        <w:tc>
          <w:tcPr/>
          <w:p>
            <w:pPr>
              <w:pStyle w:val="Compact"/>
            </w:pPr>
            <w:r>
              <w:t xml:space="preserve">lto $120–$1.500</w:t>
            </w:r>
          </w:p>
        </w:tc>
      </w:tr>
      <w:tr>
        <w:tc>
          <w:tcPr/>
          <w:p>
            <w:pPr>
              <w:pStyle w:val="Compact"/>
            </w:pPr>
            <w:r>
              <w:t xml:space="preserve">Efeitos colaterais ou não adesão</w:t>
            </w:r>
          </w:p>
        </w:tc>
        <w:tc>
          <w:tcPr/>
          <w:p>
            <w:pPr>
              <w:pStyle w:val="Compact"/>
            </w:pPr>
            <w:r>
              <w:t xml:space="preserve">8,8–9,5%</w:t>
            </w:r>
          </w:p>
        </w:tc>
        <w:tc>
          <w:tcPr/>
          <w:p>
            <w:pPr>
              <w:pStyle w:val="Compact"/>
            </w:pPr>
            <w:r>
              <w:t xml:space="preserve">Incerto</w:t>
            </w:r>
          </w:p>
        </w:tc>
        <w:tc>
          <w:tcPr/>
          <w:p>
            <w:pPr>
              <w:pStyle w:val="Compact"/>
            </w:pPr>
            <w:r>
              <w:t xml:space="preserve">Alto</w:t>
            </w:r>
          </w:p>
        </w:tc>
        <w:tc>
          <w:tcPr/>
          <w:p>
            <w:pPr>
              <w:pStyle w:val="Compact"/>
            </w:pPr>
            <w:r>
              <w:t xml:space="preserve">$75–$900</w:t>
            </w:r>
          </w:p>
        </w:tc>
      </w:tr>
      <w:tr>
        <w:tc>
          <w:tcPr/>
          <w:p>
            <w:pPr>
              <w:pStyle w:val="Compact"/>
            </w:pPr>
            <w:r>
              <w:t xml:space="preserve">Interrupção de cobertura</w:t>
            </w:r>
          </w:p>
        </w:tc>
        <w:tc>
          <w:tcPr/>
          <w:p>
            <w:pPr>
              <w:pStyle w:val="Compact"/>
            </w:pPr>
            <w:r>
              <w:t xml:space="preserve">8,6–9,4%</w:t>
            </w:r>
          </w:p>
        </w:tc>
        <w:tc>
          <w:tcPr/>
          <w:p>
            <w:pPr>
              <w:pStyle w:val="Compact"/>
            </w:pPr>
            <w:r>
              <w:t xml:space="preserve">Depende do plano alt</w:t>
            </w:r>
          </w:p>
        </w:tc>
        <w:tc>
          <w:tcPr/>
          <w:p>
            <w:pPr>
              <w:pStyle w:val="Compact"/>
            </w:pPr>
            <w:r>
              <w:t xml:space="preserve">ernativo Alto</w:t>
            </w:r>
          </w:p>
        </w:tc>
        <w:tc>
          <w:tcPr/>
          <w:p>
            <w:pPr>
              <w:pStyle w:val="Compact"/>
            </w:pPr>
            <w:r>
              <w:t xml:space="preserve">$100–$1.200</w:t>
            </w:r>
          </w:p>
        </w:tc>
      </w:tr>
      <w:tr>
        <w:tc>
          <w:tcPr/>
          <w:p>
            <w:pPr>
              <w:pStyle w:val="Compact"/>
            </w:pPr>
            <w:r>
              <w:t xml:space="preserve">Rotina melhorada sem terapia cara 7,9–8</w:t>
            </w:r>
          </w:p>
        </w:tc>
        <w:tc>
          <w:tcPr/>
          <w:p>
            <w:pPr>
              <w:pStyle w:val="Compact"/>
            </w:pPr>
            <w:r>
              <w:t xml:space="preserve">,5% Baixo</w:t>
            </w:r>
          </w:p>
        </w:tc>
        <w:tc>
          <w:tcPr/>
          <w:p>
            <w:pPr>
              <w:pStyle w:val="Compact"/>
            </w:pPr>
            <w:r>
              <w:t xml:space="preserve">Moderado</w:t>
            </w:r>
          </w:p>
        </w:tc>
        <w:tc>
          <w:tcPr/>
          <w:p>
            <w:pPr>
              <w:pStyle w:val="Compact"/>
            </w:pPr>
            <w:r>
              <w:t xml:space="preserve">$45–$4</w:t>
            </w:r>
          </w:p>
        </w:tc>
        <w:tc>
          <w:tcPr/>
          <w:p>
            <w:pPr>
              <w:pStyle w:val="Compact"/>
            </w:pPr>
            <w:r>
              <w:t xml:space="preserve">00</w:t>
            </w:r>
          </w:p>
        </w:tc>
      </w:tr>
    </w:tbl>
    <w:p>
      <w:pPr>
        <w:pStyle w:val="BodyText"/>
      </w:pPr>
      <w:r>
        <w:t xml:space="preserve">As faixas eram estimativas de planejamento, não previsões clínicas. Elas combinavam suposições sobre resposta biológica, acesso à medicação, padrões de refeição, atividade, adesão, e a qualidade das medições. O mesmo resultado observado poderia ter várias explicações. Uma A1c mais baixa poderia refletir o medicamento, uma mudança temporária de comportamento, menos turnos noturnos, ou os três. Um resultado decepcionante poderia significar que o tratamento foi ineficaz—ou que nunca foi implementado de forma consistente.</w:t>
      </w:r>
    </w:p>
    <w:bookmarkEnd w:id="20"/>
    <w:bookmarkEnd w:id="21"/>
    <w:bookmarkStart w:id="22" w:name="antes-de-o-paciente-retornar"/>
    <w:p>
      <w:pPr>
        <w:pStyle w:val="Heading1"/>
      </w:pPr>
      <w:r>
        <w:t xml:space="preserve">Antes de o Paciente Retornar</w:t>
      </w:r>
    </w:p>
    <w:p>
      <w:pPr>
        <w:pStyle w:val="FirstParagraph"/>
      </w:pPr>
      <w:r>
        <w:t xml:space="preserve">A equipe tinha vinte minutos antes de Reed retornar à sala de conferência. Park precisava propor um plano, decidir quais informações coletar, determinar com que frequência a clínica interviria, e explicar as trocas de forma que Reed pudesse usar. Ela também precisava decidir o que desencadearia uma mudança antes da consulta de noventa dias: leituras baixas repetidas, altas persistentes, efeitos colaterais, doses perdidas, incapacidade de pagar, ou simplesmente o julgamento de Reed de que o plano não se encaixava em sua vida.</w:t>
      </w:r>
    </w:p>
    <w:p>
      <w:pPr>
        <w:pStyle w:val="BodyText"/>
      </w:pPr>
      <w:r>
        <w:t xml:space="preserve">Olhando para o gráfico do monitor, Park se perguntou se a escolha mais importante dizia respeito à medicação, à tecnologia de monitoramento, à rotina diária de Reed, à intensidade do acompanhamento, ou à sequência em que estes seriam introduzidos. O caso não carecia de ações possíveis. Faltava confiança sobre como cada ação interagiria com um paciente cuja fisiologia, escala, recursos e disposição poderiam todos mudar antes do próximo resultado laboratorial.</w:t>
      </w:r>
    </w:p>
    <w:bookmarkEnd w:id="22"/>
    <w:bookmarkStart w:id="23" w:name="questões-de-discussão"/>
    <w:p>
      <w:pPr>
        <w:pStyle w:val="Heading1"/>
      </w:pPr>
      <w:r>
        <w:t xml:space="preserve">Questões de Discussão</w:t>
      </w:r>
    </w:p>
    <w:p>
      <w:pPr>
        <w:numPr>
          <w:ilvl w:val="0"/>
          <w:numId w:val="1001"/>
        </w:numPr>
      </w:pPr>
      <w:r>
        <w:t xml:space="preserve">Qual é o problema central enfrentado por Park e a equipe da Lakeside? Quais números relatados são mais informativos, e quais podem ocultar variação importante?</w:t>
      </w:r>
    </w:p>
    <w:p>
      <w:pPr>
        <w:numPr>
          <w:ilvl w:val="0"/>
          <w:numId w:val="1001"/>
        </w:numPr>
      </w:pPr>
      <w:r>
        <w:t xml:space="preserve">Como o risco imediato de glicose alta ou baixa de Reed deve ser equilibrado contra a possibilidade de complicações que podem se desenvolver ao longo de muitos anos?</w:t>
      </w:r>
    </w:p>
    <w:p>
      <w:pPr>
        <w:numPr>
          <w:ilvl w:val="0"/>
          <w:numId w:val="1001"/>
        </w:numPr>
      </w:pPr>
      <w:r>
        <w:t xml:space="preserve">Que informações adicionais seriam mais valiosas antes de selecionar um plano de tratamento? Como a equipe deveria obtê-las?</w:t>
      </w:r>
    </w:p>
    <w:p>
      <w:pPr>
        <w:numPr>
          <w:ilvl w:val="0"/>
          <w:numId w:val="1001"/>
        </w:numPr>
      </w:pPr>
      <w:r>
        <w:t xml:space="preserve">A equipe deve intensificar o tratamento imediatamente, simplificar o regime, ou coletar mais observações primeiro?</w:t>
      </w:r>
    </w:p>
    <w:p>
      <w:pPr>
        <w:numPr>
          <w:ilvl w:val="0"/>
          <w:numId w:val="1001"/>
        </w:numPr>
      </w:pPr>
      <w:r>
        <w:t xml:space="preserve">Como a acessibilidade financeira e a incerteza do seguro devem influenciar um plano que pode ser clinicamente atraente?</w:t>
      </w:r>
    </w:p>
    <w:p>
      <w:pPr>
        <w:numPr>
          <w:ilvl w:val="0"/>
          <w:numId w:val="1001"/>
        </w:numPr>
      </w:pPr>
      <w:r>
        <w:t xml:space="preserve">Que partes do plano devem ser determinadas pelo clínico, e quais escolhas devem ser deixadas principalmente para Reed?</w:t>
      </w:r>
    </w:p>
    <w:p>
      <w:pPr>
        <w:numPr>
          <w:ilvl w:val="0"/>
          <w:numId w:val="1001"/>
        </w:numPr>
      </w:pPr>
      <w:r>
        <w:t xml:space="preserve">Como a Lakeside deve responder se Reed seguir apenas alguns elementos do plano?</w:t>
      </w:r>
    </w:p>
    <w:p>
      <w:pPr>
        <w:numPr>
          <w:ilvl w:val="0"/>
          <w:numId w:val="1001"/>
        </w:numPr>
      </w:pPr>
      <w:r>
        <w:t xml:space="preserve">Que condições deveriam desencadear uma mudança de tratamento antes da revisão de noventa dias?</w:t>
      </w:r>
    </w:p>
    <w:p>
      <w:pPr>
        <w:numPr>
          <w:ilvl w:val="0"/>
          <w:numId w:val="1001"/>
        </w:numPr>
      </w:pPr>
      <w:r>
        <w:t xml:space="preserve">Como a clínica deve alocar a capacidade limitada de farmacêutico, educador e gerente de cuidados entre Reed e outros pacientes?</w:t>
      </w:r>
    </w:p>
    <w:p>
      <w:pPr>
        <w:numPr>
          <w:ilvl w:val="0"/>
          <w:numId w:val="1001"/>
        </w:numPr>
      </w:pPr>
      <w:r>
        <w:t xml:space="preserve">O que constituiria sucesso após noventa dias se o controle glicêmico, o risco de glicose baixa, o custo, a carga de tratamento e a sustentabilidade apontarem em direções diferentes?</w:t>
      </w:r>
    </w:p>
    <w:bookmarkEnd w:id="23"/>
    <w:bookmarkStart w:id="29" w:name="questões-de-enquadramento-de-decisão"/>
    <w:p>
      <w:pPr>
        <w:pStyle w:val="Heading1"/>
      </w:pPr>
      <w:r>
        <w:t xml:space="preserve">Questões de Enquadramento de Decisão</w:t>
      </w:r>
    </w:p>
    <w:p>
      <w:pPr>
        <w:numPr>
          <w:ilvl w:val="0"/>
          <w:numId w:val="1002"/>
        </w:numPr>
      </w:pPr>
      <w:r>
        <w:t xml:space="preserve">Identifique e descreva as responsabilidades do tomador de decisão. Isso deve definir o escopo do problema.</w:t>
      </w:r>
    </w:p>
    <w:p>
      <w:pPr>
        <w:numPr>
          <w:ilvl w:val="0"/>
          <w:numId w:val="1002"/>
        </w:numPr>
      </w:pPr>
      <w:r>
        <w:t xml:space="preserve">Use a</w:t>
      </w:r>
      <w:r>
        <w:t xml:space="preserve"> </w:t>
      </w:r>
      <w:hyperlink r:id="rId24">
        <w:r>
          <w:rPr>
            <w:rStyle w:val="Hyperlink"/>
          </w:rPr>
          <w:t xml:space="preserve">ferramenta de pirâmide de métricas</w:t>
        </w:r>
      </w:hyperlink>
      <w:r>
        <w:t xml:space="preserve"> </w:t>
      </w:r>
      <w:r>
        <w:t xml:space="preserve">para identificar e priorizar as diferentes métricas de desempenho. Clique no oval que contém a métrica para identificar se é uma métrica a ser maximizada (verde), minimizada (vermelho), uma meta que é um piso (verde claro) ou um teto (vermelho claro), ou finalmente um alvo (roxo).</w:t>
      </w:r>
    </w:p>
    <w:p>
      <w:pPr>
        <w:numPr>
          <w:ilvl w:val="0"/>
          <w:numId w:val="1002"/>
        </w:numPr>
      </w:pPr>
      <w:r>
        <w:t xml:space="preserve">Use a</w:t>
      </w:r>
      <w:r>
        <w:t xml:space="preserve"> </w:t>
      </w:r>
      <w:hyperlink r:id="rId25">
        <w:r>
          <w:rPr>
            <w:rStyle w:val="Hyperlink"/>
          </w:rPr>
          <w:t xml:space="preserve">ferramenta de priorização de decisões</w:t>
        </w:r>
      </w:hyperlink>
      <w:r>
        <w:t xml:space="preserve"> </w:t>
      </w:r>
      <w:r>
        <w:t xml:space="preserve">para primeiro listar os diferentes tipos de decisões (use os</w:t>
      </w:r>
      <w:r>
        <w:t xml:space="preserve"> </w:t>
      </w:r>
      <w:hyperlink r:id="rId26">
        <w:r>
          <w:rPr>
            <w:rStyle w:val="Hyperlink"/>
          </w:rPr>
          <w:t xml:space="preserve">tipos de decisões</w:t>
        </w:r>
      </w:hyperlink>
      <w:r>
        <w:t xml:space="preserve"> </w:t>
      </w:r>
      <w:r>
        <w:t xml:space="preserve">como guia). Estas então preencherão as linhas da matriz à direita, onde as colunas são as métricas de desempenho ordenadas da esquerda para a direita pela prioridade na pirâmide acima. Clique em cada célula para indicar se o impacto da decisão em cada métrica é alto (vermelho), médio (laranja), baixo (amarelo) ou nenhum (branco).</w:t>
      </w:r>
    </w:p>
    <w:p>
      <w:pPr>
        <w:numPr>
          <w:ilvl w:val="0"/>
          <w:numId w:val="1002"/>
        </w:numPr>
      </w:pPr>
      <w:r>
        <w:t xml:space="preserve">Você pode segurar a alça (três barras) mais à esquerda em cada linha para movê-la para cima ou para baixo. Ordene as linhas de forma que as decisões com o maior impacto nas métricas mais importantes fiquem em direção ao topo. As células no canto superior esquerdo devem ter a maior concentração de células vermelhas e laranjas. Neste ponto, identifique as decisões que devem receber mais atenção em seu estudo. Se você não tiver nenhuma decisão com impacto médio ou alto nas métricas mais importantes, revise sua lista de decisões.</w:t>
      </w:r>
    </w:p>
    <w:p>
      <w:pPr>
        <w:numPr>
          <w:ilvl w:val="0"/>
          <w:numId w:val="1002"/>
        </w:numPr>
      </w:pPr>
      <w:r>
        <w:t xml:space="preserve">Repita o processo para listar e priorizar as incertezas usando a</w:t>
      </w:r>
      <w:r>
        <w:t xml:space="preserve"> </w:t>
      </w:r>
      <w:hyperlink r:id="rId27">
        <w:r>
          <w:rPr>
            <w:rStyle w:val="Hyperlink"/>
          </w:rPr>
          <w:t xml:space="preserve">ferramenta de priorização de incertezas</w:t>
        </w:r>
      </w:hyperlink>
      <w:r>
        <w:t xml:space="preserve">. Use as</w:t>
      </w:r>
      <w:r>
        <w:t xml:space="preserve"> </w:t>
      </w:r>
      <w:hyperlink r:id="rId28">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incertezas que podem ser avaliadas em média, ou como eventos de risco:</w:t>
      </w:r>
    </w:p>
    <w:p>
      <w:pPr>
        <w:numPr>
          <w:ilvl w:val="1"/>
          <w:numId w:val="1003"/>
        </w:numPr>
      </w:pPr>
      <w:r>
        <w:t xml:space="preserve">Quais fontes de incerteza seriam capturadas usando 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única decisão que parece ter o maior impacto na métrica mais importante.</w:t>
      </w:r>
    </w:p>
    <w:p>
      <w:pPr>
        <w:numPr>
          <w:ilvl w:val="1"/>
          <w:numId w:val="1004"/>
        </w:numPr>
      </w:pPr>
      <w:r>
        <w:t xml:space="preserve">Que abordagem você acha que usaria para tomar essa decisão?</w:t>
      </w:r>
    </w:p>
    <w:p>
      <w:pPr>
        <w:numPr>
          <w:ilvl w:val="1"/>
          <w:numId w:val="1004"/>
        </w:numPr>
      </w:pPr>
      <w:r>
        <w:t xml:space="preserve">Quais dados parecem ser necessários para tomar essa decisão, incluindo o cálculo de quaisquer métricas de desempenho em que a decisão teria um impacto alto ou médio.</w:t>
      </w:r>
    </w:p>
    <w:p>
      <w:pPr>
        <w:numPr>
          <w:ilvl w:val="0"/>
          <w:numId w:val="1002"/>
        </w:numPr>
      </w:pPr>
      <w:r>
        <w:t xml:space="preserve">Usando a mesma decisão que você identificou em (7), identifique as pessoas, departamentos, grupos ou organizações com os quais você precisaria trabalhar para implementar a decisão.</w:t>
      </w:r>
    </w:p>
    <w:bookmarkEnd w:id="29"/>
    <w:bookmarkStart w:id="30" w:name="nota-de-fonte"/>
    <w:p>
      <w:pPr>
        <w:pStyle w:val="Heading1"/>
      </w:pPr>
      <w:r>
        <w:t xml:space="preserve">Nota de Fonte</w:t>
      </w:r>
    </w:p>
    <w:p>
      <w:pPr>
        <w:pStyle w:val="FirstParagraph"/>
      </w:pPr>
      <w:r>
        <w:t xml:space="preserve">O fundamento conceitual para este caso é a seção</w:t>
      </w:r>
      <w:r>
        <w:t xml:space="preserve"> </w:t>
      </w:r>
      <w:r>
        <w:t xml:space="preserve">“Managing Type 2 diabetes”</w:t>
      </w:r>
      <w:r>
        <w:t xml:space="preserve"> </w:t>
      </w:r>
      <w:r>
        <w:t xml:space="preserve">de Warren B. Powell, Bridging Decision Problems, Volume I: Framing the Problem, Capítulo 2. O caso incorpora as medidas clínicas, escolhas de tratamento, ações do paciente e respostas desconhecidas da seção na narrativa e nos exhibits sem identificá-los como categorias analíticas separadas.</w:t>
      </w:r>
    </w:p>
    <w:p>
      <w:pPr>
        <w:pStyle w:val="BodyText"/>
      </w:pPr>
      <w:r>
        <w:t xml:space="preserve">Os dados públicos usados para motivar o cenário incluem o Centers for Disease Control and Prevention, National Diabetes Statistics Report (atualizado em janeiro de 2026), que estima 40,1 milhões de pessoas com diabetes nos Estados Unidos em 2023 e 115,2 milhões de adultos com pré-diabetes; o Diabetes Basics do CDC, que relata que o Diabetes Tipo 2 representa aproximadamente 90–95 por cento dos casos diagnosticados; e estimativas do National Institute of Diabetes and Digestive and Kidney Diseases que colocam o custo de 2022 do diabetes diagnosticado em $412,9 bilhões. O CDC também relata que os custos médicos relacionados ao diabetes são mais de duas vezes maiores para pessoas com diabetes do que para pessoas sem a condição. Todos os dados de pacientes, clínica, tratamento, seguro e financeiros no caso são fictícios e não têm o objetivo de orientar cuidados médicos.</w:t>
      </w:r>
    </w:p>
    <w:bookmarkEnd w:id="30"/>
    <w:bookmarkStart w:id="33" w:name="notas-do-chatgpt"/>
    <w:p>
      <w:pPr>
        <w:pStyle w:val="Heading1"/>
      </w:pPr>
      <w:r>
        <w:t xml:space="preserve">Notas do ChatGPT</w:t>
      </w:r>
    </w:p>
    <w:bookmarkStart w:id="31" w:name="prompt"/>
    <w:p>
      <w:pPr>
        <w:pStyle w:val="Heading2"/>
      </w:pPr>
      <w:r>
        <w:t xml:space="preserve">Prompt</w:t>
      </w:r>
    </w:p>
    <w:p>
      <w:pPr>
        <w:pStyle w:val="FirstParagraph"/>
      </w:pPr>
      <w:r>
        <w:t xml:space="preserve">Escreva um estudo de caso de 4-6 páginas baseado no material da seção em https://warrenpowell.org/bridging-vol1/chapter-2/#managing-type-2-diabetes. Crie um contexto baseado nas métricas, decisões e incertezas da seção, mas sem chamar atenção explicitamente para elas. Motive seu problema de caso com dados.</w:t>
      </w:r>
    </w:p>
    <w:bookmarkEnd w:id="31"/>
    <w:bookmarkStart w:id="32" w:name="resumo"/>
    <w:p>
      <w:pPr>
        <w:pStyle w:val="Heading2"/>
      </w:pPr>
      <w:r>
        <w:t xml:space="preserve">Resumo</w:t>
      </w:r>
    </w:p>
    <w:p>
      <w:pPr>
        <w:pStyle w:val="FirstParagraph"/>
      </w:pPr>
      <w:r>
        <w:t xml:space="preserve">O caso segue um médico, equipe de cuidados e paciente enfrentando um problema não resolvido de tratamento de Diabetes Tipo 2 envolvendo resposta a medicamentos, monitoramento de glicose, dieta e exercício, adesão, custo de tratamento, cobertura de seguro, capacidade da equipe, e a tensão entre a variação glicêmica de curto prazo e as complicações de longo prazo.</w:t>
      </w:r>
    </w:p>
    <w:p>
      <w:pPr>
        <w:pStyle w:val="BodyText"/>
      </w:pPr>
      <w:r>
        <w:t xml:space="preserve">O cenário é motivado por estimativas federais atuais de que 40,1 milhões de americanos tinham diabetes em 2023, o Diabetes Tipo 2 representa aproximadamente 90–95% dos casos diagnosticados, e o custo estimado nos EUA do diabetes diagnosticado foi de $412,9 bilhões em 2022.</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2026-09-11T16:46:00Z</dcterms:created>
  <dcterms:modified xsi:type="dcterms:W3CDTF">2026-09-11T16:46:00Z</dcterms:modified>
</cp:coreProperties>
</file>

<file path=docProps/custom.xml><?xml version="1.0" encoding="utf-8"?>
<Properties xmlns="http://schemas.openxmlformats.org/officeDocument/2006/custom-properties" xmlns:vt="http://schemas.openxmlformats.org/officeDocument/2006/docPropsVTypes"/>
</file>