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 CAMPANHA MERIDIAN</w:t>
      </w:r>
    </w:p>
    <w:p>
      <w:pPr>
        <w:pStyle w:val="BodyText"/>
      </w:pPr>
      <w:r>
        <w:t xml:space="preserve">O Mapa dos Noventa e Três Votos</w:t>
      </w:r>
    </w:p>
    <w:p>
      <w:pPr>
        <w:pStyle w:val="BodyText"/>
      </w:pPr>
      <w:r>
        <w:t xml:space="preserve">Um caso sobre eleição presidencial relativo à alocação de dinheiro, tempo do candidato, informação e capacidade de campo em um cenário eleitoral em mudança</w:t>
      </w:r>
    </w:p>
    <w:p>
      <w:pPr>
        <w:pStyle w:val="BodyText"/>
      </w:pPr>
      <w:r>
        <w:t xml:space="preserve">Este caso é fictício e destinado à discussão didática. Candidatos, partidos, membros da equipe, eventos, resultados de pesquisas e números financeiros internos foram criados para o caso. Estatísticas públicas de eleição e financiamento de campanha estão resumidas na nota de origem.</w:t>
      </w:r>
    </w:p>
    <w:bookmarkStart w:id="10" w:name="onze-semanas-para-o-dia-da-eleição"/>
    <w:p>
      <w:pPr>
        <w:pStyle w:val="Heading1"/>
      </w:pPr>
      <w:r>
        <w:t xml:space="preserve">Onze Semanas para o Dia da Eleição</w:t>
      </w:r>
    </w:p>
    <w:p>
      <w:pPr>
        <w:pStyle w:val="FirstParagraph"/>
      </w:pPr>
      <w:r>
        <w:t xml:space="preserve">Às 6h15 de uma segunda-feira de agosto, a gerente de campanha Maya Chen estava diante de um mapa eleitoral que ocupava uma parede inteira na sede da Campanha Meridian. Faltavam onze semanas para que os eleitores escolhessem o próximo presidente. O mapa mostrava 226 votos eleitorais classificados como seguros ou prováveis para o Governador Jordan Meridian, 219 para o Senador Cameron Reed, e 93 distribuídos entre sete estados que nenhuma das campanhas podia reivindicar com confiança. Vencer exigia 270.</w:t>
      </w:r>
    </w:p>
    <w:p>
      <w:pPr>
        <w:pStyle w:val="BodyText"/>
      </w:pPr>
      <w:r>
        <w:t xml:space="preserve">A campanha tinha dinheiro suficiente para se manter competitiva, mas não o bastante para buscar todas as oportunidades. O comitê de Meridian mantinha $138 milhões em caixa. A equipe financeira esperava mais $52 milhões antes do Dia da Eleição, mas a previsão dependia da resposta dos doadores a mensagens, debates, eventos noticiosos e da posição da campanha nas pesquisas nacionais. A folha de pagamento existente, viagens, obrigações de convenção, custos jurídicos e reservas de publicidade já comprometiam $96 milhões. Os diretores estaduais buscavam outros $84 milhões para escritórios de campo, organizadores, serviços de dados, pesquisas, contato com eleitores e operações no dia da eleição.</w:t>
      </w:r>
    </w:p>
    <w:p>
      <w:pPr>
        <w:pStyle w:val="BodyText"/>
      </w:pPr>
      <w:r>
        <w:t xml:space="preserve">Chen fora instruída a apresentar um plano final de recursos em quarenta e oito horas. O candidato queria fazer campanha nos sete estados disputados. A equipe de publicidade queria reservar espaço de televisão e streaming antes que os preços subissem. O diretor de campo argumentava que uma contratação tardia desperdiçaria a vantagem de voluntários que já estavam se inscrevendo. A diretora de pesquisas queria amostras maiores e levantamentos mais frequentes depois que as estimativas internas da campanha haviam se movido bruscamente duas vezes em três semanas. O diretor financeiro alertava que a campanha não podia gastar dinheiro que apenas esperava arrecadar.</w:t>
      </w:r>
    </w:p>
    <w:bookmarkStart w:id="9" w:name="exhibit-1.-o-mapa-eleitoral-disputado"/>
    <w:p>
      <w:pPr>
        <w:pStyle w:val="Heading2"/>
      </w:pPr>
      <w:r>
        <w:t xml:space="preserve">Exhibit 1. O Mapa Eleitoral Disputado</w:t>
      </w:r>
    </w:p>
    <w:tbl>
      <w:tblPr>
        <w:tblStyle w:val="Table"/>
        <w:tblW w:type="pct" w:w="4903"/>
        <w:tblLayout w:type="fixed"/>
        <w:tblLook w:firstRow="1" w:lastRow="0" w:firstColumn="0" w:lastColumn="0" w:noHBand="0" w:noVBand="0" w:val="0020"/>
      </w:tblPr>
      <w:tblGrid>
        <w:gridCol w:w="1153"/>
        <w:gridCol w:w="1384"/>
        <w:gridCol w:w="1230"/>
        <w:gridCol w:w="922"/>
        <w:gridCol w:w="1537"/>
        <w:gridCol w:w="1537"/>
      </w:tblGrid>
      <w:tr>
        <w:trPr>
          <w:tblHeader w:val="on"/>
        </w:trPr>
        <w:tc>
          <w:tcPr/>
          <w:p>
            <w:pPr>
              <w:pStyle w:val="Compact"/>
              <w:jc w:val="left"/>
            </w:pPr>
            <w:r>
              <w:t xml:space="preserve">Estado</w:t>
            </w:r>
          </w:p>
        </w:tc>
        <w:tc>
          <w:tcPr/>
          <w:p>
            <w:pPr>
              <w:pStyle w:val="Compact"/>
              <w:jc w:val="left"/>
            </w:pPr>
            <w:r>
              <w:t xml:space="preserve">Votos eleitorais</w:t>
            </w:r>
          </w:p>
        </w:tc>
        <w:tc>
          <w:tcPr/>
          <w:p>
            <w:pPr>
              <w:pStyle w:val="Compact"/>
              <w:jc w:val="right"/>
            </w:pPr>
            <w:r>
              <w:t xml:space="preserve">Pesquisa Meridi</w:t>
            </w:r>
          </w:p>
        </w:tc>
        <w:tc>
          <w:tcPr/>
          <w:p>
            <w:pPr>
              <w:pStyle w:val="Compact"/>
            </w:pPr>
            <w:r>
              <w:t xml:space="preserve">an Pesquis</w:t>
            </w:r>
          </w:p>
        </w:tc>
        <w:tc>
          <w:tcPr/>
          <w:p>
            <w:pPr>
              <w:pStyle w:val="Compact"/>
            </w:pPr>
            <w:r>
              <w:t xml:space="preserve">a Reed Indecisos /</w:t>
            </w:r>
          </w:p>
        </w:tc>
        <w:tc>
          <w:tcPr/>
          <w:p>
            <w:pPr>
              <w:pStyle w:val="Compact"/>
              <w:jc w:val="right"/>
            </w:pPr>
            <w:r>
              <w:t xml:space="preserve">outros Comparecimento estimado</w:t>
            </w:r>
          </w:p>
        </w:tc>
      </w:tr>
      <w:tr>
        <w:tc>
          <w:tcPr/>
          <w:p>
            <w:pPr>
              <w:pStyle w:val="Compact"/>
              <w:jc w:val="left"/>
            </w:pPr>
            <w:r>
              <w:t xml:space="preserve">Northlake</w:t>
            </w:r>
          </w:p>
        </w:tc>
        <w:tc>
          <w:tcPr/>
          <w:p>
            <w:pPr>
              <w:pStyle w:val="Compact"/>
              <w:jc w:val="left"/>
            </w:pPr>
            <w:r>
              <w:t xml:space="preserve">19</w:t>
            </w:r>
          </w:p>
        </w:tc>
        <w:tc>
          <w:tcPr/>
          <w:p>
            <w:pPr>
              <w:pStyle w:val="Compact"/>
              <w:jc w:val="right"/>
            </w:pPr>
            <w:r>
              <w:t xml:space="preserve">47.8%</w:t>
            </w:r>
          </w:p>
        </w:tc>
        <w:tc>
          <w:tcPr/>
          <w:p>
            <w:pPr>
              <w:pStyle w:val="Compact"/>
            </w:pPr>
            <w:r>
              <w:t xml:space="preserve">48.6%</w:t>
            </w:r>
          </w:p>
        </w:tc>
        <w:tc>
          <w:tcPr/>
          <w:p>
            <w:pPr>
              <w:pStyle w:val="Compact"/>
            </w:pPr>
            <w:r>
              <w:t xml:space="preserve">3.6%</w:t>
            </w:r>
          </w:p>
        </w:tc>
        <w:tc>
          <w:tcPr/>
          <w:p>
            <w:pPr>
              <w:pStyle w:val="Compact"/>
              <w:jc w:val="right"/>
            </w:pPr>
            <w:r>
              <w:t xml:space="preserve">6.9 million</w:t>
            </w:r>
          </w:p>
        </w:tc>
      </w:tr>
      <w:tr>
        <w:tc>
          <w:tcPr/>
          <w:p>
            <w:pPr>
              <w:pStyle w:val="Compact"/>
              <w:jc w:val="left"/>
            </w:pPr>
            <w:r>
              <w:t xml:space="preserve">Great Plains</w:t>
            </w:r>
          </w:p>
        </w:tc>
        <w:tc>
          <w:tcPr/>
          <w:p>
            <w:pPr>
              <w:pStyle w:val="Compact"/>
              <w:jc w:val="left"/>
            </w:pPr>
            <w:r>
              <w:t xml:space="preserve">16</w:t>
            </w:r>
          </w:p>
        </w:tc>
        <w:tc>
          <w:tcPr/>
          <w:p>
            <w:pPr>
              <w:pStyle w:val="Compact"/>
              <w:jc w:val="right"/>
            </w:pPr>
            <w:r>
              <w:t xml:space="preserve">48.7%</w:t>
            </w:r>
          </w:p>
        </w:tc>
        <w:tc>
          <w:tcPr/>
          <w:p>
            <w:pPr>
              <w:pStyle w:val="Compact"/>
            </w:pPr>
            <w:r>
              <w:t xml:space="preserve">47.9%</w:t>
            </w:r>
          </w:p>
        </w:tc>
        <w:tc>
          <w:tcPr/>
          <w:p>
            <w:pPr>
              <w:pStyle w:val="Compact"/>
            </w:pPr>
            <w:r>
              <w:t xml:space="preserve">3.4%</w:t>
            </w:r>
          </w:p>
        </w:tc>
        <w:tc>
          <w:tcPr/>
          <w:p>
            <w:pPr>
              <w:pStyle w:val="Compact"/>
              <w:jc w:val="right"/>
            </w:pPr>
            <w:r>
              <w:t xml:space="preserve">5.5 million</w:t>
            </w:r>
          </w:p>
        </w:tc>
      </w:tr>
      <w:tr>
        <w:tc>
          <w:tcPr/>
          <w:p>
            <w:pPr>
              <w:pStyle w:val="Compact"/>
              <w:jc w:val="left"/>
            </w:pPr>
            <w:r>
              <w:t xml:space="preserve">Piedmont</w:t>
            </w:r>
          </w:p>
        </w:tc>
        <w:tc>
          <w:tcPr/>
          <w:p>
            <w:pPr>
              <w:pStyle w:val="Compact"/>
              <w:jc w:val="left"/>
            </w:pPr>
            <w:r>
              <w:t xml:space="preserve">16</w:t>
            </w:r>
          </w:p>
        </w:tc>
        <w:tc>
          <w:tcPr/>
          <w:p>
            <w:pPr>
              <w:pStyle w:val="Compact"/>
              <w:jc w:val="right"/>
            </w:pPr>
            <w:r>
              <w:t xml:space="preserve">47.2%</w:t>
            </w:r>
          </w:p>
        </w:tc>
        <w:tc>
          <w:tcPr/>
          <w:p>
            <w:pPr>
              <w:pStyle w:val="Compact"/>
            </w:pPr>
            <w:r>
              <w:t xml:space="preserve">49.1%</w:t>
            </w:r>
          </w:p>
        </w:tc>
        <w:tc>
          <w:tcPr/>
          <w:p>
            <w:pPr>
              <w:pStyle w:val="Compact"/>
            </w:pPr>
            <w:r>
              <w:t xml:space="preserve">3.7%</w:t>
            </w:r>
          </w:p>
        </w:tc>
        <w:tc>
          <w:tcPr/>
          <w:p>
            <w:pPr>
              <w:pStyle w:val="Compact"/>
              <w:jc w:val="right"/>
            </w:pPr>
            <w:r>
              <w:t xml:space="preserve">5.8 million</w:t>
            </w:r>
          </w:p>
        </w:tc>
      </w:tr>
      <w:tr>
        <w:tc>
          <w:tcPr/>
          <w:p>
            <w:pPr>
              <w:pStyle w:val="Compact"/>
              <w:jc w:val="left"/>
            </w:pPr>
            <w:r>
              <w:t xml:space="preserve">Midland</w:t>
            </w:r>
          </w:p>
        </w:tc>
        <w:tc>
          <w:tcPr/>
          <w:p>
            <w:pPr>
              <w:pStyle w:val="Compact"/>
              <w:jc w:val="left"/>
            </w:pPr>
            <w:r>
              <w:t xml:space="preserve">15</w:t>
            </w:r>
          </w:p>
        </w:tc>
        <w:tc>
          <w:tcPr/>
          <w:p>
            <w:pPr>
              <w:pStyle w:val="Compact"/>
              <w:jc w:val="right"/>
            </w:pPr>
            <w:r>
              <w:t xml:space="preserve">48.9%</w:t>
            </w:r>
          </w:p>
        </w:tc>
        <w:tc>
          <w:tcPr/>
          <w:p>
            <w:pPr>
              <w:pStyle w:val="Compact"/>
            </w:pPr>
            <w:r>
              <w:t xml:space="preserve">48.5%</w:t>
            </w:r>
          </w:p>
        </w:tc>
        <w:tc>
          <w:tcPr/>
          <w:p>
            <w:pPr>
              <w:pStyle w:val="Compact"/>
            </w:pPr>
            <w:r>
              <w:t xml:space="preserve">2.6%</w:t>
            </w:r>
          </w:p>
        </w:tc>
        <w:tc>
          <w:tcPr/>
          <w:p>
            <w:pPr>
              <w:pStyle w:val="Compact"/>
              <w:jc w:val="right"/>
            </w:pPr>
            <w:r>
              <w:t xml:space="preserve">5.7 million</w:t>
            </w:r>
          </w:p>
        </w:tc>
      </w:tr>
      <w:tr>
        <w:tc>
          <w:tcPr/>
          <w:p>
            <w:pPr>
              <w:pStyle w:val="Compact"/>
              <w:jc w:val="left"/>
            </w:pPr>
            <w:r>
              <w:t xml:space="preserve">Sonora</w:t>
            </w:r>
          </w:p>
        </w:tc>
        <w:tc>
          <w:tcPr/>
          <w:p>
            <w:pPr>
              <w:pStyle w:val="Compact"/>
              <w:jc w:val="left"/>
            </w:pPr>
            <w:r>
              <w:t xml:space="preserve">11</w:t>
            </w:r>
          </w:p>
        </w:tc>
        <w:tc>
          <w:tcPr/>
          <w:p>
            <w:pPr>
              <w:pStyle w:val="Compact"/>
              <w:jc w:val="right"/>
            </w:pPr>
            <w:r>
              <w:t xml:space="preserve">46.8%</w:t>
            </w:r>
          </w:p>
        </w:tc>
        <w:tc>
          <w:tcPr/>
          <w:p>
            <w:pPr>
              <w:pStyle w:val="Compact"/>
            </w:pPr>
            <w:r>
              <w:t xml:space="preserve">49.6%</w:t>
            </w:r>
          </w:p>
        </w:tc>
        <w:tc>
          <w:tcPr/>
          <w:p>
            <w:pPr>
              <w:pStyle w:val="Compact"/>
            </w:pPr>
            <w:r>
              <w:t xml:space="preserve">3.6%</w:t>
            </w:r>
          </w:p>
        </w:tc>
        <w:tc>
          <w:tcPr/>
          <w:p>
            <w:pPr>
              <w:pStyle w:val="Compact"/>
              <w:jc w:val="right"/>
            </w:pPr>
            <w:r>
              <w:t xml:space="preserve">3.5 million</w:t>
            </w:r>
          </w:p>
        </w:tc>
      </w:tr>
      <w:tr>
        <w:tc>
          <w:tcPr/>
          <w:p>
            <w:pPr>
              <w:pStyle w:val="Compact"/>
              <w:jc w:val="left"/>
            </w:pPr>
            <w:r>
              <w:t xml:space="preserve">Lakeland</w:t>
            </w:r>
          </w:p>
        </w:tc>
        <w:tc>
          <w:tcPr/>
          <w:p>
            <w:pPr>
              <w:pStyle w:val="Compact"/>
              <w:jc w:val="left"/>
            </w:pPr>
            <w:r>
              <w:t xml:space="preserve">10</w:t>
            </w:r>
          </w:p>
        </w:tc>
        <w:tc>
          <w:tcPr/>
          <w:p>
            <w:pPr>
              <w:pStyle w:val="Compact"/>
              <w:jc w:val="right"/>
            </w:pPr>
            <w:r>
              <w:t xml:space="preserve">49.3%</w:t>
            </w:r>
          </w:p>
        </w:tc>
        <w:tc>
          <w:tcPr/>
          <w:p>
            <w:pPr>
              <w:pStyle w:val="Compact"/>
            </w:pPr>
            <w:r>
              <w:t xml:space="preserve">48.8%</w:t>
            </w:r>
          </w:p>
        </w:tc>
        <w:tc>
          <w:tcPr/>
          <w:p>
            <w:pPr>
              <w:pStyle w:val="Compact"/>
            </w:pPr>
            <w:r>
              <w:t xml:space="preserve">1.9%</w:t>
            </w:r>
          </w:p>
        </w:tc>
        <w:tc>
          <w:tcPr/>
          <w:p>
            <w:pPr>
              <w:pStyle w:val="Compact"/>
              <w:jc w:val="right"/>
            </w:pPr>
            <w:r>
              <w:t xml:space="preserve">3.4 million</w:t>
            </w:r>
          </w:p>
        </w:tc>
      </w:tr>
      <w:tr>
        <w:tc>
          <w:tcPr/>
          <w:p>
            <w:pPr>
              <w:pStyle w:val="Compact"/>
              <w:jc w:val="left"/>
            </w:pPr>
            <w:r>
              <w:t xml:space="preserve">Silver Basin</w:t>
            </w:r>
          </w:p>
        </w:tc>
        <w:tc>
          <w:tcPr/>
          <w:p>
            <w:pPr>
              <w:pStyle w:val="Compact"/>
              <w:jc w:val="left"/>
            </w:pPr>
            <w:r>
              <w:t xml:space="preserve">6</w:t>
            </w:r>
          </w:p>
        </w:tc>
        <w:tc>
          <w:tcPr/>
          <w:p>
            <w:pPr>
              <w:pStyle w:val="Compact"/>
              <w:jc w:val="right"/>
            </w:pPr>
            <w:r>
              <w:t xml:space="preserve">47.6%</w:t>
            </w:r>
          </w:p>
        </w:tc>
        <w:tc>
          <w:tcPr/>
          <w:p>
            <w:pPr>
              <w:pStyle w:val="Compact"/>
            </w:pPr>
            <w:r>
              <w:t xml:space="preserve">48.9%</w:t>
            </w:r>
          </w:p>
        </w:tc>
        <w:tc>
          <w:tcPr/>
          <w:p>
            <w:pPr>
              <w:pStyle w:val="Compact"/>
            </w:pPr>
            <w:r>
              <w:t xml:space="preserve">3.5%</w:t>
            </w:r>
          </w:p>
        </w:tc>
        <w:tc>
          <w:tcPr/>
          <w:p>
            <w:pPr>
              <w:pStyle w:val="Compact"/>
              <w:jc w:val="right"/>
            </w:pPr>
            <w:r>
              <w:t xml:space="preserve">1.5 million</w:t>
            </w:r>
          </w:p>
        </w:tc>
      </w:tr>
    </w:tbl>
    <w:p>
      <w:pPr>
        <w:pStyle w:val="BodyText"/>
      </w:pPr>
      <w:r>
        <w:t xml:space="preserve">Nota: As estimativas de pesquisas internas são fictícias. As porcentagens podem não somar 100 devido a arredondamentos.</w:t>
      </w:r>
    </w:p>
    <w:bookmarkEnd w:id="9"/>
    <w:bookmarkEnd w:id="10"/>
    <w:bookmarkStart w:id="11" w:name="X7e96a7fda36844b826f7e3d101962119cdd14cd"/>
    <w:p>
      <w:pPr>
        <w:pStyle w:val="Heading1"/>
      </w:pPr>
      <w:r>
        <w:t xml:space="preserve">Uma Eleição Nacional Decidida Estado por Estado</w:t>
      </w:r>
    </w:p>
    <w:p>
      <w:pPr>
        <w:pStyle w:val="FirstParagraph"/>
      </w:pPr>
      <w:r>
        <w:t xml:space="preserve">O voto popular moldava a narrativa pública da campanha, mas o Colégio Eleitoral determinava o vencedor. A história recente reforçava a importância de margens estaduais estreitas. Em 2020, menos de 43.000 votos no Arizona, na Geórgia e em Wisconsin separaram o vencedor da perda desses três estados. Em 2024, os sete estados-pêndulo mais observados carregavam 93 votos eleitorais. Seis foram decididos por margens de aproximadamente um a três pontos percentuais, enquanto a margem do Arizona foi maior. Uma mudança nacional de um ponto poderia produzir resultados estaduais muito diferentes, dependendo do comparecimento, do apelo do candidato e de questões locais.</w:t>
      </w:r>
    </w:p>
    <w:p>
      <w:pPr>
        <w:pStyle w:val="BodyText"/>
      </w:pPr>
      <w:r>
        <w:t xml:space="preserve">O próprio eleitorado era grande e heterogêneo. O Census Bureau estimou que 174 milhões de cidadãos em idade de votar estavam registrados em 2024 e 154 milhões votaram, uma taxa de comparecimento de 65,3 por cento. Os métodos de votação diferiam substancialmente: cerca de 40 por cento votaram pessoalmente no Dia da Eleição, 31 por cento votaram antecipadamente em pessoa, e 29 por cento votaram por correio. O comparecimento também variava por idade, escolaridade, geografia e outras características. Para Chen, isso significava que persuasão, registro, mobilização do voto antecipado, suporte ao voto por correio e operações do Dia da Eleição não podiam ser tratados como uma única atividade.</w:t>
      </w:r>
    </w:p>
    <w:p>
      <w:pPr>
        <w:pStyle w:val="BodyText"/>
      </w:pPr>
      <w:r>
        <w:t xml:space="preserve">A coalizão de Meridian combinava eleitores suburbanos com formação universitária, eleitores mais jovens, famílias sindicalizadas e comunidades metropolitanas em crescimento. Reed liderava entre eleitores rurais, eleitores mais velhos sem formação universitária, e vários grupos concentrados em cidades menores. Nenhuma das coalizões era uniforme. Meridian tinha boa aceitação entre eleitores mais jovens quanto ao custo da moradia, mas fraca quanto à confiança na economia. Reed liderava em segurança de fronteira e inflação, mas enfrentava avaliações desfavoráveis entre mulheres suburbanas. A equipe de pesquisa da campanha acreditava que a população indecisa incluía tanto eleitores genuinamente persuasíveis quanto pessoas com pouca probabilidade de votar.</w:t>
      </w:r>
    </w:p>
    <w:bookmarkEnd w:id="11"/>
    <w:bookmarkStart w:id="13" w:name="o-calendário-também-era-um-recurso"/>
    <w:p>
      <w:pPr>
        <w:pStyle w:val="Heading1"/>
      </w:pPr>
      <w:r>
        <w:t xml:space="preserve">O Calendário Também Era um Recurso</w:t>
      </w:r>
    </w:p>
    <w:p>
      <w:pPr>
        <w:pStyle w:val="FirstParagraph"/>
      </w:pPr>
      <w:r>
        <w:t xml:space="preserve">O candidato só podia fazer um determinado número de aparições. Segurança, tempo de voo, preparação, entrevistas à imprensa e arrecadação de fundos limitavam Meridian a aproximadamente dezesseis grandes eventos públicos por semana. Um comício podia gerar notícias locais e energia entre voluntários, mas seu efeito dependia do público presente e da cobertura. Um discurso sobre políticas públicas poderia mudar percepções em um público restrito, mas atrair pouca atenção em outros lugares. Uma entrevista nacional poderia alcançar milhões, mas abriria mão do controle sobre as perguntas. Eventos de arrecadação de fundos produziam caixa, mas consumiam tempo que, de outra forma, poderia ser gasto em estados disputados.</w:t>
      </w:r>
    </w:p>
    <w:p>
      <w:pPr>
        <w:pStyle w:val="BodyText"/>
      </w:pPr>
      <w:r>
        <w:t xml:space="preserve">A equipe de agendamento propôs três abordagens diferentes. Uma concentrava as viagens em Northlake, Midland e Lakeland, onde Meridian já estava próximo e onde as visitas poderiam ser combinadas com eficiência. Uma segunda enfatizava Piedmont, Great Plains e Sonora, argumentando que suas maiores parcelas de eleitores não comprometidos criavam mais espaço para mudar a corrida. Uma terceira reservava quase um terço da agenda para mídia nacional, arrecadação de fundos e resposta rápida a eventos que ainda não podiam ser antecipados.</w:t>
      </w:r>
    </w:p>
    <w:bookmarkStart w:id="12" w:name="X8ca88650d36af9b9317375c8cf33c5c6a09f5a3"/>
    <w:p>
      <w:pPr>
        <w:pStyle w:val="Heading2"/>
      </w:pPr>
      <w:r>
        <w:t xml:space="preserve">Exhibit 2. Uso Semanal Proposto do Tempo do Candidato</w:t>
      </w:r>
    </w:p>
    <w:tbl>
      <w:tblPr>
        <w:tblStyle w:val="Table"/>
        <w:tblW w:type="pct" w:w="4898"/>
        <w:tblLayout w:type="fixed"/>
        <w:tblLook w:firstRow="1" w:lastRow="0" w:firstColumn="0" w:lastColumn="0" w:noHBand="0" w:noVBand="0" w:val="0020"/>
      </w:tblPr>
      <w:tblGrid>
        <w:gridCol w:w="3313"/>
        <w:gridCol w:w="1535"/>
        <w:gridCol w:w="1373"/>
        <w:gridCol w:w="1535"/>
      </w:tblGrid>
      <w:tr>
        <w:trPr>
          <w:tblHeader w:val="on"/>
        </w:trPr>
        <w:tc>
          <w:tcPr/>
          <w:p>
            <w:pPr>
              <w:pStyle w:val="Compact"/>
              <w:jc w:val="left"/>
            </w:pPr>
            <w:r>
              <w:t xml:space="preserve">Atividade</w:t>
            </w:r>
          </w:p>
        </w:tc>
        <w:tc>
          <w:tcPr/>
          <w:p>
            <w:pPr>
              <w:pStyle w:val="Compact"/>
            </w:pPr>
            <w:r>
              <w:t xml:space="preserve">Proteger a lideranç</w:t>
            </w:r>
          </w:p>
        </w:tc>
        <w:tc>
          <w:tcPr/>
          <w:p>
            <w:pPr>
              <w:pStyle w:val="Compact"/>
            </w:pPr>
            <w:r>
              <w:t xml:space="preserve">a Expandir o ma</w:t>
            </w:r>
          </w:p>
        </w:tc>
        <w:tc>
          <w:tcPr/>
          <w:p>
            <w:pPr>
              <w:pStyle w:val="Compact"/>
            </w:pPr>
            <w:r>
              <w:t xml:space="preserve">pa Manter flexibilidade</w:t>
            </w:r>
          </w:p>
        </w:tc>
      </w:tr>
      <w:tr>
        <w:tc>
          <w:tcPr/>
          <w:p>
            <w:pPr>
              <w:pStyle w:val="Compact"/>
              <w:jc w:val="left"/>
            </w:pPr>
            <w:r>
              <w:t xml:space="preserve">Comícios e reuniões públicas em estados-p</w:t>
            </w:r>
          </w:p>
        </w:tc>
        <w:tc>
          <w:tcPr/>
          <w:p>
            <w:pPr>
              <w:pStyle w:val="Compact"/>
            </w:pPr>
            <w:r>
              <w:t xml:space="preserve">êndulo 9 event</w:t>
            </w:r>
          </w:p>
        </w:tc>
        <w:tc>
          <w:tcPr/>
          <w:p>
            <w:pPr>
              <w:pStyle w:val="Compact"/>
            </w:pPr>
            <w:r>
              <w:t xml:space="preserve">os 10 e</w:t>
            </w:r>
          </w:p>
        </w:tc>
        <w:tc>
          <w:tcPr/>
          <w:p>
            <w:pPr>
              <w:pStyle w:val="Compact"/>
            </w:pPr>
            <w:r>
              <w:t xml:space="preserve">ventos 7 eventos</w:t>
            </w:r>
          </w:p>
        </w:tc>
      </w:tr>
      <w:tr>
        <w:tc>
          <w:tcPr/>
          <w:p>
            <w:pPr>
              <w:pStyle w:val="Compact"/>
              <w:jc w:val="left"/>
            </w:pPr>
            <w:r>
              <w:t xml:space="preserve">Discursos de política / eventos com grupo</w:t>
            </w:r>
          </w:p>
        </w:tc>
        <w:tc>
          <w:tcPr/>
          <w:p>
            <w:pPr>
              <w:pStyle w:val="Compact"/>
            </w:pPr>
            <w:r>
              <w:t xml:space="preserve">s específicos 2</w:t>
            </w:r>
          </w:p>
        </w:tc>
        <w:tc>
          <w:tcPr/>
          <w:p>
            <w:pPr>
              <w:pStyle w:val="Compact"/>
            </w:pPr>
          </w:p>
        </w:tc>
        <w:tc>
          <w:tcPr/>
          <w:p>
            <w:pPr>
              <w:pStyle w:val="Compact"/>
            </w:pPr>
            <w:r>
              <w:t xml:space="preserve">3 2</w:t>
            </w:r>
          </w:p>
        </w:tc>
      </w:tr>
      <w:tr>
        <w:tc>
          <w:tcPr/>
          <w:p>
            <w:pPr>
              <w:pStyle w:val="Compact"/>
              <w:jc w:val="left"/>
            </w:pPr>
            <w:r>
              <w:t xml:space="preserve">Entrevistas nacionais e eventos digitais</w:t>
            </w:r>
          </w:p>
        </w:tc>
        <w:tc>
          <w:tcPr/>
          <w:p>
            <w:pPr>
              <w:pStyle w:val="Compact"/>
            </w:pPr>
            <w:r>
              <w:t xml:space="preserve">1</w:t>
            </w:r>
          </w:p>
        </w:tc>
        <w:tc>
          <w:tcPr/>
          <w:p>
            <w:pPr>
              <w:pStyle w:val="Compact"/>
            </w:pPr>
            <w:r>
              <w:t xml:space="preserve">1</w:t>
            </w:r>
          </w:p>
        </w:tc>
        <w:tc>
          <w:tcPr/>
          <w:p>
            <w:pPr>
              <w:pStyle w:val="Compact"/>
            </w:pPr>
            <w:r>
              <w:t xml:space="preserve">3</w:t>
            </w:r>
          </w:p>
        </w:tc>
      </w:tr>
      <w:tr>
        <w:tc>
          <w:tcPr/>
          <w:p>
            <w:pPr>
              <w:pStyle w:val="Compact"/>
              <w:jc w:val="left"/>
            </w:pPr>
            <w:r>
              <w:t xml:space="preserve">Eventos de arrecadação de fundos</w:t>
            </w:r>
          </w:p>
        </w:tc>
        <w:tc>
          <w:tcPr/>
          <w:p>
            <w:pPr>
              <w:pStyle w:val="Compact"/>
            </w:pPr>
            <w:r>
              <w:t xml:space="preserve">3</w:t>
            </w:r>
          </w:p>
        </w:tc>
        <w:tc>
          <w:tcPr/>
          <w:p>
            <w:pPr>
              <w:pStyle w:val="Compact"/>
            </w:pPr>
            <w:r>
              <w:t xml:space="preserve">1</w:t>
            </w:r>
          </w:p>
        </w:tc>
        <w:tc>
          <w:tcPr/>
          <w:p>
            <w:pPr>
              <w:pStyle w:val="Compact"/>
            </w:pPr>
            <w:r>
              <w:t xml:space="preserve">2</w:t>
            </w:r>
          </w:p>
        </w:tc>
      </w:tr>
      <w:tr>
        <w:tc>
          <w:tcPr/>
          <w:p>
            <w:pPr>
              <w:pStyle w:val="Compact"/>
              <w:jc w:val="left"/>
            </w:pPr>
            <w:r>
              <w:t xml:space="preserve">Capacidade de resposta rápida não comprom</w:t>
            </w:r>
          </w:p>
        </w:tc>
        <w:tc>
          <w:tcPr/>
          <w:p>
            <w:pPr>
              <w:pStyle w:val="Compact"/>
            </w:pPr>
            <w:r>
              <w:t xml:space="preserve">etida 1</w:t>
            </w:r>
          </w:p>
        </w:tc>
        <w:tc>
          <w:tcPr/>
          <w:p>
            <w:pPr>
              <w:pStyle w:val="Compact"/>
            </w:pPr>
            <w:r>
              <w:t xml:space="preserve">1</w:t>
            </w:r>
          </w:p>
        </w:tc>
        <w:tc>
          <w:tcPr/>
          <w:p>
            <w:pPr>
              <w:pStyle w:val="Compact"/>
            </w:pPr>
            <w:r>
              <w:t xml:space="preserve">2</w:t>
            </w:r>
          </w:p>
        </w:tc>
      </w:tr>
    </w:tbl>
    <w:bookmarkEnd w:id="12"/>
    <w:bookmarkEnd w:id="13"/>
    <w:bookmarkStart w:id="15" w:name="dinheiro-mensagens-e-mídia"/>
    <w:p>
      <w:pPr>
        <w:pStyle w:val="Heading1"/>
      </w:pPr>
      <w:r>
        <w:t xml:space="preserve">Dinheiro, Mensagens e Mídia</w:t>
      </w:r>
    </w:p>
    <w:p>
      <w:pPr>
        <w:pStyle w:val="FirstParagraph"/>
      </w:pPr>
      <w:r>
        <w:t xml:space="preserve">A equipe de comunicação dividiu o restante da campanha em três fases: definir o programa econômico de Meridian, contrastar Meridian com Reed, e mobilizar apoiadores. O desacordo estava no momento e no canal. A televisão ainda alcançava grandes audiências, especialmente eleitores mais velhos, mas os preços estavam aumentando à medida que campanhas e grupos externos reservavam espaço escasso. O vídeo em streaming permitia mais direcionamento geográfico e demográfico, embora a mensuração entre plataformas fosse inconsistente. A publicidade em buscadores alcançava eleitores que buscavam ativamente informação, mas competia com notícias, oponentes de campanha e grupos independentes. As redes sociais produziam feedback rápido, mas o engajamento não necessariamente se traduzia em opiniões ou votos alterados.</w:t>
      </w:r>
    </w:p>
    <w:p>
      <w:pPr>
        <w:pStyle w:val="BodyText"/>
      </w:pPr>
      <w:r>
        <w:t xml:space="preserve">Os testes de mensagem não haviam produzido um tema dominante. Um anúncio sobre custos domésticos melhorou a avaliação de Meridian em empatia econômica, mas pouco mudou a escolha de voto. Um anúncio de contraste sobre o histórico de Reed aumentou a preocupação com o oponente, mas também elevou as avaliações desfavoráveis de ambos os candidatos. Um anúncio biográfico aumentou a favorabilidade entre eleitores pouco familiarizados com Meridian, embora esses eleitores tivessem probabilidade desproporcionalmente baixa de participar. Uma mensagem sobre direitos ao aborto mobilizou mulheres suburbanas, mas arriscava sufocar os temas econômicos. Uma proposta de segurança de fronteira melhorou uma avaliação fraca em um tema, mas desagradou alguns apoiadores centrais.</w:t>
      </w:r>
    </w:p>
    <w:p>
      <w:pPr>
        <w:pStyle w:val="BodyText"/>
      </w:pPr>
      <w:r>
        <w:t xml:space="preserve">A arrecadação de fundos complicava ainda mais a escolha de mensagens. Um apelo favorável após o debate arrecadou $4.8 million em vinte e quatro horas. Uma mensagem de texto posterior alertando que a campanha estava</w:t>
      </w:r>
      <w:r>
        <w:t xml:space="preserve"> </w:t>
      </w:r>
      <w:r>
        <w:t xml:space="preserve">“ficando para trás em todos os lugares”</w:t>
      </w:r>
      <w:r>
        <w:t xml:space="preserve"> </w:t>
      </w:r>
      <w:r>
        <w:t xml:space="preserve">arrecadou $3.1 million, mas gerou notícias sobre fraqueza. As mensagens podiam afetar doações, voluntários, cobertura da imprensa e o oponente, além da opinião dos eleitores.</w:t>
      </w:r>
    </w:p>
    <w:bookmarkStart w:id="14" w:name="X9548e4e8fa3a32563aa3c0490951305cae3d39e"/>
    <w:p>
      <w:pPr>
        <w:pStyle w:val="Heading2"/>
      </w:pPr>
      <w:r>
        <w:t xml:space="preserve">Exhibit 3. Orçamento Proposto Remanescente para Mídia e Contato com Eleitores</w:t>
      </w:r>
    </w:p>
    <w:tbl>
      <w:tblPr>
        <w:tblStyle w:val="Table"/>
        <w:tblW w:type="pct" w:w="4910"/>
        <w:tblLayout w:type="fixed"/>
        <w:tblLook w:firstRow="1" w:lastRow="0" w:firstColumn="0" w:lastColumn="0" w:noHBand="0" w:noVBand="0" w:val="0020"/>
      </w:tblPr>
      <w:tblGrid>
        <w:gridCol w:w="2711"/>
        <w:gridCol w:w="1070"/>
        <w:gridCol w:w="1212"/>
        <w:gridCol w:w="2782"/>
      </w:tblGrid>
      <w:tr>
        <w:trPr>
          <w:tblHeader w:val="on"/>
        </w:trPr>
        <w:tc>
          <w:tcPr/>
          <w:p>
            <w:pPr>
              <w:pStyle w:val="Compact"/>
              <w:jc w:val="left"/>
            </w:pPr>
            <w:r>
              <w:t xml:space="preserve">Categoria</w:t>
            </w:r>
          </w:p>
        </w:tc>
        <w:tc>
          <w:tcPr/>
          <w:p>
            <w:pPr>
              <w:pStyle w:val="Compact"/>
              <w:jc w:val="left"/>
            </w:pPr>
            <w:r>
              <w:t xml:space="preserve">Plano mínimo</w:t>
            </w:r>
          </w:p>
        </w:tc>
        <w:tc>
          <w:tcPr/>
          <w:p>
            <w:pPr>
              <w:pStyle w:val="Compact"/>
            </w:pPr>
            <w:r>
              <w:t xml:space="preserve">Plano solicitado</w:t>
            </w:r>
          </w:p>
        </w:tc>
        <w:tc>
          <w:tcPr/>
          <w:p>
            <w:pPr>
              <w:pStyle w:val="Compact"/>
              <w:jc w:val="center"/>
            </w:pPr>
            <w:r>
              <w:t xml:space="preserve">Finalidade principal</w:t>
            </w:r>
          </w:p>
        </w:tc>
      </w:tr>
      <w:tr>
        <w:tc>
          <w:tcPr/>
          <w:p>
            <w:pPr>
              <w:pStyle w:val="Compact"/>
              <w:jc w:val="left"/>
            </w:pPr>
            <w:r>
              <w:t xml:space="preserve">Televisão aberta e a cabo</w:t>
            </w:r>
          </w:p>
        </w:tc>
        <w:tc>
          <w:tcPr/>
          <w:p>
            <w:pPr>
              <w:pStyle w:val="Compact"/>
              <w:jc w:val="left"/>
            </w:pPr>
            <w:r>
              <w:t xml:space="preserve">$46 million</w:t>
            </w:r>
          </w:p>
        </w:tc>
        <w:tc>
          <w:tcPr/>
          <w:p>
            <w:pPr>
              <w:pStyle w:val="Compact"/>
            </w:pPr>
            <w:r>
              <w:t xml:space="preserve">$72 million</w:t>
            </w:r>
          </w:p>
        </w:tc>
        <w:tc>
          <w:tcPr/>
          <w:p>
            <w:pPr>
              <w:pStyle w:val="Compact"/>
              <w:jc w:val="center"/>
            </w:pPr>
            <w:r>
              <w:t xml:space="preserve">Persuasão ampla e contraste</w:t>
            </w:r>
          </w:p>
        </w:tc>
      </w:tr>
      <w:tr>
        <w:tc>
          <w:tcPr/>
          <w:p>
            <w:pPr>
              <w:pStyle w:val="Compact"/>
              <w:jc w:val="left"/>
            </w:pPr>
            <w:r>
              <w:t xml:space="preserve">Vídeo em streaming</w:t>
            </w:r>
          </w:p>
        </w:tc>
        <w:tc>
          <w:tcPr/>
          <w:p>
            <w:pPr>
              <w:pStyle w:val="Compact"/>
              <w:jc w:val="left"/>
            </w:pPr>
            <w:r>
              <w:t xml:space="preserve">$14 million</w:t>
            </w:r>
          </w:p>
        </w:tc>
        <w:tc>
          <w:tcPr/>
          <w:p>
            <w:pPr>
              <w:pStyle w:val="Compact"/>
            </w:pPr>
            <w:r>
              <w:t xml:space="preserve">$26 million</w:t>
            </w:r>
          </w:p>
        </w:tc>
        <w:tc>
          <w:tcPr/>
          <w:p>
            <w:pPr>
              <w:pStyle w:val="Compact"/>
              <w:jc w:val="center"/>
            </w:pPr>
            <w:r>
              <w:t xml:space="preserve">Persuasão direcionada</w:t>
            </w:r>
          </w:p>
        </w:tc>
      </w:tr>
      <w:tr>
        <w:tc>
          <w:tcPr/>
          <w:p>
            <w:pPr>
              <w:pStyle w:val="Compact"/>
              <w:jc w:val="left"/>
            </w:pPr>
            <w:r>
              <w:t xml:space="preserve">Busca e redes sociais</w:t>
            </w:r>
          </w:p>
        </w:tc>
        <w:tc>
          <w:tcPr/>
          <w:p>
            <w:pPr>
              <w:pStyle w:val="Compact"/>
              <w:jc w:val="left"/>
            </w:pPr>
            <w:r>
              <w:t xml:space="preserve">$11 million</w:t>
            </w:r>
          </w:p>
        </w:tc>
        <w:tc>
          <w:tcPr/>
          <w:p>
            <w:pPr>
              <w:pStyle w:val="Compact"/>
            </w:pPr>
            <w:r>
              <w:t xml:space="preserve">$19 million</w:t>
            </w:r>
          </w:p>
        </w:tc>
        <w:tc>
          <w:tcPr/>
          <w:p>
            <w:pPr>
              <w:pStyle w:val="Compact"/>
              <w:jc w:val="center"/>
            </w:pPr>
            <w:r>
              <w:t xml:space="preserve">Informação, persuasão, arrecadação de fundos</w:t>
            </w:r>
          </w:p>
        </w:tc>
      </w:tr>
      <w:tr>
        <w:tc>
          <w:tcPr/>
          <w:p>
            <w:pPr>
              <w:pStyle w:val="Compact"/>
              <w:jc w:val="left"/>
            </w:pPr>
            <w:r>
              <w:t xml:space="preserve">Correio direto e material impresso</w:t>
            </w:r>
          </w:p>
        </w:tc>
        <w:tc>
          <w:tcPr/>
          <w:p>
            <w:pPr>
              <w:pStyle w:val="Compact"/>
              <w:jc w:val="left"/>
            </w:pPr>
            <w:r>
              <w:t xml:space="preserve">$7 million</w:t>
            </w:r>
          </w:p>
        </w:tc>
        <w:tc>
          <w:tcPr/>
          <w:p>
            <w:pPr>
              <w:pStyle w:val="Compact"/>
            </w:pPr>
            <w:r>
              <w:t xml:space="preserve">$12 million</w:t>
            </w:r>
          </w:p>
        </w:tc>
        <w:tc>
          <w:tcPr/>
          <w:p>
            <w:pPr>
              <w:pStyle w:val="Compact"/>
              <w:jc w:val="center"/>
            </w:pPr>
            <w:r>
              <w:t xml:space="preserve">Persuasão direcionada e comparecimento</w:t>
            </w:r>
          </w:p>
        </w:tc>
      </w:tr>
      <w:tr>
        <w:tc>
          <w:tcPr/>
          <w:p>
            <w:pPr>
              <w:pStyle w:val="Compact"/>
              <w:jc w:val="left"/>
            </w:pPr>
            <w:r>
              <w:t xml:space="preserve">Contato de campo com eleitores</w:t>
            </w:r>
          </w:p>
        </w:tc>
        <w:tc>
          <w:tcPr/>
          <w:p>
            <w:pPr>
              <w:pStyle w:val="Compact"/>
              <w:jc w:val="left"/>
            </w:pPr>
            <w:r>
              <w:t xml:space="preserve">$22 million</w:t>
            </w:r>
          </w:p>
        </w:tc>
        <w:tc>
          <w:tcPr/>
          <w:p>
            <w:pPr>
              <w:pStyle w:val="Compact"/>
            </w:pPr>
            <w:r>
              <w:t xml:space="preserve">$38 million</w:t>
            </w:r>
          </w:p>
        </w:tc>
        <w:tc>
          <w:tcPr/>
          <w:p>
            <w:pPr>
              <w:pStyle w:val="Compact"/>
              <w:jc w:val="center"/>
            </w:pPr>
            <w:r>
              <w:t xml:space="preserve">Registro, voto antecipado, comparecimento</w:t>
            </w:r>
          </w:p>
        </w:tc>
      </w:tr>
      <w:tr>
        <w:tc>
          <w:tcPr/>
          <w:p>
            <w:pPr>
              <w:pStyle w:val="Compact"/>
              <w:jc w:val="left"/>
            </w:pPr>
            <w:r>
              <w:t xml:space="preserve">Pesquisas, análises e experimentos</w:t>
            </w:r>
          </w:p>
        </w:tc>
        <w:tc>
          <w:tcPr/>
          <w:p>
            <w:pPr>
              <w:pStyle w:val="Compact"/>
              <w:jc w:val="left"/>
            </w:pPr>
            <w:r>
              <w:t xml:space="preserve">$8 million</w:t>
            </w:r>
          </w:p>
        </w:tc>
        <w:tc>
          <w:tcPr/>
          <w:p>
            <w:pPr>
              <w:pStyle w:val="Compact"/>
            </w:pPr>
            <w:r>
              <w:t xml:space="preserve">$15 million</w:t>
            </w:r>
          </w:p>
        </w:tc>
        <w:tc>
          <w:tcPr/>
          <w:p>
            <w:pPr>
              <w:pStyle w:val="Compact"/>
              <w:jc w:val="center"/>
            </w:pPr>
            <w:r>
              <w:t xml:space="preserve">Mensuração e aprendizado</w:t>
            </w:r>
          </w:p>
        </w:tc>
      </w:tr>
    </w:tbl>
    <w:bookmarkEnd w:id="14"/>
    <w:bookmarkEnd w:id="15"/>
    <w:bookmarkStart w:id="17" w:name="a-organização-de-campo"/>
    <w:p>
      <w:pPr>
        <w:pStyle w:val="Heading1"/>
      </w:pPr>
      <w:r>
        <w:t xml:space="preserve">A Organização de Campo</w:t>
      </w:r>
    </w:p>
    <w:p>
      <w:pPr>
        <w:pStyle w:val="FirstParagraph"/>
      </w:pPr>
      <w:r>
        <w:t xml:space="preserve">O diretor de campo Luis Ortega via a campanha como uma operação de construção de capacidade. Escritórios, organizadores, líderes voluntários, rotas de mobilização porta a porta, centrais telefônicas, equipes de correção de cédulas e suporte jurídico tinham que ser montados antes de serem necessários. Um novo organizador exigia recrutamento, treinamento, acesso a dados, supervisão e relações locais. Fechar um escritório mais tarde economizaria menos dinheiro do que o esperado e poderia prejudicar o moral. Ortega, portanto, queria compromissos antecipados nos sete estados.</w:t>
      </w:r>
    </w:p>
    <w:p>
      <w:pPr>
        <w:pStyle w:val="BodyText"/>
      </w:pPr>
      <w:r>
        <w:t xml:space="preserve">A organização mais forte estava em Northlake, onde a campanha tinha 31 escritórios, 420 funcionários remunerados e mais de 18.000 voluntários que haviam completado pelo menos um turno. Sonora tinha apenas 12 escritórios e 135 funcionários espalhados por um território muito maior. Great Plains tinha organizações partidárias fortes em duas áreas metropolitanas, mas cobertura fraca em condados industriais menores. Silver Basin tinha poucos votos eleitorais, mas seus mercados de mídia eram relativamente baratos e sua população estava concentrada. Piedmont tinha o maior potencial de novos eleitores, mas regras de registro e crescimento populacional rápido tornavam o cadastro eleitoral menos confiável.</w:t>
      </w:r>
    </w:p>
    <w:bookmarkStart w:id="16" w:name="X15dbba7902fa746a9c0618be1fb08b8939872e3"/>
    <w:p>
      <w:pPr>
        <w:pStyle w:val="Heading2"/>
      </w:pPr>
      <w:r>
        <w:t xml:space="preserve">Exhibit 4. Capacidade de Campo nos Estados-Pêndulo</w:t>
      </w:r>
    </w:p>
    <w:tbl>
      <w:tblPr>
        <w:tblStyle w:val="Table"/>
        <w:tblW w:type="pct" w:w="4877"/>
        <w:tblLayout w:type="fixed"/>
        <w:tblLook w:firstRow="1" w:lastRow="0" w:firstColumn="0" w:lastColumn="0" w:noHBand="0" w:noVBand="0" w:val="0020"/>
      </w:tblPr>
      <w:tblGrid>
        <w:gridCol w:w="1466"/>
        <w:gridCol w:w="977"/>
        <w:gridCol w:w="1271"/>
        <w:gridCol w:w="1955"/>
        <w:gridCol w:w="2053"/>
      </w:tblGrid>
      <w:tr>
        <w:trPr>
          <w:tblHeader w:val="on"/>
        </w:trPr>
        <w:tc>
          <w:tcPr/>
          <w:p>
            <w:pPr>
              <w:pStyle w:val="Compact"/>
              <w:jc w:val="left"/>
            </w:pPr>
            <w:r>
              <w:t xml:space="preserve">Estado</w:t>
            </w:r>
          </w:p>
        </w:tc>
        <w:tc>
          <w:tcPr/>
          <w:p>
            <w:pPr>
              <w:pStyle w:val="Compact"/>
            </w:pPr>
            <w:r>
              <w:t xml:space="preserve">Escritório</w:t>
            </w:r>
          </w:p>
        </w:tc>
        <w:tc>
          <w:tcPr/>
          <w:p>
            <w:pPr>
              <w:pStyle w:val="Compact"/>
            </w:pPr>
            <w:r>
              <w:t xml:space="preserve">s Funcionár</w:t>
            </w:r>
          </w:p>
        </w:tc>
        <w:tc>
          <w:tcPr/>
          <w:p>
            <w:pPr>
              <w:pStyle w:val="Compact"/>
            </w:pPr>
            <w:r>
              <w:t xml:space="preserve">ios remunerados Vo</w:t>
            </w:r>
          </w:p>
        </w:tc>
        <w:tc>
          <w:tcPr/>
          <w:p>
            <w:pPr>
              <w:pStyle w:val="Compact"/>
            </w:pPr>
            <w:r>
              <w:t xml:space="preserve">luntários ativos Solicitação adicional</w:t>
            </w:r>
          </w:p>
        </w:tc>
      </w:tr>
      <w:tr>
        <w:tc>
          <w:tcPr/>
          <w:p>
            <w:pPr>
              <w:pStyle w:val="Compact"/>
              <w:jc w:val="left"/>
            </w:pPr>
            <w:r>
              <w:t xml:space="preserve">Northlake</w:t>
            </w:r>
          </w:p>
        </w:tc>
        <w:tc>
          <w:tcPr/>
          <w:p>
            <w:pPr>
              <w:pStyle w:val="Compact"/>
            </w:pPr>
            <w:r>
              <w:t xml:space="preserve">31</w:t>
            </w:r>
          </w:p>
        </w:tc>
        <w:tc>
          <w:tcPr/>
          <w:p>
            <w:pPr>
              <w:pStyle w:val="Compact"/>
            </w:pPr>
            <w:r>
              <w:t xml:space="preserve">420</w:t>
            </w:r>
          </w:p>
        </w:tc>
        <w:tc>
          <w:tcPr/>
          <w:p>
            <w:pPr>
              <w:pStyle w:val="Compact"/>
            </w:pPr>
            <w:r>
              <w:t xml:space="preserve">18,200</w:t>
            </w:r>
          </w:p>
        </w:tc>
        <w:tc>
          <w:tcPr/>
          <w:p>
            <w:pPr>
              <w:pStyle w:val="Compact"/>
            </w:pPr>
            <w:r>
              <w:t xml:space="preserve">$8.5 million</w:t>
            </w:r>
          </w:p>
        </w:tc>
      </w:tr>
      <w:tr>
        <w:tc>
          <w:tcPr/>
          <w:p>
            <w:pPr>
              <w:pStyle w:val="Compact"/>
              <w:jc w:val="left"/>
            </w:pPr>
            <w:r>
              <w:t xml:space="preserve">Great Plains</w:t>
            </w:r>
          </w:p>
        </w:tc>
        <w:tc>
          <w:tcPr/>
          <w:p>
            <w:pPr>
              <w:pStyle w:val="Compact"/>
            </w:pPr>
            <w:r>
              <w:t xml:space="preserve">22</w:t>
            </w:r>
          </w:p>
        </w:tc>
        <w:tc>
          <w:tcPr/>
          <w:p>
            <w:pPr>
              <w:pStyle w:val="Compact"/>
            </w:pPr>
            <w:r>
              <w:t xml:space="preserve">286</w:t>
            </w:r>
          </w:p>
        </w:tc>
        <w:tc>
          <w:tcPr/>
          <w:p>
            <w:pPr>
              <w:pStyle w:val="Compact"/>
            </w:pPr>
            <w:r>
              <w:t xml:space="preserve">10,400</w:t>
            </w:r>
          </w:p>
        </w:tc>
        <w:tc>
          <w:tcPr/>
          <w:p>
            <w:pPr>
              <w:pStyle w:val="Compact"/>
            </w:pPr>
            <w:r>
              <w:t xml:space="preserve">$7.2 million</w:t>
            </w:r>
          </w:p>
        </w:tc>
      </w:tr>
      <w:tr>
        <w:tc>
          <w:tcPr/>
          <w:p>
            <w:pPr>
              <w:pStyle w:val="Compact"/>
              <w:jc w:val="left"/>
            </w:pPr>
            <w:r>
              <w:t xml:space="preserve">Piedmont</w:t>
            </w:r>
          </w:p>
        </w:tc>
        <w:tc>
          <w:tcPr/>
          <w:p>
            <w:pPr>
              <w:pStyle w:val="Compact"/>
            </w:pPr>
            <w:r>
              <w:t xml:space="preserve">20</w:t>
            </w:r>
          </w:p>
        </w:tc>
        <w:tc>
          <w:tcPr/>
          <w:p>
            <w:pPr>
              <w:pStyle w:val="Compact"/>
            </w:pPr>
            <w:r>
              <w:t xml:space="preserve">305</w:t>
            </w:r>
          </w:p>
        </w:tc>
        <w:tc>
          <w:tcPr/>
          <w:p>
            <w:pPr>
              <w:pStyle w:val="Compact"/>
            </w:pPr>
            <w:r>
              <w:t xml:space="preserve">9,100</w:t>
            </w:r>
          </w:p>
        </w:tc>
        <w:tc>
          <w:tcPr/>
          <w:p>
            <w:pPr>
              <w:pStyle w:val="Compact"/>
            </w:pPr>
            <w:r>
              <w:t xml:space="preserve">$9.4 million</w:t>
            </w:r>
          </w:p>
        </w:tc>
      </w:tr>
      <w:tr>
        <w:tc>
          <w:tcPr/>
          <w:p>
            <w:pPr>
              <w:pStyle w:val="Compact"/>
              <w:jc w:val="left"/>
            </w:pPr>
            <w:r>
              <w:t xml:space="preserve">Midland</w:t>
            </w:r>
          </w:p>
        </w:tc>
        <w:tc>
          <w:tcPr/>
          <w:p>
            <w:pPr>
              <w:pStyle w:val="Compact"/>
            </w:pPr>
            <w:r>
              <w:t xml:space="preserve">25</w:t>
            </w:r>
          </w:p>
        </w:tc>
        <w:tc>
          <w:tcPr/>
          <w:p>
            <w:pPr>
              <w:pStyle w:val="Compact"/>
            </w:pPr>
            <w:r>
              <w:t xml:space="preserve">338</w:t>
            </w:r>
          </w:p>
        </w:tc>
        <w:tc>
          <w:tcPr/>
          <w:p>
            <w:pPr>
              <w:pStyle w:val="Compact"/>
            </w:pPr>
            <w:r>
              <w:t xml:space="preserve">13,700</w:t>
            </w:r>
          </w:p>
        </w:tc>
        <w:tc>
          <w:tcPr/>
          <w:p>
            <w:pPr>
              <w:pStyle w:val="Compact"/>
            </w:pPr>
            <w:r>
              <w:t xml:space="preserve">$7.8 million</w:t>
            </w:r>
          </w:p>
        </w:tc>
      </w:tr>
      <w:tr>
        <w:tc>
          <w:tcPr/>
          <w:p>
            <w:pPr>
              <w:pStyle w:val="Compact"/>
              <w:jc w:val="left"/>
            </w:pPr>
            <w:r>
              <w:t xml:space="preserve">Sonora</w:t>
            </w:r>
          </w:p>
        </w:tc>
        <w:tc>
          <w:tcPr/>
          <w:p>
            <w:pPr>
              <w:pStyle w:val="Compact"/>
            </w:pPr>
            <w:r>
              <w:t xml:space="preserve">12</w:t>
            </w:r>
          </w:p>
        </w:tc>
        <w:tc>
          <w:tcPr/>
          <w:p>
            <w:pPr>
              <w:pStyle w:val="Compact"/>
            </w:pPr>
            <w:r>
              <w:t xml:space="preserve">135</w:t>
            </w:r>
          </w:p>
        </w:tc>
        <w:tc>
          <w:tcPr/>
          <w:p>
            <w:pPr>
              <w:pStyle w:val="Compact"/>
            </w:pPr>
            <w:r>
              <w:t xml:space="preserve">5,300</w:t>
            </w:r>
          </w:p>
        </w:tc>
        <w:tc>
          <w:tcPr/>
          <w:p>
            <w:pPr>
              <w:pStyle w:val="Compact"/>
            </w:pPr>
            <w:r>
              <w:t xml:space="preserve">$8.9 million</w:t>
            </w:r>
          </w:p>
        </w:tc>
      </w:tr>
      <w:tr>
        <w:tc>
          <w:tcPr/>
          <w:p>
            <w:pPr>
              <w:pStyle w:val="Compact"/>
              <w:jc w:val="left"/>
            </w:pPr>
            <w:r>
              <w:t xml:space="preserve">Lakeland</w:t>
            </w:r>
          </w:p>
        </w:tc>
        <w:tc>
          <w:tcPr/>
          <w:p>
            <w:pPr>
              <w:pStyle w:val="Compact"/>
            </w:pPr>
            <w:r>
              <w:t xml:space="preserve">18</w:t>
            </w:r>
          </w:p>
        </w:tc>
        <w:tc>
          <w:tcPr/>
          <w:p>
            <w:pPr>
              <w:pStyle w:val="Compact"/>
            </w:pPr>
            <w:r>
              <w:t xml:space="preserve">224</w:t>
            </w:r>
          </w:p>
        </w:tc>
        <w:tc>
          <w:tcPr/>
          <w:p>
            <w:pPr>
              <w:pStyle w:val="Compact"/>
            </w:pPr>
            <w:r>
              <w:t xml:space="preserve">8,800</w:t>
            </w:r>
          </w:p>
        </w:tc>
        <w:tc>
          <w:tcPr/>
          <w:p>
            <w:pPr>
              <w:pStyle w:val="Compact"/>
            </w:pPr>
            <w:r>
              <w:t xml:space="preserve">$5.7 million</w:t>
            </w:r>
          </w:p>
        </w:tc>
      </w:tr>
      <w:tr>
        <w:tc>
          <w:tcPr/>
          <w:p>
            <w:pPr>
              <w:pStyle w:val="Compact"/>
              <w:jc w:val="left"/>
            </w:pPr>
            <w:r>
              <w:t xml:space="preserve">Silver Basin</w:t>
            </w:r>
          </w:p>
        </w:tc>
        <w:tc>
          <w:tcPr/>
          <w:p>
            <w:pPr>
              <w:pStyle w:val="Compact"/>
            </w:pPr>
            <w:r>
              <w:t xml:space="preserve">9</w:t>
            </w:r>
          </w:p>
        </w:tc>
        <w:tc>
          <w:tcPr/>
          <w:p>
            <w:pPr>
              <w:pStyle w:val="Compact"/>
            </w:pPr>
            <w:r>
              <w:t xml:space="preserve">96</w:t>
            </w:r>
          </w:p>
        </w:tc>
        <w:tc>
          <w:tcPr/>
          <w:p>
            <w:pPr>
              <w:pStyle w:val="Compact"/>
            </w:pPr>
            <w:r>
              <w:t xml:space="preserve">3,900</w:t>
            </w:r>
          </w:p>
        </w:tc>
        <w:tc>
          <w:tcPr/>
          <w:p>
            <w:pPr>
              <w:pStyle w:val="Compact"/>
            </w:pPr>
            <w:r>
              <w:t xml:space="preserve">$3.4 million</w:t>
            </w:r>
          </w:p>
        </w:tc>
      </w:tr>
    </w:tbl>
    <w:bookmarkEnd w:id="16"/>
    <w:bookmarkEnd w:id="17"/>
    <w:bookmarkStart w:id="19" w:name="o-que-as-pesquisas-realmente-diziam"/>
    <w:p>
      <w:pPr>
        <w:pStyle w:val="Heading1"/>
      </w:pPr>
      <w:r>
        <w:t xml:space="preserve">O que as Pesquisas Realmente Diziam?</w:t>
      </w:r>
    </w:p>
    <w:p>
      <w:pPr>
        <w:pStyle w:val="FirstParagraph"/>
      </w:pPr>
      <w:r>
        <w:t xml:space="preserve">A diretora de pesquisas Priya Shah advertiu contra tratar o Exhibit 1 como preciso. Cada estimativa combinava pesquisas, suposições de comparecimento, ajustes de não resposta e julgamentos sobre eleitores prováveis. Em vários estados, mudar o modelo de eleitor provável movia a margem mais do que o erro amostral relatado. Os entrevistados também podiam mudar de ideia ou deixar de votar.</w:t>
      </w:r>
    </w:p>
    <w:p>
      <w:pPr>
        <w:pStyle w:val="BodyText"/>
      </w:pPr>
      <w:r>
        <w:t xml:space="preserve">Shah propôs experimentos controlados de mensagem, entrevistas e pesquisas rápidas em vez de outra rodada completa de pesquisas estaduais. Os gerentes estaduais queriam orientação em nível de condado, enquanto doadores e dirigentes partidários esperavam números gerais. Chen se perguntava se a campanha estava comprando informação para melhorar decisões ou números que os departamentos pudessem usar para defender preferências já existentes.</w:t>
      </w:r>
    </w:p>
    <w:bookmarkStart w:id="18" w:name="X11bc895c0fcf33cf0efbef20398b41073611ecd"/>
    <w:p>
      <w:pPr>
        <w:pStyle w:val="Heading2"/>
      </w:pPr>
      <w:r>
        <w:t xml:space="preserve">Exhibit 5. Alternativas de Pesquisa Interna</w:t>
      </w:r>
    </w:p>
    <w:tbl>
      <w:tblPr>
        <w:tblStyle w:val="Table"/>
        <w:tblW w:type="pct" w:w="4919"/>
        <w:tblLayout w:type="fixed"/>
        <w:tblLook w:firstRow="1" w:lastRow="0" w:firstColumn="0" w:lastColumn="0" w:noHBand="0" w:noVBand="0" w:val="0020"/>
      </w:tblPr>
      <w:tblGrid>
        <w:gridCol w:w="2768"/>
        <w:gridCol w:w="1030"/>
        <w:gridCol w:w="1674"/>
        <w:gridCol w:w="2318"/>
      </w:tblGrid>
      <w:tr>
        <w:trPr>
          <w:tblHeader w:val="on"/>
        </w:trPr>
        <w:tc>
          <w:tcPr/>
          <w:p>
            <w:pPr>
              <w:pStyle w:val="Compact"/>
              <w:jc w:val="left"/>
            </w:pPr>
            <w:r>
              <w:t xml:space="preserve">Programa</w:t>
            </w:r>
          </w:p>
        </w:tc>
        <w:tc>
          <w:tcPr/>
          <w:p>
            <w:pPr>
              <w:pStyle w:val="Compact"/>
              <w:jc w:val="left"/>
            </w:pPr>
            <w:r>
              <w:t xml:space="preserve">Custo</w:t>
            </w:r>
          </w:p>
        </w:tc>
        <w:tc>
          <w:tcPr/>
          <w:p>
            <w:pPr>
              <w:pStyle w:val="Compact"/>
              <w:jc w:val="left"/>
            </w:pPr>
            <w:r>
              <w:t xml:space="preserve">Prazo</w:t>
            </w:r>
          </w:p>
        </w:tc>
        <w:tc>
          <w:tcPr/>
          <w:p>
            <w:pPr>
              <w:pStyle w:val="Compact"/>
              <w:jc w:val="left"/>
            </w:pPr>
            <w:r>
              <w:t xml:space="preserve">O que poderia esclarecer</w:t>
            </w:r>
          </w:p>
        </w:tc>
      </w:tr>
      <w:tr>
        <w:tc>
          <w:tcPr/>
          <w:p>
            <w:pPr>
              <w:pStyle w:val="Compact"/>
              <w:jc w:val="left"/>
            </w:pPr>
            <w:r>
              <w:t xml:space="preserve">Pesquisa completa nos estados-pêndulo, duas</w:t>
            </w:r>
          </w:p>
        </w:tc>
        <w:tc>
          <w:tcPr/>
          <w:p>
            <w:pPr>
              <w:pStyle w:val="Compact"/>
              <w:jc w:val="left"/>
            </w:pPr>
            <w:r>
              <w:t xml:space="preserve">vezes por mês</w:t>
            </w:r>
          </w:p>
        </w:tc>
        <w:tc>
          <w:tcPr/>
          <w:p>
            <w:pPr>
              <w:pStyle w:val="Compact"/>
              <w:jc w:val="left"/>
            </w:pPr>
            <w:r>
              <w:t xml:space="preserve">$6.8 million Resultado</w:t>
            </w:r>
          </w:p>
        </w:tc>
        <w:tc>
          <w:tcPr/>
          <w:p>
            <w:pPr>
              <w:pStyle w:val="Compact"/>
              <w:jc w:val="left"/>
            </w:pPr>
            <w:r>
              <w:t xml:space="preserve">s em 5-7 dias Margens estaduais e principais subgrupos</w:t>
            </w:r>
          </w:p>
        </w:tc>
      </w:tr>
      <w:tr>
        <w:tc>
          <w:tcPr/>
          <w:p>
            <w:pPr>
              <w:pStyle w:val="Compact"/>
              <w:jc w:val="left"/>
            </w:pPr>
            <w:r>
              <w:t xml:space="preserve">Pesquisa de acompanhamento diário multiesta</w:t>
            </w:r>
          </w:p>
        </w:tc>
        <w:tc>
          <w:tcPr/>
          <w:p>
            <w:pPr>
              <w:pStyle w:val="Compact"/>
              <w:jc w:val="left"/>
            </w:pPr>
            <w:r>
              <w:t xml:space="preserve">dual $4.9 mil</w:t>
            </w:r>
          </w:p>
        </w:tc>
        <w:tc>
          <w:tcPr/>
          <w:p>
            <w:pPr>
              <w:pStyle w:val="Compact"/>
              <w:jc w:val="left"/>
            </w:pPr>
            <w:r>
              <w:t xml:space="preserve">lion Estimativas contínu</w:t>
            </w:r>
          </w:p>
        </w:tc>
        <w:tc>
          <w:tcPr/>
          <w:p>
            <w:pPr>
              <w:pStyle w:val="Compact"/>
              <w:jc w:val="left"/>
            </w:pPr>
            <w:r>
              <w:t xml:space="preserve">as de 3 dias Direção e velocidade da mudança</w:t>
            </w:r>
          </w:p>
        </w:tc>
      </w:tr>
      <w:tr>
        <w:tc>
          <w:tcPr/>
          <w:p>
            <w:pPr>
              <w:pStyle w:val="Compact"/>
              <w:jc w:val="left"/>
            </w:pPr>
            <w:r>
              <w:t xml:space="preserve">Experimentos de mensagem e entrevistas</w:t>
            </w:r>
          </w:p>
        </w:tc>
        <w:tc>
          <w:tcPr/>
          <w:p>
            <w:pPr>
              <w:pStyle w:val="Compact"/>
              <w:jc w:val="left"/>
            </w:pPr>
            <w:r>
              <w:t xml:space="preserve">$3.2 million</w:t>
            </w:r>
          </w:p>
        </w:tc>
        <w:tc>
          <w:tcPr/>
          <w:p>
            <w:pPr>
              <w:pStyle w:val="Compact"/>
              <w:jc w:val="left"/>
            </w:pPr>
            <w:r>
              <w:t xml:space="preserve">2-10 dias</w:t>
            </w:r>
          </w:p>
        </w:tc>
        <w:tc>
          <w:tcPr/>
          <w:p>
            <w:pPr>
              <w:pStyle w:val="Compact"/>
              <w:jc w:val="left"/>
            </w:pPr>
            <w:r>
              <w:t xml:space="preserve">Resposta a temas e linguagem</w:t>
            </w:r>
          </w:p>
        </w:tc>
      </w:tr>
      <w:tr>
        <w:tc>
          <w:tcPr/>
          <w:p>
            <w:pPr>
              <w:pStyle w:val="Compact"/>
              <w:jc w:val="left"/>
            </w:pPr>
            <w:r>
              <w:t xml:space="preserve">Atualização de modelagem do cadastro eleito</w:t>
            </w:r>
          </w:p>
        </w:tc>
        <w:tc>
          <w:tcPr/>
          <w:p>
            <w:pPr>
              <w:pStyle w:val="Compact"/>
              <w:jc w:val="left"/>
            </w:pPr>
            <w:r>
              <w:t xml:space="preserve">ral em nível de</w:t>
            </w:r>
          </w:p>
        </w:tc>
        <w:tc>
          <w:tcPr/>
          <w:p>
            <w:pPr>
              <w:pStyle w:val="Compact"/>
              <w:jc w:val="left"/>
            </w:pPr>
            <w:r>
              <w:t xml:space="preserve">condado $2.6 million</w:t>
            </w:r>
          </w:p>
        </w:tc>
        <w:tc>
          <w:tcPr/>
          <w:p>
            <w:pPr>
              <w:pStyle w:val="Compact"/>
              <w:jc w:val="left"/>
            </w:pPr>
            <w:r>
              <w:t xml:space="preserve">3 semanas Direcionamento geográfico e comparecimento</w:t>
            </w:r>
          </w:p>
        </w:tc>
      </w:tr>
      <w:tr>
        <w:tc>
          <w:tcPr/>
          <w:p>
            <w:pPr>
              <w:pStyle w:val="Compact"/>
              <w:jc w:val="left"/>
            </w:pPr>
            <w:r>
              <w:t xml:space="preserve">Pesquisa mínima de conformidade e referênci</w:t>
            </w:r>
          </w:p>
        </w:tc>
        <w:tc>
          <w:tcPr/>
          <w:p>
            <w:pPr>
              <w:pStyle w:val="Compact"/>
              <w:jc w:val="left"/>
            </w:pPr>
            <w:r>
              <w:t xml:space="preserve">a $1.1 millio</w:t>
            </w:r>
          </w:p>
        </w:tc>
        <w:tc>
          <w:tcPr/>
          <w:p>
            <w:pPr>
              <w:pStyle w:val="Compact"/>
              <w:jc w:val="left"/>
            </w:pPr>
            <w:r>
              <w:t xml:space="preserve">n Conforme necessário</w:t>
            </w:r>
          </w:p>
        </w:tc>
        <w:tc>
          <w:tcPr/>
          <w:p>
            <w:pPr>
              <w:pStyle w:val="Compact"/>
              <w:jc w:val="left"/>
            </w:pPr>
            <w:r>
              <w:t xml:space="preserve">Monitoramento básico da campanha</w:t>
            </w:r>
          </w:p>
        </w:tc>
      </w:tr>
    </w:tbl>
    <w:bookmarkEnd w:id="18"/>
    <w:bookmarkEnd w:id="19"/>
    <w:bookmarkStart w:id="20" w:name="eventos-que-a-campanha-não-podia-agendar"/>
    <w:p>
      <w:pPr>
        <w:pStyle w:val="Heading1"/>
      </w:pPr>
      <w:r>
        <w:t xml:space="preserve">Eventos que a Campanha Não Podia Agendar</w:t>
      </w:r>
    </w:p>
    <w:p>
      <w:pPr>
        <w:pStyle w:val="FirstParagraph"/>
      </w:pPr>
      <w:r>
        <w:t xml:space="preserve">O plano operaria em um ambiente que a campanha não controlava. Um relatório econômico, uma crise internacional, um desastre natural, uma decisão judicial, um erro do candidato, um vazamento, uma preocupação de saúde ou um anúncio do oponente poderiam redirecionar a atenção em horas. Grupos externos poderiam gastar sem coordenar com a campanha, reforçando a mensagem de Meridian ou forçando a defesa de um estado considerado seguro.</w:t>
      </w:r>
    </w:p>
    <w:p>
      <w:pPr>
        <w:pStyle w:val="BodyText"/>
      </w:pPr>
      <w:r>
        <w:t xml:space="preserve">A previsão financeira também era incerta. As doações de pequeno valor respondiam rapidamente a eventos, mas a fadiga dos doadores havia aumentado. A arrecadação de grandes valores dependia de um número limitado de eventos. Grupos externos podiam remodelar o ambiente midiático. Durante o ciclo 2023-2024, os comitês políticos federais movimentaram coletivamente bilhões de dólares; a campanha de Meridian era apenas um ator em um sistema muito maior.</w:t>
      </w:r>
    </w:p>
    <w:bookmarkEnd w:id="20"/>
    <w:bookmarkStart w:id="22" w:name="X106289c6b71e30a05b3f7357bd1c18226e6cc83"/>
    <w:p>
      <w:pPr>
        <w:pStyle w:val="Heading1"/>
      </w:pPr>
      <w:r>
        <w:t xml:space="preserve">Uma Decisão que Era na Verdade uma Sequência de Decisões</w:t>
      </w:r>
    </w:p>
    <w:p>
      <w:pPr>
        <w:pStyle w:val="FirstParagraph"/>
      </w:pPr>
      <w:r>
        <w:t xml:space="preserve">A equipe de Chen apresentou quatro planos: concentrar-se em Northlake, Midland e Lakeland; investir integralmente nos sete estados; enfatizar a organização de campo e o voto antecipado; ou reservar um grande montante para o último mês. Cada plano implicava uma visão diferente de onde os votos poderiam ser alterados e de quanto os eventos futuros importariam.</w:t>
      </w:r>
    </w:p>
    <w:p>
      <w:pPr>
        <w:pStyle w:val="BodyText"/>
      </w:pPr>
      <w:r>
        <w:t xml:space="preserve">Às 7h40, Chen soube que um grupo adversário havia reservado $18 million em tempo de televisão em Northlake, as doações do fim de semana estavam 22 por cento abaixo do previsto, e o candidato queria um grande discurso em Sonora. Cada pedido parecia razoável isoladamente; juntos, excediam a capacidade da campanha.</w:t>
      </w:r>
    </w:p>
    <w:bookmarkStart w:id="21" w:name="X6726ef26aed44c99a147c4687710e830dcc492a"/>
    <w:p>
      <w:pPr>
        <w:pStyle w:val="Heading2"/>
      </w:pPr>
      <w:r>
        <w:t xml:space="preserve">Exhibit 6. Quatro Estratégias de Recursos</w:t>
      </w:r>
    </w:p>
    <w:tbl>
      <w:tblPr>
        <w:tblStyle w:val="Table"/>
        <w:tblW w:type="pct" w:w="4923"/>
        <w:tblLayout w:type="fixed"/>
        <w:tblLook w:firstRow="1" w:lastRow="0" w:firstColumn="0" w:lastColumn="0" w:noHBand="0" w:noVBand="0" w:val="0020"/>
      </w:tblPr>
      <w:tblGrid>
        <w:gridCol w:w="1340"/>
        <w:gridCol w:w="1401"/>
        <w:gridCol w:w="1705"/>
        <w:gridCol w:w="3350"/>
      </w:tblGrid>
      <w:tr>
        <w:trPr>
          <w:tblHeader w:val="on"/>
        </w:trPr>
        <w:tc>
          <w:tcPr/>
          <w:p>
            <w:pPr>
              <w:pStyle w:val="Compact"/>
              <w:jc w:val="left"/>
            </w:pPr>
            <w:r>
              <w:t xml:space="preserve">Estratégia</w:t>
            </w:r>
          </w:p>
        </w:tc>
        <w:tc>
          <w:tcPr/>
          <w:p>
            <w:pPr>
              <w:pStyle w:val="Compact"/>
              <w:jc w:val="left"/>
            </w:pPr>
            <w:r>
              <w:t xml:space="preserve">Compromisso imediato</w:t>
            </w:r>
          </w:p>
        </w:tc>
        <w:tc>
          <w:tcPr/>
          <w:p>
            <w:pPr>
              <w:pStyle w:val="Compact"/>
            </w:pPr>
            <w:r>
              <w:t xml:space="preserve">Caixa reservado para o últim</w:t>
            </w:r>
          </w:p>
        </w:tc>
        <w:tc>
          <w:tcPr/>
          <w:p>
            <w:pPr>
              <w:pStyle w:val="Compact"/>
              <w:jc w:val="left"/>
            </w:pPr>
            <w:r>
              <w:t xml:space="preserve">o mês Premissa central</w:t>
            </w:r>
          </w:p>
        </w:tc>
      </w:tr>
      <w:tr>
        <w:tc>
          <w:tcPr/>
          <w:p>
            <w:pPr>
              <w:pStyle w:val="Compact"/>
              <w:jc w:val="left"/>
            </w:pPr>
            <w:r>
              <w:t xml:space="preserve">Caminho mais curto</w:t>
            </w:r>
          </w:p>
        </w:tc>
        <w:tc>
          <w:tcPr/>
          <w:p>
            <w:pPr>
              <w:pStyle w:val="Compact"/>
              <w:jc w:val="left"/>
            </w:pPr>
            <w:r>
              <w:t xml:space="preserve">$151 million</w:t>
            </w:r>
          </w:p>
        </w:tc>
        <w:tc>
          <w:tcPr/>
          <w:p>
            <w:pPr>
              <w:pStyle w:val="Compact"/>
            </w:pPr>
            <w:r>
              <w:t xml:space="preserve">$39 million</w:t>
            </w:r>
          </w:p>
        </w:tc>
        <w:tc>
          <w:tcPr/>
          <w:p>
            <w:pPr>
              <w:pStyle w:val="Compact"/>
              <w:jc w:val="left"/>
            </w:pPr>
            <w:r>
              <w:t xml:space="preserve">Proteger a rota mais plausível para 270</w:t>
            </w:r>
          </w:p>
        </w:tc>
      </w:tr>
      <w:tr>
        <w:tc>
          <w:tcPr/>
          <w:p>
            <w:pPr>
              <w:pStyle w:val="Compact"/>
              <w:jc w:val="left"/>
            </w:pPr>
            <w:r>
              <w:t xml:space="preserve">Disputa nos sete estad</w:t>
            </w:r>
          </w:p>
        </w:tc>
        <w:tc>
          <w:tcPr/>
          <w:p>
            <w:pPr>
              <w:pStyle w:val="Compact"/>
              <w:jc w:val="left"/>
            </w:pPr>
            <w:r>
              <w:t xml:space="preserve">os $178 million</w:t>
            </w:r>
          </w:p>
        </w:tc>
        <w:tc>
          <w:tcPr/>
          <w:p>
            <w:pPr>
              <w:pStyle w:val="Compact"/>
            </w:pPr>
            <w:r>
              <w:t xml:space="preserve">$12 million</w:t>
            </w:r>
          </w:p>
        </w:tc>
        <w:tc>
          <w:tcPr/>
          <w:p>
            <w:pPr>
              <w:pStyle w:val="Compact"/>
              <w:jc w:val="left"/>
            </w:pPr>
            <w:r>
              <w:t xml:space="preserve">Manter todos os estados-pêndulo totalmente competitivos</w:t>
            </w:r>
          </w:p>
        </w:tc>
      </w:tr>
      <w:tr>
        <w:tc>
          <w:tcPr/>
          <w:p>
            <w:pPr>
              <w:pStyle w:val="Compact"/>
              <w:jc w:val="left"/>
            </w:pPr>
            <w:r>
              <w:t xml:space="preserve">Organização em primeir</w:t>
            </w:r>
          </w:p>
        </w:tc>
        <w:tc>
          <w:tcPr/>
          <w:p>
            <w:pPr>
              <w:pStyle w:val="Compact"/>
              <w:jc w:val="left"/>
            </w:pPr>
            <w:r>
              <w:t xml:space="preserve">o lugar $159 milli</w:t>
            </w:r>
          </w:p>
        </w:tc>
        <w:tc>
          <w:tcPr/>
          <w:p>
            <w:pPr>
              <w:pStyle w:val="Compact"/>
            </w:pPr>
            <w:r>
              <w:t xml:space="preserve">on $31 million</w:t>
            </w:r>
          </w:p>
        </w:tc>
        <w:tc>
          <w:tcPr/>
          <w:p>
            <w:pPr>
              <w:pStyle w:val="Compact"/>
              <w:jc w:val="left"/>
            </w:pPr>
            <w:r>
              <w:t xml:space="preserve">A capacidade de campo e o voto antecipado serão decisivos</w:t>
            </w:r>
          </w:p>
        </w:tc>
      </w:tr>
      <w:tr>
        <w:tc>
          <w:tcPr/>
          <w:p>
            <w:pPr>
              <w:pStyle w:val="Compact"/>
              <w:jc w:val="left"/>
            </w:pPr>
            <w:r>
              <w:t xml:space="preserve">Reserva adaptativa</w:t>
            </w:r>
          </w:p>
        </w:tc>
        <w:tc>
          <w:tcPr/>
          <w:p>
            <w:pPr>
              <w:pStyle w:val="Compact"/>
              <w:jc w:val="left"/>
            </w:pPr>
            <w:r>
              <w:t xml:space="preserve">$132 million</w:t>
            </w:r>
          </w:p>
        </w:tc>
        <w:tc>
          <w:tcPr/>
          <w:p>
            <w:pPr>
              <w:pStyle w:val="Compact"/>
            </w:pPr>
            <w:r>
              <w:t xml:space="preserve">$58 million</w:t>
            </w:r>
          </w:p>
        </w:tc>
        <w:tc>
          <w:tcPr/>
          <w:p>
            <w:pPr>
              <w:pStyle w:val="Compact"/>
              <w:jc w:val="left"/>
            </w:pPr>
            <w:r>
              <w:t xml:space="preserve">Eventos futuros e informação mudarão as prioridades</w:t>
            </w:r>
          </w:p>
        </w:tc>
      </w:tr>
    </w:tbl>
    <w:bookmarkEnd w:id="21"/>
    <w:bookmarkEnd w:id="22"/>
    <w:bookmarkStart w:id="23" w:name="questões-de-discussão"/>
    <w:p>
      <w:pPr>
        <w:pStyle w:val="Heading1"/>
      </w:pPr>
      <w:r>
        <w:t xml:space="preserve">Questões de Discussão</w:t>
      </w:r>
    </w:p>
    <w:p>
      <w:pPr>
        <w:numPr>
          <w:ilvl w:val="0"/>
          <w:numId w:val="1001"/>
        </w:numPr>
      </w:pPr>
      <w:r>
        <w:t xml:space="preserve">Qual é o problema central enfrentado por Maya Chen, e por que ele é mais difícil do que selecionar o estado com a pesquisa mais acirrada?</w:t>
      </w:r>
    </w:p>
    <w:p>
      <w:pPr>
        <w:numPr>
          <w:ilvl w:val="0"/>
          <w:numId w:val="1001"/>
        </w:numPr>
      </w:pPr>
      <w:r>
        <w:t xml:space="preserve">Como a campanha deveria avaliar estados que diferem em votos eleitorais, margens de pesquisa, comparecimento, custos de mídia e capacidade organizacional?</w:t>
      </w:r>
    </w:p>
    <w:p>
      <w:pPr>
        <w:numPr>
          <w:ilvl w:val="0"/>
          <w:numId w:val="1001"/>
        </w:numPr>
      </w:pPr>
      <w:r>
        <w:t xml:space="preserve">Quanto dinheiro deveria ser comprometido imediatamente, e quanto deveria permanecer disponível para o último mês?</w:t>
      </w:r>
    </w:p>
    <w:p>
      <w:pPr>
        <w:numPr>
          <w:ilvl w:val="0"/>
          <w:numId w:val="1001"/>
        </w:numPr>
      </w:pPr>
      <w:r>
        <w:t xml:space="preserve">Como as viagens do candidato deveriam ser divididas entre persuasão, comparecimento, arrecadação de fundos, mídia nacional e resposta rápida?</w:t>
      </w:r>
    </w:p>
    <w:p>
      <w:pPr>
        <w:numPr>
          <w:ilvl w:val="0"/>
          <w:numId w:val="1001"/>
        </w:numPr>
      </w:pPr>
      <w:r>
        <w:t xml:space="preserve">Quais canais de publicidade e contato com eleitores merecem prioridade? Que evidências apoiariam a transferência de dinheiro entre eles?</w:t>
      </w:r>
    </w:p>
    <w:p>
      <w:pPr>
        <w:numPr>
          <w:ilvl w:val="0"/>
          <w:numId w:val="1001"/>
        </w:numPr>
      </w:pPr>
      <w:r>
        <w:t xml:space="preserve">Que informação a campanha deveria coletar nas próximas três semanas? Quais atividades propostas de pesquisa ou investigação parecem mais valiosas?</w:t>
      </w:r>
    </w:p>
    <w:p>
      <w:pPr>
        <w:numPr>
          <w:ilvl w:val="0"/>
          <w:numId w:val="1001"/>
        </w:numPr>
      </w:pPr>
      <w:r>
        <w:t xml:space="preserve">Como a campanha deveria distinguir uma mudança real nas atitudes dos eleitores de ruído de pesquisa ou de uma mudança nas suposições sobre comparecimento?</w:t>
      </w:r>
    </w:p>
    <w:p>
      <w:pPr>
        <w:numPr>
          <w:ilvl w:val="0"/>
          <w:numId w:val="1001"/>
        </w:numPr>
      </w:pPr>
      <w:r>
        <w:t xml:space="preserve">A campanha deveria se concentrar em um caminho estreito para 270 ou manter operações confiáveis nos sete estados disputados?</w:t>
      </w:r>
    </w:p>
    <w:p>
      <w:pPr>
        <w:numPr>
          <w:ilvl w:val="0"/>
          <w:numId w:val="1001"/>
        </w:numPr>
      </w:pPr>
      <w:r>
        <w:t xml:space="preserve">Quais indicadores deveriam desencadear a expansão, redução ou fechamento de uma operação estadual?</w:t>
      </w:r>
    </w:p>
    <w:p>
      <w:pPr>
        <w:numPr>
          <w:ilvl w:val="0"/>
          <w:numId w:val="1001"/>
        </w:numPr>
      </w:pPr>
      <w:r>
        <w:t xml:space="preserve">Como a campanha deveria se preparar para grandes eventos noticiosos, gastos do oponente, preocupações com a saúde do candidato, desinformação ou perturbações na administração eleitoral?</w:t>
      </w:r>
    </w:p>
    <w:bookmarkEnd w:id="23"/>
    <w:bookmarkStart w:id="29" w:name="questões-de-enquadramento-da-decisão"/>
    <w:p>
      <w:pPr>
        <w:pStyle w:val="Heading1"/>
      </w:pPr>
      <w:r>
        <w:t xml:space="preserve">Questões de Enquadramento da Decisão</w:t>
      </w:r>
    </w:p>
    <w:p>
      <w:pPr>
        <w:numPr>
          <w:ilvl w:val="0"/>
          <w:numId w:val="1002"/>
        </w:numPr>
      </w:pPr>
      <w:r>
        <w:t xml:space="preserve">Identifique e descreva as responsabilidades do tomador de decisão. Isso deve definir o escopo do problema.</w:t>
      </w:r>
    </w:p>
    <w:p>
      <w:pPr>
        <w:numPr>
          <w:ilvl w:val="0"/>
          <w:numId w:val="1002"/>
        </w:numPr>
      </w:pPr>
      <w:r>
        <w:t xml:space="preserve">Use a</w:t>
      </w:r>
      <w:r>
        <w:t xml:space="preserve"> </w:t>
      </w:r>
      <w:hyperlink r:id="rId24">
        <w:r>
          <w:rPr>
            <w:rStyle w:val="Hyperlink"/>
          </w:rPr>
          <w:t xml:space="preserve">ferramenta de pirâmide de métricas</w:t>
        </w:r>
      </w:hyperlink>
      <w:r>
        <w:t xml:space="preserve"> </w:t>
      </w:r>
      <w:r>
        <w:t xml:space="preserve">para identificar e priorizar as diferentes métricas de desempenho. Clique na oval que contém a métrica para identificar se é uma métrica a ser maximizada (verde), minimizada (vermelho), uma meta que é um piso (verde claro) ou um teto (vermelho claro), ou, por fim, uma meta-alvo (roxo).</w:t>
      </w:r>
    </w:p>
    <w:p>
      <w:pPr>
        <w:numPr>
          <w:ilvl w:val="0"/>
          <w:numId w:val="1002"/>
        </w:numPr>
      </w:pPr>
      <w:r>
        <w:t xml:space="preserve">Use a</w:t>
      </w:r>
      <w:r>
        <w:t xml:space="preserve"> </w:t>
      </w:r>
      <w:hyperlink r:id="rId25">
        <w:r>
          <w:rPr>
            <w:rStyle w:val="Hyperlink"/>
          </w:rPr>
          <w:t xml:space="preserve">ferramenta de priorização de decisões</w:t>
        </w:r>
      </w:hyperlink>
      <w:r>
        <w:t xml:space="preserve"> </w:t>
      </w:r>
      <w:r>
        <w:t xml:space="preserve">para primeiro listar os diferentes tipos de decisões (use os</w:t>
      </w:r>
      <w:r>
        <w:t xml:space="preserve"> </w:t>
      </w:r>
      <w:hyperlink r:id="rId26">
        <w:r>
          <w:rPr>
            <w:rStyle w:val="Hyperlink"/>
          </w:rPr>
          <w:t xml:space="preserve">tipos de decisão</w:t>
        </w:r>
      </w:hyperlink>
      <w:r>
        <w:t xml:space="preserve"> </w:t>
      </w:r>
      <w:r>
        <w:t xml:space="preserve">como guia). Estes então preencherão as linhas da matriz à direita, onde as colunas são as métricas de desempenho ordenadas da esquerda para a direita conforme a prioridade na pirâmide acima. Clique em cada célula para indicar se o impacto da decisão em cada métrica é alto (vermelho), médio (laranja), baixo (amarelo) ou nulo (branco).</w:t>
      </w:r>
    </w:p>
    <w:p>
      <w:pPr>
        <w:numPr>
          <w:ilvl w:val="0"/>
          <w:numId w:val="1002"/>
        </w:numPr>
      </w:pPr>
      <w:r>
        <w:t xml:space="preserve">Você pode segurar a alça (três barras) mais à esquerda em cada linha para movê-la para cima ou para baixo. Ordene as linhas de modo que as decisões com maior impacto nas métricas mais importantes fiquem no topo. As células no canto superior esquerdo devem ter a maior concentração de células vermelhas e laranjas. Neste ponto, identifique as decisões que deveriam receber mais atenção em seu estudo. Se você não tiver decisões com impacto médio ou alto nas métricas mais importantes, revise sua lista de decisões.</w:t>
      </w:r>
    </w:p>
    <w:p>
      <w:pPr>
        <w:numPr>
          <w:ilvl w:val="0"/>
          <w:numId w:val="1002"/>
        </w:numPr>
      </w:pPr>
      <w:r>
        <w:t xml:space="preserve">Repita o processo para listar e priorizar as incertezas usando a</w:t>
      </w:r>
      <w:r>
        <w:t xml:space="preserve"> </w:t>
      </w:r>
      <w:hyperlink r:id="rId27">
        <w:r>
          <w:rPr>
            <w:rStyle w:val="Hyperlink"/>
          </w:rPr>
          <w:t xml:space="preserve">ferramenta de priorização de incertezas</w:t>
        </w:r>
      </w:hyperlink>
      <w:r>
        <w:t xml:space="preserve">. Use as</w:t>
      </w:r>
      <w:r>
        <w:t xml:space="preserve"> </w:t>
      </w:r>
      <w:hyperlink r:id="rId28">
        <w:r>
          <w:rPr>
            <w:rStyle w:val="Hyperlink"/>
          </w:rPr>
          <w:t xml:space="preserve">categorias de incerteza</w:t>
        </w:r>
      </w:hyperlink>
      <w:r>
        <w:t xml:space="preserve"> </w:t>
      </w:r>
      <w:r>
        <w:t xml:space="preserve">para ajudá-lo a identificá-las.</w:t>
      </w:r>
    </w:p>
    <w:p>
      <w:pPr>
        <w:numPr>
          <w:ilvl w:val="0"/>
          <w:numId w:val="1002"/>
        </w:numPr>
      </w:pPr>
      <w:r>
        <w:t xml:space="preserve">É importante diferenciar as incertezas que podem ser avaliadas em média, ou como eventos de risco:</w:t>
      </w:r>
    </w:p>
    <w:p>
      <w:pPr>
        <w:numPr>
          <w:ilvl w:val="1"/>
          <w:numId w:val="1003"/>
        </w:numPr>
      </w:pPr>
      <w:r>
        <w:t xml:space="preserve">Quais fontes de incerteza seriam capturadas usando o desempenho médio ao longo do tempo?</w:t>
      </w:r>
    </w:p>
    <w:p>
      <w:pPr>
        <w:numPr>
          <w:ilvl w:val="1"/>
          <w:numId w:val="1003"/>
        </w:numPr>
      </w:pPr>
      <w:r>
        <w:t xml:space="preserve">Quais fontes de incerteza representam formas de risco que não são adequadamente capturadas usando médias?</w:t>
      </w:r>
    </w:p>
    <w:p>
      <w:pPr>
        <w:numPr>
          <w:ilvl w:val="0"/>
          <w:numId w:val="1002"/>
        </w:numPr>
      </w:pPr>
      <w:r>
        <w:t xml:space="preserve">Escolha a única decisão que parece ter o maior impacto na métrica mais importante.</w:t>
      </w:r>
    </w:p>
    <w:p>
      <w:pPr>
        <w:numPr>
          <w:ilvl w:val="1"/>
          <w:numId w:val="1004"/>
        </w:numPr>
      </w:pPr>
      <w:r>
        <w:t xml:space="preserve">Que abordagem você acha que usaria para tomar essa decisão?</w:t>
      </w:r>
    </w:p>
    <w:p>
      <w:pPr>
        <w:numPr>
          <w:ilvl w:val="1"/>
          <w:numId w:val="1004"/>
        </w:numPr>
      </w:pPr>
      <w:r>
        <w:t xml:space="preserve">Quais dados parecem ser necessários para tomar essa decisão, incluindo o cálculo de quaisquer métricas de desempenho em que a decisão teria um impacto alto ou médio.</w:t>
      </w:r>
    </w:p>
    <w:p>
      <w:pPr>
        <w:numPr>
          <w:ilvl w:val="0"/>
          <w:numId w:val="1002"/>
        </w:numPr>
      </w:pPr>
      <w:r>
        <w:t xml:space="preserve">Usando a mesma decisão que você identificou em (7), identifique as pessoas, departamentos, grupos ou organizações com os quais você precisaria trabalhar para implementar a decisão.</w:t>
      </w:r>
    </w:p>
    <w:bookmarkEnd w:id="29"/>
    <w:bookmarkStart w:id="30" w:name="nota-de-origem"/>
    <w:p>
      <w:pPr>
        <w:pStyle w:val="Heading1"/>
      </w:pPr>
      <w:r>
        <w:t xml:space="preserve">Nota de Origem</w:t>
      </w:r>
    </w:p>
    <w:p>
      <w:pPr>
        <w:pStyle w:val="FirstParagraph"/>
      </w:pPr>
      <w:r>
        <w:t xml:space="preserve">A campanha, os candidatos, os partidos, a equipe, as estimativas de pesquisa, as previsões financeiras e os exhibits são fictícios. O fundamento conceitual é a seção</w:t>
      </w:r>
      <w:r>
        <w:t xml:space="preserve"> </w:t>
      </w:r>
      <w:r>
        <w:t xml:space="preserve">“Running a presidential election”</w:t>
      </w:r>
      <w:r>
        <w:t xml:space="preserve"> </w:t>
      </w:r>
      <w:r>
        <w:t xml:space="preserve">de Warren B. Powell, Bridging Decision Problems, Volume I, Capítulo 2. Essa seção descreve a campanha presidencial como um problema operacional restrito por orçamento, envolvendo a alocação de candidato e equipe, coleta de informação, disseminação de mensagens, publicidade, escritórios de campo, pesquisas, doações, gastos, favorabilidade em mudança, viés de pesquisa, eventos noticiosos, ataques do oponente, gastos externos e saúde do candidato.</w:t>
      </w:r>
    </w:p>
    <w:p>
      <w:pPr>
        <w:pStyle w:val="BodyText"/>
      </w:pPr>
      <w:r>
        <w:t xml:space="preserve">Contexto público: O U.S. Census Bureau relatou que 174 milhões de cidadãos em idade de votar estavam registrados e 154 milhões votaram na eleição presidencial de 2024, para uma taxa de comparecimento de 65,3 por cento; 39,6 por cento votaram pessoalmente no Dia da Eleição, 30,7 por cento votaram antecipadamente em pessoa, e 29,0 por cento votaram por correio. A Federal Election Commission relatou um resultado oficial de 2024 de 312 a 226 votos eleitorais e 155.238.302 votos totais apurados para candidatos presidenciais. Resumos da FEC também mostram que candidatos federais, partidos e comitês políticos movimentaram muitos bilhões de dólares durante o ciclo 2023-2024. Fontes: U.S. Census Bureau,</w:t>
      </w:r>
      <w:r>
        <w:t xml:space="preserve"> </w:t>
      </w:r>
      <w:r>
        <w:t xml:space="preserve">“2024 Presidential Election Voting and Registration Tables Now Available”</w:t>
      </w:r>
      <w:r>
        <w:t xml:space="preserve"> </w:t>
      </w:r>
      <w:r>
        <w:t xml:space="preserve">(30 de abril de 2025); Federal Election Commission,</w:t>
      </w:r>
      <w:r>
        <w:t xml:space="preserve"> </w:t>
      </w:r>
      <w:r>
        <w:t xml:space="preserve">“Official 2024 Presidential General Election Results”</w:t>
      </w:r>
      <w:r>
        <w:t xml:space="preserve">; e FEC,</w:t>
      </w:r>
      <w:r>
        <w:t xml:space="preserve"> </w:t>
      </w:r>
      <w:r>
        <w:t xml:space="preserve">“Statistical Summary of 24-Month Campaign Activity of the 2023-2024 Election Cycle”</w:t>
      </w:r>
      <w:r>
        <w:t xml:space="preserve"> </w:t>
      </w:r>
      <w:r>
        <w:t xml:space="preserve">(23 de abril de 2025).</w:t>
      </w:r>
    </w:p>
    <w:bookmarkEnd w:id="30"/>
    <w:bookmarkStart w:id="33" w:name="notas-do-chatgpt"/>
    <w:p>
      <w:pPr>
        <w:pStyle w:val="Heading1"/>
      </w:pPr>
      <w:r>
        <w:t xml:space="preserve">Notas do ChatGPT</w:t>
      </w:r>
    </w:p>
    <w:bookmarkStart w:id="31" w:name="prompt"/>
    <w:p>
      <w:pPr>
        <w:pStyle w:val="Heading2"/>
      </w:pPr>
      <w:r>
        <w:t xml:space="preserve">Prompt</w:t>
      </w:r>
    </w:p>
    <w:p>
      <w:pPr>
        <w:pStyle w:val="FirstParagraph"/>
      </w:pPr>
      <w:r>
        <w:t xml:space="preserve">Escreva um estudo de caso de 4 a 6 páginas baseado no material da seção em https://warrenpowell.org/bridging-vol1/chapter-2/#presidentialelection. Crie um contexto baseado nas métricas, decisões e incertezas da seção, mas sem chamar explicitamente a atenção para elas. Motive seu problema de caso com dados.</w:t>
      </w:r>
    </w:p>
    <w:bookmarkEnd w:id="31"/>
    <w:bookmarkStart w:id="32" w:name="resumo"/>
    <w:p>
      <w:pPr>
        <w:pStyle w:val="Heading2"/>
      </w:pPr>
      <w:r>
        <w:t xml:space="preserve">Resumo</w:t>
      </w:r>
    </w:p>
    <w:p>
      <w:pPr>
        <w:pStyle w:val="FirstParagraph"/>
      </w:pPr>
      <w:r>
        <w:t xml:space="preserve">O caso situa uma campanha presidencial fictícia onze semanas antes do Dia da Eleição, com 93 votos eleitorais distribuídos em sete estados disputados. Ele explora demandas concorrentes por viagens do candidato, publicidade, escritórios de campo, pesquisas, arrecadação de fundos, mobilização de eleitores e reservas financeiras, sem identificar uma estratégia preferida.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2026-09-11T16:47:21Z</dcterms:created>
  <dcterms:modified xsi:type="dcterms:W3CDTF">2026-09-11T16:47:21Z</dcterms:modified>
</cp:coreProperties>
</file>

<file path=docProps/custom.xml><?xml version="1.0" encoding="utf-8"?>
<Properties xmlns="http://schemas.openxmlformats.org/officeDocument/2006/custom-properties" xmlns:vt="http://schemas.openxmlformats.org/officeDocument/2006/docPropsVTypes"/>
</file>