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NORTHBRIDGE INDUSTRIAL SYSTEMS</w:t>
      </w:r>
    </w:p>
    <w:p>
      <w:pPr>
        <w:pStyle w:val="BodyText"/>
      </w:pPr>
      <w:r>
        <w:t xml:space="preserve">A Decisão de Pagamento em Noventa Dias</w:t>
      </w:r>
    </w:p>
    <w:p>
      <w:pPr>
        <w:pStyle w:val="BodyText"/>
      </w:pPr>
      <w:r>
        <w:t xml:space="preserve">Um caso de finanças da cadeia de suprimentos sobre proteger a liquidez sem desestabilizar fornecedores críticos</w:t>
      </w:r>
    </w:p>
    <w:p>
      <w:pPr>
        <w:pStyle w:val="BodyText"/>
      </w:pPr>
      <w:r>
        <w:t xml:space="preserve">Este caso é fictício e destinado à discussão didática. Nomes, eventos, organizações e dados operacionais são inventados, embora o contexto do setor seja informado por fontes públicas.</w:t>
      </w:r>
    </w:p>
    <w:tbl>
      <w:tblPr>
        <w:tblStyle w:val="Table"/>
        <w:tblW w:type="auto" w:w="0"/>
        <w:tblLook w:firstRow="0" w:lastRow="0" w:firstColumn="0" w:lastColumn="0" w:noHBand="0" w:noVBand="0" w:val="0000"/>
      </w:tblPr>
      <w:tblGrid>
        <w:gridCol w:w="7920"/>
      </w:tblGrid>
      <w:tr>
        <w:tc>
          <w:tcPr/>
          <w:p>
            <w:pPr>
              <w:pStyle w:val="Compact"/>
            </w:pPr>
            <w:r>
              <w:t xml:space="preserve">A Northbridge tem caixa suficiente para cumprir suas próprias obrigações de curto prazo, mas não o suficiente para absorver compras de estoque impulsionadas por tarifas, preservar sua classificação de crédito e acelerar o pagamento a todo fornecedor que diz estar sob pressão. Um programa proposto de financiamento a fornecedores poderia ajudar, mas também estenderia os prazos de pagamento da Northbridge e criaria novas dependências de bancos, seguradoras e dados de transação.</w:t>
            </w:r>
          </w:p>
        </w:tc>
      </w:tr>
    </w:tbl>
    <w:p>
      <w:r>
        <w:pict>
          <v:rect style="width:0;height:1.5pt" o:hralign="center" o:hrstd="t" o:hr="t"/>
        </w:pict>
      </w:r>
    </w:p>
    <w:bookmarkStart w:id="10" w:name="X2ea36c791b7832e21fd789976b57d6056bd8899"/>
    <w:p>
      <w:pPr>
        <w:pStyle w:val="Heading1"/>
      </w:pPr>
      <w:r>
        <w:t xml:space="preserve">Uma Carteira de Pedidos Forte, um Ciclo de Caixa em Aperto</w:t>
      </w:r>
    </w:p>
    <w:p>
      <w:pPr>
        <w:pStyle w:val="FirstParagraph"/>
      </w:pPr>
      <w:r>
        <w:t xml:space="preserve">Às 7h10 de uma terça-feira de manhã em setembro de 2026, Maya Chen, diretora financeira (CFO) da Northbridge Industrial Systems, abriu um e-mail do proprietário da AlloyWorks Precision, uma fornecedora de usinagem familiar em Ohio. A AlloyWorks produzia um pequeno, porém essencial, alojamento de válvula usado nos sistemas de resfriamento industrial da Northbridge. A mensagem do fornecedor era breve: a menos que a Northbridge pudesse reduzir o prazo de pagamento de 75 dias para 30 dias, a AlloyWorks teria que reduzir a produção ou buscar um comprador.</w:t>
      </w:r>
    </w:p>
    <w:p>
      <w:pPr>
        <w:pStyle w:val="BodyText"/>
      </w:pPr>
      <w:r>
        <w:t xml:space="preserve">A Northbridge fabricava bombas, controles e conjuntos de gerenciamento térmico para data centers, processadoras de alimentos, hospitais e plantas de manufatura avançada. A receita anual havia atingido $2.8 billion, e sua carteira de pedidos pendentes era a maior da história da empresa. No entanto, a conversão de caixa havia se deteriorado. Clientes estavam solicitando prazos de pagamento mais longos, os estoques haviam aumentado para se proteger contra interrupções nos embarques, e novas tarifas haviam elevado o custo de motores importados, controles eletrônicos e metais especiais. A empresa permanecia lucrativa, mas o caixa estava sendo absorvido mais rapidamente do que os resultados sugeriam.</w:t>
      </w:r>
    </w:p>
    <w:p>
      <w:pPr>
        <w:pStyle w:val="BodyText"/>
      </w:pPr>
      <w:r>
        <w:t xml:space="preserve">O problema ia além de um único fornecedor. O departamento de compras havia identificado 47 fornecedores como operacionalmente críticos e financeiramente vulneráveis. Juntos, representavam apenas 18% das compras anuais, mas forneciam peças para 63% dos produtos acabados da Northbridge. Vários não tinham acesso a crédito bancário barato. Outros utilizavam linhas rotativas com taxas variáveis, garantias pessoais ou credores online. Quando a Northbridge estendeu seus prazos padrão de 60 para 75 dias no ano anterior, muitos fornecedores aceitaram a mudança sem protesto. Agora, os gerentes de compras relatavam atrasos em compras de ferramental, redução de horas extras e pedidos de aumento de preços.</w:t>
      </w:r>
    </w:p>
    <w:p>
      <w:pPr>
        <w:pStyle w:val="BodyText"/>
      </w:pPr>
      <w:r>
        <w:t xml:space="preserve">O mercado mais amplo oferecia pouco conforto. A pesquisa de 2026 dos Federal Reserve Banks sobre pequenas empresas relatou que 60% das empresas haviam solicitado financiamento no ano anterior, frequentemente para cobrir despesas operacionais, e apenas 42% dos solicitantes receberam o valor total buscado. Empresas de manufatura também estavam entre as mais propensas a relatar pressão de custos relacionada a tarifas. Ao mesmo tempo, o financiamento da cadeia de suprimentos crescia rapidamente: um estudo de 2025 da Secured Finance Network estimou que aproximadamente 12% dos recebíveis comerciais dos EUA eram financiados por meio desses arranjos, representando cerca de $2.56 trillion em atividade anual.</w:t>
      </w:r>
    </w:p>
    <w:bookmarkStart w:id="9" w:name="X4502e27773638c63df8a12d8437aa41d608d1fb"/>
    <w:p>
      <w:pPr>
        <w:pStyle w:val="Heading2"/>
      </w:pPr>
      <w:r>
        <w:t xml:space="preserve">Exhibit 1. Posição de Capital de Giro da Northbridge</w:t>
      </w:r>
    </w:p>
    <w:tbl>
      <w:tblPr>
        <w:tblStyle w:val="Table"/>
        <w:tblW w:type="pct" w:w="4872"/>
        <w:tblLayout w:type="fixed"/>
        <w:tblLook w:firstRow="1" w:lastRow="0" w:firstColumn="0" w:lastColumn="0" w:noHBand="0" w:noVBand="0" w:val="0020"/>
      </w:tblPr>
      <w:tblGrid>
        <w:gridCol w:w="2944"/>
        <w:gridCol w:w="1421"/>
        <w:gridCol w:w="1421"/>
        <w:gridCol w:w="1929"/>
      </w:tblGrid>
      <w:tr>
        <w:trPr>
          <w:tblHeader w:val="on"/>
        </w:trPr>
        <w:tc>
          <w:tcPr/>
          <w:p>
            <w:pPr>
              <w:pStyle w:val="Compact"/>
              <w:jc w:val="left"/>
            </w:pPr>
            <w:r>
              <w:t xml:space="preserve">Medida</w:t>
            </w:r>
          </w:p>
        </w:tc>
        <w:tc>
          <w:tcPr/>
          <w:p>
            <w:pPr>
              <w:pStyle w:val="Compact"/>
              <w:jc w:val="left"/>
            </w:pPr>
            <w:r>
              <w:t xml:space="preserve">AF2024</w:t>
            </w:r>
          </w:p>
        </w:tc>
        <w:tc>
          <w:tcPr/>
          <w:p>
            <w:pPr>
              <w:pStyle w:val="Compact"/>
              <w:jc w:val="left"/>
            </w:pPr>
            <w:r>
              <w:t xml:space="preserve">AF2025</w:t>
            </w:r>
          </w:p>
        </w:tc>
        <w:tc>
          <w:tcPr/>
          <w:p>
            <w:pPr>
              <w:pStyle w:val="Compact"/>
              <w:jc w:val="left"/>
            </w:pPr>
            <w:r>
              <w:t xml:space="preserve">Previsão atual</w:t>
            </w:r>
          </w:p>
        </w:tc>
      </w:tr>
      <w:tr>
        <w:tc>
          <w:tcPr/>
          <w:p>
            <w:pPr>
              <w:pStyle w:val="Compact"/>
              <w:jc w:val="left"/>
            </w:pPr>
            <w:r>
              <w:t xml:space="preserve">Receita</w:t>
            </w:r>
          </w:p>
        </w:tc>
        <w:tc>
          <w:tcPr/>
          <w:p>
            <w:pPr>
              <w:pStyle w:val="Compact"/>
              <w:jc w:val="left"/>
            </w:pPr>
            <w:r>
              <w:t xml:space="preserve">$2.42B</w:t>
            </w:r>
          </w:p>
        </w:tc>
        <w:tc>
          <w:tcPr/>
          <w:p>
            <w:pPr>
              <w:pStyle w:val="Compact"/>
              <w:jc w:val="left"/>
            </w:pPr>
            <w:r>
              <w:t xml:space="preserve">$2.61B</w:t>
            </w:r>
          </w:p>
        </w:tc>
        <w:tc>
          <w:tcPr/>
          <w:p>
            <w:pPr>
              <w:pStyle w:val="Compact"/>
              <w:jc w:val="left"/>
            </w:pPr>
            <w:r>
              <w:t xml:space="preserve">$2.80B</w:t>
            </w:r>
          </w:p>
        </w:tc>
      </w:tr>
      <w:tr>
        <w:tc>
          <w:tcPr/>
          <w:p>
            <w:pPr>
              <w:pStyle w:val="Compact"/>
              <w:jc w:val="left"/>
            </w:pPr>
            <w:r>
              <w:t xml:space="preserve">Margem EBITDA</w:t>
            </w:r>
          </w:p>
        </w:tc>
        <w:tc>
          <w:tcPr/>
          <w:p>
            <w:pPr>
              <w:pStyle w:val="Compact"/>
              <w:jc w:val="left"/>
            </w:pPr>
            <w:r>
              <w:t xml:space="preserve">13.8%</w:t>
            </w:r>
          </w:p>
        </w:tc>
        <w:tc>
          <w:tcPr/>
          <w:p>
            <w:pPr>
              <w:pStyle w:val="Compact"/>
              <w:jc w:val="left"/>
            </w:pPr>
            <w:r>
              <w:t xml:space="preserve">13.2%</w:t>
            </w:r>
          </w:p>
        </w:tc>
        <w:tc>
          <w:tcPr/>
          <w:p>
            <w:pPr>
              <w:pStyle w:val="Compact"/>
              <w:jc w:val="left"/>
            </w:pPr>
            <w:r>
              <w:t xml:space="preserve">12.6%</w:t>
            </w:r>
          </w:p>
        </w:tc>
      </w:tr>
      <w:tr>
        <w:tc>
          <w:tcPr/>
          <w:p>
            <w:pPr>
              <w:pStyle w:val="Compact"/>
              <w:jc w:val="left"/>
            </w:pPr>
            <w:r>
              <w:t xml:space="preserve">Prazo médio de recebimento</w:t>
            </w:r>
          </w:p>
        </w:tc>
        <w:tc>
          <w:tcPr/>
          <w:p>
            <w:pPr>
              <w:pStyle w:val="Compact"/>
              <w:jc w:val="left"/>
            </w:pPr>
            <w:r>
              <w:t xml:space="preserve">51</w:t>
            </w:r>
          </w:p>
        </w:tc>
        <w:tc>
          <w:tcPr/>
          <w:p>
            <w:pPr>
              <w:pStyle w:val="Compact"/>
              <w:jc w:val="left"/>
            </w:pPr>
            <w:r>
              <w:t xml:space="preserve">57</w:t>
            </w:r>
          </w:p>
        </w:tc>
        <w:tc>
          <w:tcPr/>
          <w:p>
            <w:pPr>
              <w:pStyle w:val="Compact"/>
              <w:jc w:val="left"/>
            </w:pPr>
            <w:r>
              <w:t xml:space="preserve">64</w:t>
            </w:r>
          </w:p>
        </w:tc>
      </w:tr>
      <w:tr>
        <w:tc>
          <w:tcPr/>
          <w:p>
            <w:pPr>
              <w:pStyle w:val="Compact"/>
              <w:jc w:val="left"/>
            </w:pPr>
            <w:r>
              <w:t xml:space="preserve">Dias de estoque em mãos</w:t>
            </w:r>
          </w:p>
        </w:tc>
        <w:tc>
          <w:tcPr/>
          <w:p>
            <w:pPr>
              <w:pStyle w:val="Compact"/>
              <w:jc w:val="left"/>
            </w:pPr>
            <w:r>
              <w:t xml:space="preserve">72</w:t>
            </w:r>
          </w:p>
        </w:tc>
        <w:tc>
          <w:tcPr/>
          <w:p>
            <w:pPr>
              <w:pStyle w:val="Compact"/>
              <w:jc w:val="left"/>
            </w:pPr>
            <w:r>
              <w:t xml:space="preserve">84</w:t>
            </w:r>
          </w:p>
        </w:tc>
        <w:tc>
          <w:tcPr/>
          <w:p>
            <w:pPr>
              <w:pStyle w:val="Compact"/>
              <w:jc w:val="left"/>
            </w:pPr>
            <w:r>
              <w:t xml:space="preserve">96</w:t>
            </w:r>
          </w:p>
        </w:tc>
      </w:tr>
      <w:tr>
        <w:tc>
          <w:tcPr/>
          <w:p>
            <w:pPr>
              <w:pStyle w:val="Compact"/>
              <w:jc w:val="left"/>
            </w:pPr>
            <w:r>
              <w:t xml:space="preserve">Prazo médio de pagamento</w:t>
            </w:r>
          </w:p>
        </w:tc>
        <w:tc>
          <w:tcPr/>
          <w:p>
            <w:pPr>
              <w:pStyle w:val="Compact"/>
              <w:jc w:val="left"/>
            </w:pPr>
            <w:r>
              <w:t xml:space="preserve">58</w:t>
            </w:r>
          </w:p>
        </w:tc>
        <w:tc>
          <w:tcPr/>
          <w:p>
            <w:pPr>
              <w:pStyle w:val="Compact"/>
              <w:jc w:val="left"/>
            </w:pPr>
            <w:r>
              <w:t xml:space="preserve">69</w:t>
            </w:r>
          </w:p>
        </w:tc>
        <w:tc>
          <w:tcPr/>
          <w:p>
            <w:pPr>
              <w:pStyle w:val="Compact"/>
              <w:jc w:val="left"/>
            </w:pPr>
            <w:r>
              <w:t xml:space="preserve">75</w:t>
            </w:r>
          </w:p>
        </w:tc>
      </w:tr>
      <w:tr>
        <w:tc>
          <w:tcPr/>
          <w:p>
            <w:pPr>
              <w:pStyle w:val="Compact"/>
              <w:jc w:val="left"/>
            </w:pPr>
            <w:r>
              <w:t xml:space="preserve">Fluxo de caixa livre</w:t>
            </w:r>
          </w:p>
        </w:tc>
        <w:tc>
          <w:tcPr/>
          <w:p>
            <w:pPr>
              <w:pStyle w:val="Compact"/>
              <w:jc w:val="left"/>
            </w:pPr>
            <w:r>
              <w:t xml:space="preserve">$146M</w:t>
            </w:r>
          </w:p>
        </w:tc>
        <w:tc>
          <w:tcPr/>
          <w:p>
            <w:pPr>
              <w:pStyle w:val="Compact"/>
              <w:jc w:val="left"/>
            </w:pPr>
            <w:r>
              <w:t xml:space="preserve">$82M</w:t>
            </w:r>
          </w:p>
        </w:tc>
        <w:tc>
          <w:tcPr/>
          <w:p>
            <w:pPr>
              <w:pStyle w:val="Compact"/>
              <w:jc w:val="left"/>
            </w:pPr>
            <w:r>
              <w:t xml:space="preserve">$31M</w:t>
            </w:r>
          </w:p>
        </w:tc>
      </w:tr>
      <w:tr>
        <w:tc>
          <w:tcPr/>
          <w:p>
            <w:pPr>
              <w:pStyle w:val="Compact"/>
              <w:jc w:val="left"/>
            </w:pPr>
            <w:r>
              <w:t xml:space="preserve">Caixa e equivalentes</w:t>
            </w:r>
          </w:p>
        </w:tc>
        <w:tc>
          <w:tcPr/>
          <w:p>
            <w:pPr>
              <w:pStyle w:val="Compact"/>
              <w:jc w:val="left"/>
            </w:pPr>
            <w:r>
              <w:t xml:space="preserve">$238M</w:t>
            </w:r>
          </w:p>
        </w:tc>
        <w:tc>
          <w:tcPr/>
          <w:p>
            <w:pPr>
              <w:pStyle w:val="Compact"/>
              <w:jc w:val="left"/>
            </w:pPr>
            <w:r>
              <w:t xml:space="preserve">$201M</w:t>
            </w:r>
          </w:p>
        </w:tc>
        <w:tc>
          <w:tcPr/>
          <w:p>
            <w:pPr>
              <w:pStyle w:val="Compact"/>
              <w:jc w:val="left"/>
            </w:pPr>
            <w:r>
              <w:t xml:space="preserve">$167M</w:t>
            </w:r>
          </w:p>
        </w:tc>
      </w:tr>
      <w:tr>
        <w:tc>
          <w:tcPr/>
          <w:p>
            <w:pPr>
              <w:pStyle w:val="Compact"/>
              <w:jc w:val="left"/>
            </w:pPr>
            <w:r>
              <w:t xml:space="preserve">Crédito rotativo disponível</w:t>
            </w:r>
          </w:p>
        </w:tc>
        <w:tc>
          <w:tcPr/>
          <w:p>
            <w:pPr>
              <w:pStyle w:val="Compact"/>
              <w:jc w:val="left"/>
            </w:pPr>
            <w:r>
              <w:t xml:space="preserve">$420M</w:t>
            </w:r>
          </w:p>
        </w:tc>
        <w:tc>
          <w:tcPr/>
          <w:p>
            <w:pPr>
              <w:pStyle w:val="Compact"/>
              <w:jc w:val="left"/>
            </w:pPr>
            <w:r>
              <w:t xml:space="preserve">$335M</w:t>
            </w:r>
          </w:p>
        </w:tc>
        <w:tc>
          <w:tcPr/>
          <w:p>
            <w:pPr>
              <w:pStyle w:val="Compact"/>
              <w:jc w:val="left"/>
            </w:pPr>
            <w:r>
              <w:t xml:space="preserve">$280M</w:t>
            </w:r>
          </w:p>
        </w:tc>
      </w:tr>
    </w:tbl>
    <w:bookmarkEnd w:id="9"/>
    <w:bookmarkEnd w:id="10"/>
    <w:bookmarkStart w:id="12" w:name="o-programa-proposto"/>
    <w:p>
      <w:pPr>
        <w:pStyle w:val="Heading1"/>
      </w:pPr>
      <w:r>
        <w:t xml:space="preserve">O Programa Proposto</w:t>
      </w:r>
    </w:p>
    <w:p>
      <w:pPr>
        <w:pStyle w:val="FirstParagraph"/>
      </w:pPr>
      <w:r>
        <w:t xml:space="preserve">O banco principal da Northbridge propôs um programa de financiamento a fornecedores liderado pelo comprador. Após a Northbridge aprovar uma fatura em seu sistema corporativo, um fornecedor elegível poderia solicitar pagamento antecipado ao banco. O banco pagaria ao fornecedor com um desconto baseado principalmente na qualidade de crédito da Northbridge; a Northbridge pagaria ao banco no vencimento contratual da fatura. A participação seria voluntária.</w:t>
      </w:r>
    </w:p>
    <w:p>
      <w:pPr>
        <w:pStyle w:val="BodyText"/>
      </w:pPr>
      <w:r>
        <w:t xml:space="preserve">O banco argumentou que o programa poderia melhorar ambos os lados da relação. Fornecedores poderiam receber caixa em poucos dias em vez de esperar 75 ou 90 dias. A Northbridge poderia preservar ou até mesmo estender seus prazos de pagamento sem forçar os fornecedores a financiar o atraso com suas próprias taxas de empréstimo. A aprovação automatizada de faturas também poderia reduzir disputas e esforço administrativo. O banco propôs um limite inicial de $350 million em faturas aprovadas e estimou taxas anuais do programa para a Northbridge de $2.4 million, excluindo o desconto pago pelos fornecedores participantes.</w:t>
      </w:r>
    </w:p>
    <w:p>
      <w:pPr>
        <w:pStyle w:val="BodyText"/>
      </w:pPr>
      <w:r>
        <w:t xml:space="preserve">Chen viu várias complicações. O banco aceitaria apenas fornecedores que passassem por verificações de conhecimento do cliente (know-your-customer), sanções, fraude e crédito. Pequenos fornecedores com registros fracos poderiam ser excluídos justamente quando mais precisassem. Fornecedores poderiam interpretar o programa como pressão para aceitar prazos mais longos. A Northbridge precisaria fornecer dados de faturas e fornecedores por meio de uma nova plataforma, criando riscos de cibersegurança e implementação. As normas contábeis exigiam divulgação adicional das obrigações de financiamento a fornecedores, e analistas poderiam ver um programa em crescimento como semelhante a dívida, mesmo que permanecesse classificado dentro de contas a pagar comerciais.</w:t>
      </w:r>
    </w:p>
    <w:p>
      <w:pPr>
        <w:pStyle w:val="BodyText"/>
      </w:pPr>
      <w:r>
        <w:t xml:space="preserve">Havia também uma questão sobre quem deveria pagar. Sob a proposta do banco, um fornecedor que solicitasse pagamento 60 dias antes pagaria um desconto equivalente a uma taxa anualizada de aproximadamente 6.4%. Para alguns fornecedores, isso era muito abaixo de seu custo de crédito atual. Para outros, especialmente fornecedores multinacionais maiores, era pouco atraente. A Northbridge poderia subsidiar total ou parcialmente o desconto para fornecedores selecionados, mas isso reduziria o benefício de capital de giro e provocaria argumentos sobre equidade.</w:t>
      </w:r>
    </w:p>
    <w:bookmarkStart w:id="11" w:name="Xcc177adcf13d91ddcc353e0dd6fe4da28ba1d9c"/>
    <w:p>
      <w:pPr>
        <w:pStyle w:val="Heading2"/>
      </w:pPr>
      <w:r>
        <w:t xml:space="preserve">Exhibit 2. Economia Ilustrativa dos Fornecedores</w:t>
      </w:r>
    </w:p>
    <w:tbl>
      <w:tblPr>
        <w:tblStyle w:val="Table"/>
        <w:tblW w:type="pct" w:w="4936"/>
        <w:tblLayout w:type="fixed"/>
        <w:tblLook w:firstRow="1" w:lastRow="0" w:firstColumn="0" w:lastColumn="0" w:noHBand="0" w:noVBand="0" w:val="0020"/>
      </w:tblPr>
      <w:tblGrid>
        <w:gridCol w:w="1664"/>
        <w:gridCol w:w="1362"/>
        <w:gridCol w:w="908"/>
        <w:gridCol w:w="1261"/>
        <w:gridCol w:w="1311"/>
        <w:gridCol w:w="1311"/>
      </w:tblGrid>
      <w:tr>
        <w:trPr>
          <w:tblHeader w:val="on"/>
        </w:trPr>
        <w:tc>
          <w:tcPr/>
          <w:p>
            <w:pPr>
              <w:pStyle w:val="Compact"/>
              <w:jc w:val="left"/>
            </w:pPr>
            <w:r>
              <w:t xml:space="preserve">Grupo de fornecedores</w:t>
            </w:r>
          </w:p>
        </w:tc>
        <w:tc>
          <w:tcPr/>
          <w:p>
            <w:pPr>
              <w:pStyle w:val="Compact"/>
              <w:jc w:val="right"/>
            </w:pPr>
            <w:r>
              <w:t xml:space="preserve">Vendas anuais à Northbridg</w:t>
            </w:r>
          </w:p>
        </w:tc>
        <w:tc>
          <w:tcPr/>
          <w:p>
            <w:pPr>
              <w:pStyle w:val="Compact"/>
            </w:pPr>
            <w:r>
              <w:t xml:space="preserve">e Prazo atual de</w:t>
            </w:r>
          </w:p>
        </w:tc>
        <w:tc>
          <w:tcPr/>
          <w:p>
            <w:pPr>
              <w:pStyle w:val="Compact"/>
            </w:pPr>
            <w:r>
              <w:t xml:space="preserve">pagamento Custo típico</w:t>
            </w:r>
          </w:p>
        </w:tc>
        <w:tc>
          <w:tcPr/>
          <w:p>
            <w:pPr>
              <w:pStyle w:val="Compact"/>
            </w:pPr>
            <w:r>
              <w:t xml:space="preserve">de empréstimo Custo prop</w:t>
            </w:r>
          </w:p>
        </w:tc>
        <w:tc>
          <w:tcPr/>
          <w:p>
            <w:pPr>
              <w:pStyle w:val="Compact"/>
            </w:pPr>
            <w:r>
              <w:t xml:space="preserve">osto de pagamento antecipado Criticidade operacional</w:t>
            </w:r>
          </w:p>
        </w:tc>
      </w:tr>
      <w:tr>
        <w:tc>
          <w:tcPr/>
          <w:p>
            <w:pPr>
              <w:pStyle w:val="Compact"/>
              <w:jc w:val="left"/>
            </w:pPr>
            <w:r>
              <w:t xml:space="preserve">Eletrônicos estratégicos</w:t>
            </w:r>
          </w:p>
        </w:tc>
        <w:tc>
          <w:tcPr/>
          <w:p>
            <w:pPr>
              <w:pStyle w:val="Compact"/>
              <w:jc w:val="right"/>
            </w:pPr>
            <w:r>
              <w:t xml:space="preserve">$310M</w:t>
            </w:r>
          </w:p>
        </w:tc>
        <w:tc>
          <w:tcPr/>
          <w:p>
            <w:pPr>
              <w:pStyle w:val="Compact"/>
            </w:pPr>
            <w:r>
              <w:t xml:space="preserve">75 dias</w:t>
            </w:r>
          </w:p>
        </w:tc>
        <w:tc>
          <w:tcPr/>
          <w:p>
            <w:pPr>
              <w:pStyle w:val="Compact"/>
            </w:pPr>
            <w:r>
              <w:t xml:space="preserve">7%–9%</w:t>
            </w:r>
          </w:p>
        </w:tc>
        <w:tc>
          <w:tcPr/>
          <w:p>
            <w:pPr>
              <w:pStyle w:val="Compact"/>
            </w:pPr>
            <w:r>
              <w:t xml:space="preserve">6.0%–6.8%</w:t>
            </w:r>
          </w:p>
        </w:tc>
        <w:tc>
          <w:tcPr/>
          <w:p>
            <w:pPr>
              <w:pStyle w:val="Compact"/>
            </w:pPr>
            <w:r>
              <w:t xml:space="preserve">Alta</w:t>
            </w:r>
          </w:p>
        </w:tc>
      </w:tr>
      <w:tr>
        <w:tc>
          <w:tcPr/>
          <w:p>
            <w:pPr>
              <w:pStyle w:val="Compact"/>
              <w:jc w:val="left"/>
            </w:pPr>
            <w:r>
              <w:t xml:space="preserve">Usinagem regional</w:t>
            </w:r>
          </w:p>
        </w:tc>
        <w:tc>
          <w:tcPr/>
          <w:p>
            <w:pPr>
              <w:pStyle w:val="Compact"/>
              <w:jc w:val="right"/>
            </w:pPr>
            <w:r>
              <w:t xml:space="preserve">$185M</w:t>
            </w:r>
          </w:p>
        </w:tc>
        <w:tc>
          <w:tcPr/>
          <w:p>
            <w:pPr>
              <w:pStyle w:val="Compact"/>
            </w:pPr>
            <w:r>
              <w:t xml:space="preserve">75 dias</w:t>
            </w:r>
          </w:p>
        </w:tc>
        <w:tc>
          <w:tcPr/>
          <w:p>
            <w:pPr>
              <w:pStyle w:val="Compact"/>
            </w:pPr>
            <w:r>
              <w:t xml:space="preserve">10%–15%</w:t>
            </w:r>
          </w:p>
        </w:tc>
        <w:tc>
          <w:tcPr/>
          <w:p>
            <w:pPr>
              <w:pStyle w:val="Compact"/>
            </w:pPr>
            <w:r>
              <w:t xml:space="preserve">6.0%–6.8%</w:t>
            </w:r>
          </w:p>
        </w:tc>
        <w:tc>
          <w:tcPr/>
          <w:p>
            <w:pPr>
              <w:pStyle w:val="Compact"/>
            </w:pPr>
            <w:r>
              <w:t xml:space="preserve">Muito alta</w:t>
            </w:r>
          </w:p>
        </w:tc>
      </w:tr>
      <w:tr>
        <w:tc>
          <w:tcPr/>
          <w:p>
            <w:pPr>
              <w:pStyle w:val="Compact"/>
              <w:jc w:val="left"/>
            </w:pPr>
            <w:r>
              <w:t xml:space="preserve">Embalagens e indiretos</w:t>
            </w:r>
          </w:p>
        </w:tc>
        <w:tc>
          <w:tcPr/>
          <w:p>
            <w:pPr>
              <w:pStyle w:val="Compact"/>
              <w:jc w:val="right"/>
            </w:pPr>
            <w:r>
              <w:t xml:space="preserve">$92M</w:t>
            </w:r>
          </w:p>
        </w:tc>
        <w:tc>
          <w:tcPr/>
          <w:p>
            <w:pPr>
              <w:pStyle w:val="Compact"/>
            </w:pPr>
            <w:r>
              <w:t xml:space="preserve">60 dias</w:t>
            </w:r>
          </w:p>
        </w:tc>
        <w:tc>
          <w:tcPr/>
          <w:p>
            <w:pPr>
              <w:pStyle w:val="Compact"/>
            </w:pPr>
            <w:r>
              <w:t xml:space="preserve">9%–18%</w:t>
            </w:r>
          </w:p>
        </w:tc>
        <w:tc>
          <w:tcPr/>
          <w:p>
            <w:pPr>
              <w:pStyle w:val="Compact"/>
            </w:pPr>
            <w:r>
              <w:t xml:space="preserve">5.8%–6.5%</w:t>
            </w:r>
          </w:p>
        </w:tc>
        <w:tc>
          <w:tcPr/>
          <w:p>
            <w:pPr>
              <w:pStyle w:val="Compact"/>
            </w:pPr>
            <w:r>
              <w:t xml:space="preserve">Média</w:t>
            </w:r>
          </w:p>
        </w:tc>
      </w:tr>
      <w:tr>
        <w:tc>
          <w:tcPr/>
          <w:p>
            <w:pPr>
              <w:pStyle w:val="Compact"/>
              <w:jc w:val="left"/>
            </w:pPr>
            <w:r>
              <w:t xml:space="preserve">Motores globais</w:t>
            </w:r>
          </w:p>
        </w:tc>
        <w:tc>
          <w:tcPr/>
          <w:p>
            <w:pPr>
              <w:pStyle w:val="Compact"/>
              <w:jc w:val="right"/>
            </w:pPr>
            <w:r>
              <w:t xml:space="preserve">$420M</w:t>
            </w:r>
          </w:p>
        </w:tc>
        <w:tc>
          <w:tcPr/>
          <w:p>
            <w:pPr>
              <w:pStyle w:val="Compact"/>
            </w:pPr>
            <w:r>
              <w:t xml:space="preserve">90 dias</w:t>
            </w:r>
          </w:p>
        </w:tc>
        <w:tc>
          <w:tcPr/>
          <w:p>
            <w:pPr>
              <w:pStyle w:val="Compact"/>
            </w:pPr>
            <w:r>
              <w:t xml:space="preserve">4%–6%</w:t>
            </w:r>
          </w:p>
        </w:tc>
        <w:tc>
          <w:tcPr/>
          <w:p>
            <w:pPr>
              <w:pStyle w:val="Compact"/>
            </w:pPr>
            <w:r>
              <w:t xml:space="preserve">6.2%–7.0%</w:t>
            </w:r>
          </w:p>
        </w:tc>
        <w:tc>
          <w:tcPr/>
          <w:p>
            <w:pPr>
              <w:pStyle w:val="Compact"/>
            </w:pPr>
            <w:r>
              <w:t xml:space="preserve">Alta</w:t>
            </w:r>
          </w:p>
        </w:tc>
      </w:tr>
      <w:tr>
        <w:tc>
          <w:tcPr/>
          <w:p>
            <w:pPr>
              <w:pStyle w:val="Compact"/>
              <w:jc w:val="left"/>
            </w:pPr>
            <w:r>
              <w:t xml:space="preserve">Pequenos fornecedores de minorias</w:t>
            </w:r>
          </w:p>
        </w:tc>
        <w:tc>
          <w:tcPr/>
          <w:p>
            <w:pPr>
              <w:pStyle w:val="Compact"/>
              <w:jc w:val="right"/>
            </w:pPr>
            <w:r>
              <w:t xml:space="preserve">$76M</w:t>
            </w:r>
          </w:p>
        </w:tc>
        <w:tc>
          <w:tcPr/>
          <w:p>
            <w:pPr>
              <w:pStyle w:val="Compact"/>
            </w:pPr>
            <w:r>
              <w:t xml:space="preserve">60–75 dias</w:t>
            </w:r>
          </w:p>
        </w:tc>
        <w:tc>
          <w:tcPr/>
          <w:p>
            <w:pPr>
              <w:pStyle w:val="Compact"/>
            </w:pPr>
            <w:r>
              <w:t xml:space="preserve">12%–24%</w:t>
            </w:r>
          </w:p>
        </w:tc>
        <w:tc>
          <w:tcPr/>
          <w:p>
            <w:pPr>
              <w:pStyle w:val="Compact"/>
            </w:pPr>
            <w:r>
              <w:t xml:space="preserve">6.0%–7.2%</w:t>
            </w:r>
          </w:p>
        </w:tc>
        <w:tc>
          <w:tcPr/>
          <w:p>
            <w:pPr>
              <w:pStyle w:val="Compact"/>
            </w:pPr>
            <w:r>
              <w:t xml:space="preserve">Mista</w:t>
            </w:r>
          </w:p>
        </w:tc>
      </w:tr>
    </w:tbl>
    <w:bookmarkEnd w:id="11"/>
    <w:bookmarkEnd w:id="12"/>
    <w:bookmarkStart w:id="14" w:name="o-caixa-não-era-a-única-exposição"/>
    <w:p>
      <w:pPr>
        <w:pStyle w:val="Heading1"/>
      </w:pPr>
      <w:r>
        <w:t xml:space="preserve">O Caixa Não Era a Única Exposição</w:t>
      </w:r>
    </w:p>
    <w:p>
      <w:pPr>
        <w:pStyle w:val="FirstParagraph"/>
      </w:pPr>
      <w:r>
        <w:t xml:space="preserve">A tesouraria via a proposta de financiamento a fornecedores como um elemento de um problema maior de risco financeiro. A Northbridge comprava componentes em euros, ienes, pesos mexicanos e dólares americanos. Ela carregava aproximadamente $410 million em estoque em trânsito ou em armazéns de terceiros. As vendas a dois grandes clientes internacionais estavam seguradas contra inadimplência, mas a maioria dos recebíveis domésticos não estava. A empresa tinha cobertura de carga marítima, cobertura de propriedade e uma apólice limitada de risco político para um corredor de fornecimento asiático. A cobertura havia sido montada ao longo do tempo por diferentes unidades de negócio, e ninguém conseguia mostrar se o portfólio correspondia à exposição atual da empresa.</w:t>
      </w:r>
    </w:p>
    <w:p>
      <w:pPr>
        <w:pStyle w:val="BodyText"/>
      </w:pPr>
      <w:r>
        <w:t xml:space="preserve">As recentes mudanças tarifárias haviam alterado o perfil de caixa das compras importadas. Os direitos alfandegários tinham que ser pagos quando as mercadorias entravam no país, frequentemente semanas antes de a Northbridge receber o pagamento dos clientes. O departamento de compras poderia transferir algumas compras para o México ou fornecedores domésticos, mas a qualificação poderia levar de seis a dezoito meses e poderia exigir novo ferramental. Comprar estoque adicional antes de futuros aumentos de tarifas poderia proteger as margens e a produção, mas consumiria caixa e elevaria o risco de obsolescência.</w:t>
      </w:r>
    </w:p>
    <w:p>
      <w:pPr>
        <w:pStyle w:val="BodyText"/>
      </w:pPr>
      <w:r>
        <w:t xml:space="preserve">As proteções cambiais (hedges) criavam outro debate. A tesouraria normalmente protegia 60% das compras previstas em moeda estrangeira para os próximos seis meses e 30% para os meses sete a doze. O departamento de compras agora queria maior cobertura porque movimentos cambiais súbitos poderiam amplificar os aumentos de tarifas. Os executivos de vendas objetaram que um hedge agressivo poderia travar custos justamente quando a demanda enfraquecesse. As vendas europeias da empresa também criavam um hedge natural parcial, mas o momento e o valor desses recebimentos eram incertos.</w:t>
      </w:r>
    </w:p>
    <w:bookmarkStart w:id="13" w:name="Xeb6a97267593d3d4efbaf2bff997b9cbeda3995"/>
    <w:p>
      <w:pPr>
        <w:pStyle w:val="Heading2"/>
      </w:pPr>
      <w:r>
        <w:t xml:space="preserve">Exhibit 3. Exposições Financeiras Selecionadas</w:t>
      </w:r>
    </w:p>
    <w:tbl>
      <w:tblPr>
        <w:tblStyle w:val="Table"/>
        <w:tblW w:type="pct" w:w="4927"/>
        <w:tblLayout w:type="fixed"/>
        <w:tblLook w:firstRow="1" w:lastRow="0" w:firstColumn="0" w:lastColumn="0" w:noHBand="0" w:noVBand="0" w:val="0020"/>
      </w:tblPr>
      <w:tblGrid>
        <w:gridCol w:w="2601"/>
        <w:gridCol w:w="1098"/>
        <w:gridCol w:w="1676"/>
        <w:gridCol w:w="2428"/>
      </w:tblGrid>
      <w:tr>
        <w:trPr>
          <w:tblHeader w:val="on"/>
        </w:trPr>
        <w:tc>
          <w:tcPr/>
          <w:p>
            <w:pPr>
              <w:pStyle w:val="Compact"/>
              <w:jc w:val="left"/>
            </w:pPr>
            <w:r>
              <w:t xml:space="preserve">Exposição</w:t>
            </w:r>
          </w:p>
        </w:tc>
        <w:tc>
          <w:tcPr/>
          <w:p>
            <w:pPr>
              <w:pStyle w:val="Compact"/>
            </w:pPr>
            <w:r>
              <w:t xml:space="preserve">Valor estimado P</w:t>
            </w:r>
          </w:p>
        </w:tc>
        <w:tc>
          <w:tcPr/>
          <w:p>
            <w:pPr>
              <w:pStyle w:val="Compact"/>
              <w:jc w:val="left"/>
            </w:pPr>
            <w:r>
              <w:t xml:space="preserve">roteção atual</w:t>
            </w:r>
          </w:p>
        </w:tc>
        <w:tc>
          <w:tcPr/>
          <w:p>
            <w:pPr>
              <w:pStyle w:val="Compact"/>
              <w:jc w:val="left"/>
            </w:pPr>
            <w:r>
              <w:t xml:space="preserve">Preocupação de gestão</w:t>
            </w:r>
          </w:p>
        </w:tc>
      </w:tr>
      <w:tr>
        <w:tc>
          <w:tcPr/>
          <w:p>
            <w:pPr>
              <w:pStyle w:val="Compact"/>
              <w:jc w:val="left"/>
            </w:pPr>
            <w:r>
              <w:t xml:space="preserve">Faturas de fornecedores aprovadas</w:t>
            </w:r>
          </w:p>
        </w:tc>
        <w:tc>
          <w:tcPr/>
          <w:p>
            <w:pPr>
              <w:pStyle w:val="Compact"/>
            </w:pPr>
            <w:r>
              <w:t xml:space="preserve">$485M</w:t>
            </w:r>
          </w:p>
        </w:tc>
        <w:tc>
          <w:tcPr/>
          <w:p>
            <w:pPr>
              <w:pStyle w:val="Compact"/>
              <w:jc w:val="left"/>
            </w:pPr>
            <w:r>
              <w:t xml:space="preserve">Sem programa dedicado</w:t>
            </w:r>
          </w:p>
        </w:tc>
        <w:tc>
          <w:tcPr/>
          <w:p>
            <w:pPr>
              <w:pStyle w:val="Compact"/>
              <w:jc w:val="left"/>
            </w:pPr>
            <w:r>
              <w:t xml:space="preserve">Liquidez do fornecedor e prazo de pagamento</w:t>
            </w:r>
          </w:p>
        </w:tc>
      </w:tr>
      <w:tr>
        <w:tc>
          <w:tcPr/>
          <w:p>
            <w:pPr>
              <w:pStyle w:val="Compact"/>
              <w:jc w:val="left"/>
            </w:pPr>
            <w:r>
              <w:t xml:space="preserve">Compras em moeda estrangeira, próximos 12 mes</w:t>
            </w:r>
          </w:p>
        </w:tc>
        <w:tc>
          <w:tcPr/>
          <w:p>
            <w:pPr>
              <w:pStyle w:val="Compact"/>
            </w:pPr>
            <w:r>
              <w:t xml:space="preserve">es $690M</w:t>
            </w:r>
          </w:p>
        </w:tc>
        <w:tc>
          <w:tcPr/>
          <w:p>
            <w:pPr>
              <w:pStyle w:val="Compact"/>
              <w:jc w:val="left"/>
            </w:pPr>
            <w:r>
              <w:t xml:space="preserve">47% protegido (hedged)</w:t>
            </w:r>
          </w:p>
        </w:tc>
        <w:tc>
          <w:tcPr/>
          <w:p>
            <w:pPr>
              <w:pStyle w:val="Compact"/>
              <w:jc w:val="left"/>
            </w:pPr>
            <w:r>
              <w:t xml:space="preserve">Taxas, erro de previsão, custo de hedge</w:t>
            </w:r>
          </w:p>
        </w:tc>
      </w:tr>
      <w:tr>
        <w:tc>
          <w:tcPr/>
          <w:p>
            <w:pPr>
              <w:pStyle w:val="Compact"/>
              <w:jc w:val="left"/>
            </w:pPr>
            <w:r>
              <w:t xml:space="preserve">Estoque em trânsito e em locais de terceiros</w:t>
            </w:r>
          </w:p>
        </w:tc>
        <w:tc>
          <w:tcPr/>
          <w:p>
            <w:pPr>
              <w:pStyle w:val="Compact"/>
            </w:pPr>
            <w:r>
              <w:t xml:space="preserve">$410M</w:t>
            </w:r>
          </w:p>
        </w:tc>
        <w:tc>
          <w:tcPr/>
          <w:p>
            <w:pPr>
              <w:pStyle w:val="Compact"/>
              <w:jc w:val="left"/>
            </w:pPr>
            <w:r>
              <w:t xml:space="preserve">Seguro de carga/propriedade</w:t>
            </w:r>
          </w:p>
        </w:tc>
        <w:tc>
          <w:tcPr/>
          <w:p>
            <w:pPr>
              <w:pStyle w:val="Compact"/>
              <w:jc w:val="left"/>
            </w:pPr>
            <w:r>
              <w:t xml:space="preserve">Perda, atraso, franquia, lacunas de cobertura</w:t>
            </w:r>
          </w:p>
        </w:tc>
      </w:tr>
      <w:tr>
        <w:tc>
          <w:tcPr/>
          <w:p>
            <w:pPr>
              <w:pStyle w:val="Compact"/>
              <w:jc w:val="left"/>
            </w:pPr>
            <w:r>
              <w:t xml:space="preserve">Contas a receber comerciais</w:t>
            </w:r>
          </w:p>
        </w:tc>
        <w:tc>
          <w:tcPr/>
          <w:p>
            <w:pPr>
              <w:pStyle w:val="Compact"/>
            </w:pPr>
            <w:r>
              <w:t xml:space="preserve">$612M</w:t>
            </w:r>
          </w:p>
        </w:tc>
        <w:tc>
          <w:tcPr/>
          <w:p>
            <w:pPr>
              <w:pStyle w:val="Compact"/>
              <w:jc w:val="left"/>
            </w:pPr>
            <w:r>
              <w:t xml:space="preserve">Seguro de crédito seletivo</w:t>
            </w:r>
          </w:p>
        </w:tc>
        <w:tc>
          <w:tcPr/>
          <w:p>
            <w:pPr>
              <w:pStyle w:val="Compact"/>
              <w:jc w:val="left"/>
            </w:pPr>
            <w:r>
              <w:t xml:space="preserve">Inadimplência do cliente e atraso no pagamento</w:t>
            </w:r>
          </w:p>
        </w:tc>
      </w:tr>
      <w:tr>
        <w:tc>
          <w:tcPr/>
          <w:p>
            <w:pPr>
              <w:pStyle w:val="Compact"/>
              <w:jc w:val="left"/>
            </w:pPr>
            <w:r>
              <w:t xml:space="preserve">Desembolso de caixa com tarifas, próximos 12</w:t>
            </w:r>
          </w:p>
        </w:tc>
        <w:tc>
          <w:tcPr/>
          <w:p>
            <w:pPr>
              <w:pStyle w:val="Compact"/>
            </w:pPr>
            <w:r>
              <w:t xml:space="preserve">meses $96M</w:t>
            </w:r>
          </w:p>
        </w:tc>
        <w:tc>
          <w:tcPr/>
          <w:p>
            <w:pPr>
              <w:pStyle w:val="Compact"/>
              <w:jc w:val="left"/>
            </w:pPr>
            <w:r>
              <w:t xml:space="preserve">Nenhuma</w:t>
            </w:r>
          </w:p>
        </w:tc>
        <w:tc>
          <w:tcPr/>
          <w:p>
            <w:pPr>
              <w:pStyle w:val="Compact"/>
              <w:jc w:val="left"/>
            </w:pPr>
            <w:r>
              <w:t xml:space="preserve">Prazo, mudanças de política, precificação de produtos</w:t>
            </w:r>
          </w:p>
        </w:tc>
      </w:tr>
    </w:tbl>
    <w:bookmarkEnd w:id="13"/>
    <w:bookmarkEnd w:id="14"/>
    <w:bookmarkStart w:id="16" w:name="X30755cfcefc011223ffaaad9f5b9327474edb17"/>
    <w:p>
      <w:pPr>
        <w:pStyle w:val="Heading1"/>
      </w:pPr>
      <w:r>
        <w:t xml:space="preserve">Diferentes Funções, Diferentes Definições de Sucesso</w:t>
      </w:r>
    </w:p>
    <w:p>
      <w:pPr>
        <w:pStyle w:val="FirstParagraph"/>
      </w:pPr>
      <w:r>
        <w:t xml:space="preserve">O departamento de compras era favorável à implementação rápida. Seus líderes argumentavam que o custo de uma falha de fornecedor poderia superar anos de taxas do programa. Uma paralisação na AlloyWorks, por exemplo, poderia interromper a produção de uma família de produtos que gerava $8.6 million em receita semanal. O departamento de compras propôs inscrever primeiro os 100 maiores fornecedores, depois estender a elegibilidade a empresas menores após a plataforma se estabilizar.</w:t>
      </w:r>
    </w:p>
    <w:p>
      <w:pPr>
        <w:pStyle w:val="BodyText"/>
      </w:pPr>
      <w:r>
        <w:t xml:space="preserve">O departamento de operações discordou de um lançamento baseado em tamanho. Alguns dos maiores fornecedores tinham muitos clientes e acesso fácil a capital, enquanto pequenas empresas especializadas criavam o risco de continuidade mais sério. As operações queriam uma pontuação de vulnerabilidade combinando saúde financeira, singularidade da peça, cobertura de estoque, tempo de qualificação e receita em risco. Também queria que a Northbridge mantivesse um fundo de emergência separado para ferramental, matérias-primas ou pré-pagamentos temporários quando um fornecedor crítico não pudesse se qualificar para o programa do banco.</w:t>
      </w:r>
    </w:p>
    <w:p>
      <w:pPr>
        <w:pStyle w:val="BodyText"/>
      </w:pPr>
      <w:r>
        <w:t xml:space="preserve">A tesouraria queria proteger a própria liquidez da Northbridge. A empresa estava planejando uma expansão de fábrica de $240 million e havia prometido ao conselho que a dívida líquida permaneceria abaixo de 2.0 vezes o EBITDA. A tesouraria propôs estender os prazos padrão para 90 dias para todos os fornecedores elegíveis para pagamento antecipado, mantendo prazos de 45 ou 60 dias para fornecedores vulneráveis que não pudessem participar. Isso maximizaria a retenção de caixa, mas o departamento de compras alertou que os fornecedores poderiam ver isso como o uso do banco para impor prazos ainda mais longos.</w:t>
      </w:r>
    </w:p>
    <w:p>
      <w:pPr>
        <w:pStyle w:val="BodyText"/>
      </w:pPr>
      <w:r>
        <w:t xml:space="preserve">As equipes de sustentabilidade e diversidade de fornecedores levantaram outra preocupação. Um filtro puramente financeiro poderia excluir sistematicamente empresas jovens, rurais, pertencentes a minorias ou recém-estabelecidas. Esses fornecedores frequentemente careciam de demonstrações financeiras auditadas ou de históricos de crédito longos, mesmo quando seu desempenho operacional era forte. Um programa projetado para estabilizar a rede poderia, portanto, direcionar o financiamento mais barato para fornecedores que já tinham o melhor acesso a capital.</w:t>
      </w:r>
    </w:p>
    <w:bookmarkStart w:id="15" w:name="X6ded8f1f05b9d641ca2e6c26114ba38716392d4"/>
    <w:p>
      <w:pPr>
        <w:pStyle w:val="Heading2"/>
      </w:pPr>
      <w:r>
        <w:t xml:space="preserve">Exhibit 4. Três Desenhos de Programa em Discussão</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t xml:space="preserve">Desenho</w:t>
            </w:r>
          </w:p>
        </w:tc>
        <w:tc>
          <w:tcPr/>
          <w:p>
            <w:pPr>
              <w:pStyle w:val="Compact"/>
              <w:jc w:val="left"/>
            </w:pPr>
            <w:r>
              <w:t xml:space="preserve">Prazos de pagamento</w:t>
            </w:r>
          </w:p>
        </w:tc>
        <w:tc>
          <w:tcPr/>
          <w:p>
            <w:pPr>
              <w:pStyle w:val="Compact"/>
              <w:jc w:val="left"/>
            </w:pPr>
            <w:r>
              <w:t xml:space="preserve">Financiamento do pagamento antecipado</w:t>
            </w:r>
          </w:p>
        </w:tc>
        <w:tc>
          <w:tcPr/>
          <w:p>
            <w:pPr>
              <w:pStyle w:val="Compact"/>
              <w:jc w:val="left"/>
            </w:pPr>
            <w:r>
              <w:t xml:space="preserve">Escopo inicial</w:t>
            </w:r>
          </w:p>
        </w:tc>
        <w:tc>
          <w:tcPr/>
          <w:p>
            <w:pPr>
              <w:pStyle w:val="Compact"/>
            </w:pPr>
            <w:r>
              <w:t xml:space="preserve">Benefício de caixa estimado no prime</w:t>
            </w:r>
          </w:p>
        </w:tc>
        <w:tc>
          <w:tcPr/>
          <w:p>
            <w:pPr>
              <w:pStyle w:val="Compact"/>
              <w:jc w:val="left"/>
            </w:pPr>
            <w:r>
              <w:t xml:space="preserve">iro ano Preocupação principal</w:t>
            </w:r>
          </w:p>
        </w:tc>
      </w:tr>
      <w:tr>
        <w:tc>
          <w:tcPr/>
          <w:p>
            <w:pPr>
              <w:pStyle w:val="Compact"/>
              <w:jc w:val="left"/>
            </w:pPr>
            <w:r>
              <w:t xml:space="preserve">Extensão ampla</w:t>
            </w:r>
          </w:p>
        </w:tc>
        <w:tc>
          <w:tcPr/>
          <w:p>
            <w:pPr>
              <w:pStyle w:val="Compact"/>
              <w:jc w:val="left"/>
            </w:pPr>
            <w:r>
              <w:t xml:space="preserve">90 dias para fornecedores elegíve</w:t>
            </w:r>
          </w:p>
        </w:tc>
        <w:tc>
          <w:tcPr/>
          <w:p>
            <w:pPr>
              <w:pStyle w:val="Compact"/>
              <w:jc w:val="left"/>
            </w:pPr>
            <w:r>
              <w:t xml:space="preserve">is Financiado pelo banco; fornecedor paga</w:t>
            </w:r>
          </w:p>
        </w:tc>
        <w:tc>
          <w:tcPr/>
          <w:p>
            <w:pPr>
              <w:pStyle w:val="Compact"/>
              <w:jc w:val="left"/>
            </w:pPr>
            <w:r>
              <w:t xml:space="preserve">o desconto 250 maiores fornecedore</w:t>
            </w:r>
          </w:p>
        </w:tc>
        <w:tc>
          <w:tcPr/>
          <w:p>
            <w:pPr>
              <w:pStyle w:val="Compact"/>
            </w:pPr>
            <w:r>
              <w:t xml:space="preserve">s $118M</w:t>
            </w:r>
          </w:p>
        </w:tc>
        <w:tc>
          <w:tcPr/>
          <w:p>
            <w:pPr>
              <w:pStyle w:val="Compact"/>
              <w:jc w:val="left"/>
            </w:pPr>
            <w:r>
              <w:t xml:space="preserve">Resistência dos fornecedores e imagem</w:t>
            </w:r>
          </w:p>
        </w:tc>
      </w:tr>
      <w:tr>
        <w:tc>
          <w:tcPr/>
          <w:p>
            <w:pPr>
              <w:pStyle w:val="Compact"/>
              <w:jc w:val="left"/>
            </w:pPr>
            <w:r>
              <w:t xml:space="preserve">Resiliência direcionad</w:t>
            </w:r>
          </w:p>
        </w:tc>
        <w:tc>
          <w:tcPr/>
          <w:p>
            <w:pPr>
              <w:pStyle w:val="Compact"/>
              <w:jc w:val="left"/>
            </w:pPr>
            <w:r>
              <w:t xml:space="preserve">a Prazos atuais mantidos</w:t>
            </w:r>
          </w:p>
        </w:tc>
        <w:tc>
          <w:tcPr/>
          <w:p>
            <w:pPr>
              <w:pStyle w:val="Compact"/>
              <w:jc w:val="left"/>
            </w:pPr>
            <w:r>
              <w:t xml:space="preserve">Banco mais subsídio limitado da empresa</w:t>
            </w:r>
          </w:p>
        </w:tc>
        <w:tc>
          <w:tcPr/>
          <w:p>
            <w:pPr>
              <w:pStyle w:val="Compact"/>
              <w:jc w:val="left"/>
            </w:pPr>
            <w:r>
              <w:t xml:space="preserve">47 fornecedores críticos vulneráve</w:t>
            </w:r>
          </w:p>
        </w:tc>
        <w:tc>
          <w:tcPr/>
          <w:p>
            <w:pPr>
              <w:pStyle w:val="Compact"/>
            </w:pPr>
            <w:r>
              <w:t xml:space="preserve">is $34M</w:t>
            </w:r>
          </w:p>
        </w:tc>
        <w:tc>
          <w:tcPr/>
          <w:p>
            <w:pPr>
              <w:pStyle w:val="Compact"/>
              <w:jc w:val="left"/>
            </w:pPr>
            <w:r>
              <w:t xml:space="preserve">Menor benefício de caixa; seleção complexa</w:t>
            </w:r>
          </w:p>
        </w:tc>
      </w:tr>
      <w:tr>
        <w:tc>
          <w:tcPr/>
          <w:p>
            <w:pPr>
              <w:pStyle w:val="Compact"/>
              <w:jc w:val="left"/>
            </w:pPr>
            <w:r>
              <w:t xml:space="preserve">Portfólio escalonado</w:t>
            </w:r>
          </w:p>
        </w:tc>
        <w:tc>
          <w:tcPr/>
          <w:p>
            <w:pPr>
              <w:pStyle w:val="Compact"/>
              <w:jc w:val="left"/>
            </w:pPr>
            <w:r>
              <w:t xml:space="preserve">60–90 dias por segmento</w:t>
            </w:r>
          </w:p>
        </w:tc>
        <w:tc>
          <w:tcPr/>
          <w:p>
            <w:pPr>
              <w:pStyle w:val="Compact"/>
              <w:jc w:val="left"/>
            </w:pPr>
            <w:r>
              <w:t xml:space="preserve">Banco, caixa da empresa ou apoio de emerg</w:t>
            </w:r>
          </w:p>
        </w:tc>
        <w:tc>
          <w:tcPr/>
          <w:p>
            <w:pPr>
              <w:pStyle w:val="Compact"/>
              <w:jc w:val="left"/>
            </w:pPr>
            <w:r>
              <w:t xml:space="preserve">ência Aproximadamente 160 forneced</w:t>
            </w:r>
          </w:p>
        </w:tc>
        <w:tc>
          <w:tcPr/>
          <w:p>
            <w:pPr>
              <w:pStyle w:val="Compact"/>
            </w:pPr>
            <w:r>
              <w:t xml:space="preserve">ores $72M</w:t>
            </w:r>
          </w:p>
        </w:tc>
        <w:tc>
          <w:tcPr/>
          <w:p>
            <w:pPr>
              <w:pStyle w:val="Compact"/>
              <w:jc w:val="left"/>
            </w:pPr>
            <w:r>
              <w:t xml:space="preserve">Carga de governança e administrativa</w:t>
            </w:r>
          </w:p>
        </w:tc>
      </w:tr>
    </w:tbl>
    <w:bookmarkEnd w:id="15"/>
    <w:bookmarkEnd w:id="16"/>
    <w:bookmarkStart w:id="18" w:name="o-problema-da-informação"/>
    <w:p>
      <w:pPr>
        <w:pStyle w:val="Heading1"/>
      </w:pPr>
      <w:r>
        <w:t xml:space="preserve">O Problema da Informação</w:t>
      </w:r>
    </w:p>
    <w:p>
      <w:pPr>
        <w:pStyle w:val="FirstParagraph"/>
      </w:pPr>
      <w:r>
        <w:t xml:space="preserve">O programa dependia de faturas aprovadas, mas o processo de faturamento da Northbridge era inconsistente. A fatura mediana era aprovada em oito dias, enquanto 17% levavam mais de 20 dias. As causas comuns incluíam disputas de quantidade, registros de recebimento ausentes, incompatibilidades de preço e faturas enviadas à entidade errada. Um fornecedor não poderia solicitar pagamento antecipado até a aprovação, então um processo lento poderia eliminar boa parte do benefício.</w:t>
      </w:r>
    </w:p>
    <w:p>
      <w:pPr>
        <w:pStyle w:val="BodyText"/>
      </w:pPr>
      <w:r>
        <w:t xml:space="preserve">A empresa também carecia de uma medida confiável da saúde financeira dos fornecedores. O departamento de compras coletava questionários anuais, pontuações de crédito comercial, resultados de qualidade, desempenho de entrega e observações informais de compradores. Essas fontes às vezes se contradiziam. Um fornecedor com pontuação de crédito fraca nunca havia perdido um embarque em doze anos. Outro, com demonstrações financeiras sólidas, havia recentemente perdido seu gerente de fábrica e enfrentava rotatividade de mão de obra. Chen se perguntou se a Northbridge deveria perguntar diretamente aos fornecedores sobre necessidades de caixa, mas o departamento de compras temia que os fornecedores ou escondessem dificuldades ou as exagerassem para obter tratamento favorável.</w:t>
      </w:r>
    </w:p>
    <w:p>
      <w:pPr>
        <w:pStyle w:val="BodyText"/>
      </w:pPr>
      <w:r>
        <w:t xml:space="preserve">O banco propôs integrar dados de contas, histórico de faturas, registros de embarque e pontuações de risco externas. A plataforma poderia sinalizar faturas duplicadas incomuns, concentração ou mudanças rápidas no comportamento de pagamento. A área jurídica alertou que falsos alarmes poderiam prejudicar relações com fornecedores, enquanto alertas perdidos poderiam criar uma falsa sensação de segurança. A equipe de cibersegurança estimou uma implementação de nove meses se o programa usasse integração completa, contra quatro meses para um lançamento mais limitado baseado em arquivos.</w:t>
      </w:r>
    </w:p>
    <w:bookmarkStart w:id="17" w:name="Xbd66058464fe45f3ce5a820d599396448101342"/>
    <w:p>
      <w:pPr>
        <w:pStyle w:val="Heading2"/>
      </w:pPr>
      <w:r>
        <w:t xml:space="preserve">Exhibit 5. Indicadores de Faturamento e Risco de Fornecedores</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t xml:space="preserve">Indicador</w:t>
            </w:r>
          </w:p>
        </w:tc>
        <w:tc>
          <w:tcPr/>
          <w:p>
            <w:pPr>
              <w:pStyle w:val="Compact"/>
              <w:jc w:val="left"/>
            </w:pPr>
            <w:r>
              <w:t xml:space="preserve">Resultado atual</w:t>
            </w:r>
          </w:p>
        </w:tc>
        <w:tc>
          <w:tcPr/>
          <w:p>
            <w:pPr>
              <w:pStyle w:val="Compact"/>
              <w:jc w:val="right"/>
            </w:pPr>
            <w:r>
              <w:t xml:space="preserve">Meta proposta para o ano um</w:t>
            </w:r>
          </w:p>
        </w:tc>
      </w:tr>
      <w:tr>
        <w:tc>
          <w:tcPr/>
          <w:p>
            <w:pPr>
              <w:pStyle w:val="Compact"/>
              <w:jc w:val="left"/>
            </w:pPr>
            <w:r>
              <w:t xml:space="preserve">Tempo médio de aprovação de faturas</w:t>
            </w:r>
          </w:p>
        </w:tc>
        <w:tc>
          <w:tcPr/>
          <w:p>
            <w:pPr>
              <w:pStyle w:val="Compact"/>
              <w:jc w:val="left"/>
            </w:pPr>
            <w:r>
              <w:t xml:space="preserve">8 dias</w:t>
            </w:r>
          </w:p>
        </w:tc>
        <w:tc>
          <w:tcPr/>
          <w:p>
            <w:pPr>
              <w:pStyle w:val="Compact"/>
              <w:jc w:val="right"/>
            </w:pPr>
            <w:r>
              <w:t xml:space="preserve">3 dias</w:t>
            </w:r>
          </w:p>
        </w:tc>
      </w:tr>
      <w:tr>
        <w:tc>
          <w:tcPr/>
          <w:p>
            <w:pPr>
              <w:pStyle w:val="Compact"/>
              <w:jc w:val="left"/>
            </w:pPr>
            <w:r>
              <w:t xml:space="preserve">Faturas aprovadas após 20 dias</w:t>
            </w:r>
          </w:p>
        </w:tc>
        <w:tc>
          <w:tcPr/>
          <w:p>
            <w:pPr>
              <w:pStyle w:val="Compact"/>
              <w:jc w:val="left"/>
            </w:pPr>
            <w:r>
              <w:t xml:space="preserve">17%</w:t>
            </w:r>
          </w:p>
        </w:tc>
        <w:tc>
          <w:tcPr/>
          <w:p>
            <w:pPr>
              <w:pStyle w:val="Compact"/>
              <w:jc w:val="right"/>
            </w:pPr>
            <w:r>
              <w:t xml:space="preserve">Abaixo de 5%</w:t>
            </w:r>
          </w:p>
        </w:tc>
      </w:tr>
      <w:tr>
        <w:tc>
          <w:tcPr/>
          <w:p>
            <w:pPr>
              <w:pStyle w:val="Compact"/>
              <w:jc w:val="left"/>
            </w:pPr>
            <w:r>
              <w:t xml:space="preserve">Faturas contestadas após aprovação</w:t>
            </w:r>
          </w:p>
        </w:tc>
        <w:tc>
          <w:tcPr/>
          <w:p>
            <w:pPr>
              <w:pStyle w:val="Compact"/>
              <w:jc w:val="left"/>
            </w:pPr>
            <w:r>
              <w:t xml:space="preserve">2.8%</w:t>
            </w:r>
          </w:p>
        </w:tc>
        <w:tc>
          <w:tcPr/>
          <w:p>
            <w:pPr>
              <w:pStyle w:val="Compact"/>
              <w:jc w:val="right"/>
            </w:pPr>
            <w:r>
              <w:t xml:space="preserve">Abaixo de 1%</w:t>
            </w:r>
          </w:p>
        </w:tc>
      </w:tr>
      <w:tr>
        <w:tc>
          <w:tcPr/>
          <w:p>
            <w:pPr>
              <w:pStyle w:val="Compact"/>
              <w:jc w:val="left"/>
            </w:pPr>
            <w:r>
              <w:t xml:space="preserve">Fornecedores críticos com dados financeiros atuais</w:t>
            </w:r>
          </w:p>
        </w:tc>
        <w:tc>
          <w:tcPr/>
          <w:p>
            <w:pPr>
              <w:pStyle w:val="Compact"/>
              <w:jc w:val="left"/>
            </w:pPr>
            <w:r>
              <w:t xml:space="preserve">61%</w:t>
            </w:r>
          </w:p>
        </w:tc>
        <w:tc>
          <w:tcPr/>
          <w:p>
            <w:pPr>
              <w:pStyle w:val="Compact"/>
              <w:jc w:val="right"/>
            </w:pPr>
            <w:r>
              <w:t xml:space="preserve">90%</w:t>
            </w:r>
          </w:p>
        </w:tc>
      </w:tr>
      <w:tr>
        <w:tc>
          <w:tcPr/>
          <w:p>
            <w:pPr>
              <w:pStyle w:val="Compact"/>
              <w:jc w:val="left"/>
            </w:pPr>
            <w:r>
              <w:t xml:space="preserve">Fornecedores críticos com qualificação de dupla font</w:t>
            </w:r>
          </w:p>
        </w:tc>
        <w:tc>
          <w:tcPr/>
          <w:p>
            <w:pPr>
              <w:pStyle w:val="Compact"/>
              <w:jc w:val="left"/>
            </w:pPr>
            <w:r>
              <w:t xml:space="preserve">e 38%</w:t>
            </w:r>
          </w:p>
        </w:tc>
        <w:tc>
          <w:tcPr/>
          <w:p>
            <w:pPr>
              <w:pStyle w:val="Compact"/>
              <w:jc w:val="right"/>
            </w:pPr>
            <w:r>
              <w:t xml:space="preserve">50%</w:t>
            </w:r>
          </w:p>
        </w:tc>
      </w:tr>
      <w:tr>
        <w:tc>
          <w:tcPr/>
          <w:p>
            <w:pPr>
              <w:pStyle w:val="Compact"/>
              <w:jc w:val="left"/>
            </w:pPr>
            <w:r>
              <w:t xml:space="preserve">Fornecedores relatando dificuldade de caixa na últim</w:t>
            </w:r>
          </w:p>
        </w:tc>
        <w:tc>
          <w:tcPr/>
          <w:p>
            <w:pPr>
              <w:pStyle w:val="Compact"/>
              <w:jc w:val="left"/>
            </w:pPr>
            <w:r>
              <w:t xml:space="preserve">a revisão 29%</w:t>
            </w:r>
          </w:p>
        </w:tc>
        <w:tc>
          <w:tcPr/>
          <w:p>
            <w:pPr>
              <w:pStyle w:val="Compact"/>
              <w:jc w:val="right"/>
            </w:pPr>
            <w:r>
              <w:t xml:space="preserve">Não estabelecida</w:t>
            </w:r>
          </w:p>
        </w:tc>
      </w:tr>
    </w:tbl>
    <w:bookmarkEnd w:id="17"/>
    <w:bookmarkEnd w:id="18"/>
    <w:bookmarkStart w:id="19" w:name="uma-decisão-antes-da-reunião-do-conselho"/>
    <w:p>
      <w:pPr>
        <w:pStyle w:val="Heading1"/>
      </w:pPr>
      <w:r>
        <w:t xml:space="preserve">Uma Decisão Antes da Reunião do Conselho</w:t>
      </w:r>
    </w:p>
    <w:p>
      <w:pPr>
        <w:pStyle w:val="FirstParagraph"/>
      </w:pPr>
      <w:r>
        <w:t xml:space="preserve">O comitê financeiro do conselho se reuniria em nove dias. Chen precisava recomendar se a Northbridge deveria lançar o programa de financiamento a fornecedores, quão amplamente ele deveria se aplicar, se os prazos de pagamento deveriam mudar e quais ações complementares seriam necessárias. O banco queria um termo de compromisso assinado até o final do mês para reservar capacidade de implementação. A AlloyWorks queria uma resposta em duas semanas.</w:t>
      </w:r>
    </w:p>
    <w:p>
      <w:pPr>
        <w:pStyle w:val="BodyText"/>
      </w:pPr>
      <w:r>
        <w:t xml:space="preserve">A equipe de Chen produziu um cenário de baixa no qual a demanda dos clientes caía 12%, um grande cliente pagava com 45 dias de atraso, e os custos com tarifas subiam mais $38 million. Nesse cenário, a liquidez disponível da Northbridge poderia cair abaixo do mínimo interno, a menos que a empresa adiasse a expansão da fábrica, sacasse seu crédito rotativo ou estendesse os prazos dos fornecedores. Um cenário diferente assumia demanda forte, mas a falha de dois fornecedores críticos, causando atrasos na produção e frete premium. Nesse caso, preservar o caixa da Northbridge ofereceria pouco conforto se a empresa não pudesse embarcar produtos acabados.</w:t>
      </w:r>
    </w:p>
    <w:p>
      <w:pPr>
        <w:pStyle w:val="BodyText"/>
      </w:pPr>
      <w:r>
        <w:t xml:space="preserve">Nenhuma opção separava o desempenho financeiro das consequências operacionais. Pagar os fornecedores mais rapidamente poderia fortalecer a rede, mas enfraquecer a própria posição de caixa da Northbridge. Estender os prazos poderia melhorar o capital de giro reportado, mas transferir risco para empresas com menos acesso a crédito. Seguros e hedges poderiam reduzir exposições selecionadas, ao mesmo tempo introduzindo prêmios, franquias, risco de base e complexidade contratual. Manter mais caixa melhoraria a resiliência, mas competiria com dividendos, redução de dívida, automação e investimento em fábricas.</w:t>
      </w:r>
    </w:p>
    <w:p>
      <w:pPr>
        <w:pStyle w:val="BodyText"/>
      </w:pPr>
      <w:r>
        <w:t xml:space="preserve">Às 18h30 daquela noite, Chen revisou os slides preliminares do conselho. Uma página mostrava o benefício de caixa projetado de um programa de 90 dias. Outra mostrava a receita dependente de fornecedores vulneráveis. Uma terceira listava lacunas de seguro e exposições cambiais. Cada página era persuasiva por si só; juntas, não produziam uma resposta óbvia. Ela apagou o slide de recomendação e começou de novo.</w:t>
      </w:r>
    </w:p>
    <w:bookmarkEnd w:id="19"/>
    <w:bookmarkStart w:id="20" w:name="questões-de-discussão"/>
    <w:p>
      <w:pPr>
        <w:pStyle w:val="Heading1"/>
      </w:pPr>
      <w:r>
        <w:t xml:space="preserve">Questões de Discussão</w:t>
      </w:r>
    </w:p>
    <w:p>
      <w:pPr>
        <w:numPr>
          <w:ilvl w:val="0"/>
          <w:numId w:val="1001"/>
        </w:numPr>
      </w:pPr>
      <w:r>
        <w:t xml:space="preserve">Qual é o problema de negócio central que a Northbridge enfrenta, e por que ele é mais amplo do que escolher se deve adotar uma plataforma de financiamento a fornecedores?</w:t>
      </w:r>
    </w:p>
    <w:p>
      <w:pPr>
        <w:numPr>
          <w:ilvl w:val="0"/>
          <w:numId w:val="1001"/>
        </w:numPr>
      </w:pPr>
      <w:r>
        <w:t xml:space="preserve">Quais fornecedores devem receber prioridade, e quais informações devem determinar a elegibilidade ou o apoio da empresa?</w:t>
      </w:r>
    </w:p>
    <w:p>
      <w:pPr>
        <w:numPr>
          <w:ilvl w:val="0"/>
          <w:numId w:val="1001"/>
        </w:numPr>
      </w:pPr>
      <w:r>
        <w:t xml:space="preserve">Como a Northbridge deve comparar o valor de reter caixa com o risco de enfraquecer fornecedores financeiramente vulneráveis?</w:t>
      </w:r>
    </w:p>
    <w:p>
      <w:pPr>
        <w:numPr>
          <w:ilvl w:val="0"/>
          <w:numId w:val="1001"/>
        </w:numPr>
      </w:pPr>
      <w:r>
        <w:t xml:space="preserve">Os prazos de pagamento devem ser estendidos para fornecedores que podem obter pagamento antecipado por meio do banco? Por que sim ou por que não?</w:t>
      </w:r>
    </w:p>
    <w:p>
      <w:pPr>
        <w:numPr>
          <w:ilvl w:val="0"/>
          <w:numId w:val="1001"/>
        </w:numPr>
      </w:pPr>
      <w:r>
        <w:t xml:space="preserve">Como a velocidade de aprovação de faturas deve afetar o desenho e o momento do programa?</w:t>
      </w:r>
    </w:p>
    <w:p>
      <w:pPr>
        <w:numPr>
          <w:ilvl w:val="0"/>
          <w:numId w:val="1001"/>
        </w:numPr>
      </w:pPr>
      <w:r>
        <w:t xml:space="preserve">Quais riscos financeiros a Northbridge deveria segurar ou proteger (hedge), e quais deveria reter?</w:t>
      </w:r>
    </w:p>
    <w:p>
      <w:pPr>
        <w:numPr>
          <w:ilvl w:val="0"/>
          <w:numId w:val="1001"/>
        </w:numPr>
      </w:pPr>
      <w:r>
        <w:t xml:space="preserve">Como a empresa deve lidar com fornecedores que são operacionalmente críticos, mas falham nos filtros financeiros ou de conformidade do banco?</w:t>
      </w:r>
    </w:p>
    <w:p>
      <w:pPr>
        <w:numPr>
          <w:ilvl w:val="0"/>
          <w:numId w:val="1001"/>
        </w:numPr>
      </w:pPr>
      <w:r>
        <w:t xml:space="preserve">O que poderia dar errado se a Northbridge depender fortemente de um único banco ou de uma única plataforma digital?</w:t>
      </w:r>
    </w:p>
    <w:p>
      <w:pPr>
        <w:numPr>
          <w:ilvl w:val="0"/>
          <w:numId w:val="1001"/>
        </w:numPr>
      </w:pPr>
      <w:r>
        <w:t xml:space="preserve">Quais dados adicionais ou piloto seriam mais valiosos antes de assumir um compromisso mais amplo?</w:t>
      </w:r>
    </w:p>
    <w:p>
      <w:pPr>
        <w:numPr>
          <w:ilvl w:val="0"/>
          <w:numId w:val="1001"/>
        </w:numPr>
      </w:pPr>
      <w:r>
        <w:t xml:space="preserve">Quais ações Chen deveria recomendar imediatamente, e quais decisões deveriam permanecer condicionadas a eventos futuros?</w:t>
      </w:r>
    </w:p>
    <w:bookmarkEnd w:id="20"/>
    <w:bookmarkStart w:id="26"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1">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finalmente um alvo (roxo).</w:t>
      </w:r>
    </w:p>
    <w:p>
      <w:pPr>
        <w:numPr>
          <w:ilvl w:val="0"/>
          <w:numId w:val="1002"/>
        </w:numPr>
      </w:pPr>
      <w:r>
        <w:t xml:space="preserve">Use a</w:t>
      </w:r>
      <w:r>
        <w:t xml:space="preserve"> </w:t>
      </w:r>
      <w:hyperlink r:id="rId22">
        <w:r>
          <w:rPr>
            <w:rStyle w:val="Hyperlink"/>
          </w:rPr>
          <w:t xml:space="preserve">ferramenta de priorização de decisões</w:t>
        </w:r>
      </w:hyperlink>
      <w:r>
        <w:t xml:space="preserve"> </w:t>
      </w:r>
      <w:r>
        <w:t xml:space="preserve">para primeiro listar os diferentes tipos de decisões (use os</w:t>
      </w:r>
      <w:r>
        <w:t xml:space="preserve"> </w:t>
      </w:r>
      <w:hyperlink r:id="rId23">
        <w:r>
          <w:rPr>
            <w:rStyle w:val="Hyperlink"/>
          </w:rPr>
          <w:t xml:space="preserve">tipos de decisões</w:t>
        </w:r>
      </w:hyperlink>
      <w:r>
        <w:t xml:space="preserve"> </w:t>
      </w:r>
      <w:r>
        <w:t xml:space="preserve">como guia). Estas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Nesse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4">
        <w:r>
          <w:rPr>
            <w:rStyle w:val="Hyperlink"/>
          </w:rPr>
          <w:t xml:space="preserve">ferramenta de priorização de incertezas</w:t>
        </w:r>
      </w:hyperlink>
      <w:r>
        <w:t xml:space="preserve">. Use as</w:t>
      </w:r>
      <w:r>
        <w:t xml:space="preserve"> </w:t>
      </w:r>
      <w:hyperlink r:id="rId25">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impacto alto ou médio.</w:t>
      </w:r>
    </w:p>
    <w:p>
      <w:pPr>
        <w:numPr>
          <w:ilvl w:val="0"/>
          <w:numId w:val="1002"/>
        </w:numPr>
      </w:pPr>
      <w:r>
        <w:t xml:space="preserve">Usando a mesma decisão identificada em (7), identifique as pessoas, departamentos, grupos ou organizações com os quais você precisaria trabalhar para implementar a decisão.</w:t>
      </w:r>
    </w:p>
    <w:bookmarkEnd w:id="26"/>
    <w:bookmarkStart w:id="27" w:name="notas-de-fonte"/>
    <w:p>
      <w:pPr>
        <w:pStyle w:val="Heading1"/>
      </w:pPr>
      <w:r>
        <w:t xml:space="preserve">Notas de Fonte</w:t>
      </w:r>
    </w:p>
    <w:p>
      <w:pPr>
        <w:pStyle w:val="FirstParagraph"/>
      </w:pPr>
      <w:r>
        <w:t xml:space="preserve">Warren B. Powell,</w:t>
      </w:r>
      <w:r>
        <w:t xml:space="preserve"> </w:t>
      </w:r>
      <w:r>
        <w:t xml:space="preserve">“Supply Chain Finance,”</w:t>
      </w:r>
      <w:r>
        <w:t xml:space="preserve"> </w:t>
      </w:r>
      <w:r>
        <w:t xml:space="preserve">Capítulo 2, Bridging Decision Problems, Volume I: Framing the Problem. A seção descreve aprovação de faturas, pagamento antecipado, pagamento no vencimento, escolhas de financiamento e seguro, gestão de caixa, alocação de capital, e incertezas envolvendo inadimplências, moedas, tarifas, vendas, taxas de juros e mercados de crédito.</w:t>
      </w:r>
    </w:p>
    <w:p>
      <w:pPr>
        <w:pStyle w:val="BodyText"/>
      </w:pPr>
      <w:r>
        <w:t xml:space="preserve">Federal Reserve Banks, 2026 Report on Employer Firms: Findings from the 2025 Small Business Credit Survey, 3 de março de 2026. A pesquisa relatou que 60% das empresas solicitaram financiamento, 42% receberam o valor total buscado, e os desafios de custo relacionados a tarifas foram especialmente comuns entre fabricantes.</w:t>
      </w:r>
    </w:p>
    <w:p>
      <w:pPr>
        <w:pStyle w:val="BodyText"/>
      </w:pPr>
      <w:r>
        <w:t xml:space="preserve">Secured Finance Network,</w:t>
      </w:r>
      <w:r>
        <w:t xml:space="preserve"> </w:t>
      </w:r>
      <w:r>
        <w:t xml:space="preserve">“The Growing Impact of Supply Chain Finance: Insights from SFNet’s 2025 Market Sizing Study.”</w:t>
      </w:r>
      <w:r>
        <w:t xml:space="preserve"> </w:t>
      </w:r>
      <w:r>
        <w:t xml:space="preserve">O estudo estimou que aproximadamente 12% dos recebíveis comerciais dos EUA foram financiados por meio de arranjos de financiamento da cadeia de suprimentos em 2024, representando um mercado anual de aproximadamente $2.56 trillion.</w:t>
      </w:r>
    </w:p>
    <w:p>
      <w:pPr>
        <w:pStyle w:val="BodyText"/>
      </w:pPr>
      <w:r>
        <w:t xml:space="preserve">International Finance Corporation,</w:t>
      </w:r>
      <w:r>
        <w:t xml:space="preserve"> </w:t>
      </w:r>
      <w:r>
        <w:t xml:space="preserve">“Scaling Up Supply Chain Finance Could Unlock Billions for SMEs,”</w:t>
      </w:r>
      <w:r>
        <w:t xml:space="preserve"> </w:t>
      </w:r>
      <w:r>
        <w:t xml:space="preserve">setembro de 2025. A IFC estimou que a lacuna global de financiamento comercial havia atingido $2.5 trillion e enfatizou as restrições de capital de giro enfrentadas por fornecedores menores.</w:t>
      </w:r>
    </w:p>
    <w:bookmarkEnd w:id="27"/>
    <w:bookmarkStart w:id="30" w:name="notas-do-chatgpt"/>
    <w:p>
      <w:pPr>
        <w:pStyle w:val="Heading1"/>
      </w:pPr>
      <w:r>
        <w:t xml:space="preserve">Notas do ChatGPT</w:t>
      </w:r>
    </w:p>
    <w:bookmarkStart w:id="28" w:name="prompt"/>
    <w:p>
      <w:pPr>
        <w:pStyle w:val="Heading2"/>
      </w:pPr>
      <w:r>
        <w:t xml:space="preserve">Prompt</w:t>
      </w:r>
    </w:p>
    <w:p>
      <w:pPr>
        <w:pStyle w:val="FirstParagraph"/>
      </w:pPr>
      <w:r>
        <w:t xml:space="preserve">Escreva um estudo de caso de 4 a 6 páginas com base no material da seção em https://warrenpowell.org/bridging-vol1/chapter-2/#supplychainfinance. Crie um contexto baseado nas métricas, decisões e incertezas da seção, mas sem chamar explicitamente a atenção para elas. Motive seu problema de caso com dados.</w:t>
      </w:r>
    </w:p>
    <w:bookmarkEnd w:id="28"/>
    <w:bookmarkStart w:id="29" w:name="resumo"/>
    <w:p>
      <w:pPr>
        <w:pStyle w:val="Heading2"/>
      </w:pPr>
      <w:r>
        <w:t xml:space="preserve">Resumo</w:t>
      </w:r>
    </w:p>
    <w:p>
      <w:pPr>
        <w:pStyle w:val="FirstParagraph"/>
      </w:pPr>
      <w:r>
        <w:t xml:space="preserve">O caso segue um fabricante fictício cujos fornecedores estão solicitando pagamento mais rápido enquanto a empresa tenta preservar caixa, absorver custos relacionados a tarifas, financiar estoque adicional e manter sua posição de crédito. Ele considera financiamento a fornecedores, descontos por pagamento antecipado, prazos de pagamento, aprovação de faturas, seguro, hedge cambial, reservas de caixa e apoio a fornecedores financeiramente vulneráveis, sem identificar uma solução preferida.</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2026-09-11T16:48:47Z</dcterms:created>
  <dcterms:modified xsi:type="dcterms:W3CDTF">2026-09-11T16:48:47Z</dcterms:modified>
</cp:coreProperties>
</file>

<file path=docProps/custom.xml><?xml version="1.0" encoding="utf-8"?>
<Properties xmlns="http://schemas.openxmlformats.org/officeDocument/2006/custom-properties" xmlns:vt="http://schemas.openxmlformats.org/officeDocument/2006/docPropsVTypes"/>
</file>