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Northstar Living: A Aposta do Estoque</w:t>
      </w:r>
    </w:p>
    <w:p>
      <w:pPr>
        <w:pStyle w:val="BodyText"/>
      </w:pPr>
      <w:r>
        <w:t xml:space="preserve">Um caso de ensino em planejamento de estoque de longo prazo de espera</w:t>
      </w:r>
    </w:p>
    <w:p>
      <w:pPr>
        <w:pStyle w:val="BodyText"/>
      </w:pPr>
      <w:r>
        <w:t xml:space="preserve">Este caso é fictício e destinado à discussão instrucional. Nomes, eventos, organizações e dados operacionais são inventados, embora o contexto do setor seja informado por fontes públicas.</w:t>
      </w:r>
    </w:p>
    <w:p>
      <w:pPr>
        <w:pStyle w:val="BodyText"/>
      </w:pPr>
      <w:r>
        <w:t xml:space="preserve">No final de julho de 2026, Maya Chen, diretora de operações da Northstar Living, enfrentava uma decisão que parecia simples em uma planilha e cada vez mais perigosa na prática. A empresa precisava se comprometer com as compras da temporada de festas de fim de ano para seus produtos de crescimento mais rápido antes de saber quão forte seria a demanda dos consumidores, se os embarques oceânicos chegariam no prazo, ou o quão agressivamente os concorrentes ofereceriam descontos em produtos semelhantes.</w:t>
      </w:r>
    </w:p>
    <w:p>
      <w:pPr>
        <w:pStyle w:val="BodyText"/>
      </w:pPr>
      <w:r>
        <w:t xml:space="preserve">A Northstar vendia eletrodomésticos compactos por meio de seu próprio site, grandes marketplaces on-line e 420 varejistas especializados. Seus produtos — purificadores de ar, máquinas de gelo de bancada, ventiladores inteligentes e cooktops de indução compactos — eram projetados nos Estados Unidos, mas fornecidos principalmente por fabricantes contratados na China, no Vietnã e na Polônia. Os prazos típicos de reabastecimento eram de 7 a 11 semanas, desde o pedido de compra até a disponibilidade do estoque, e uma interrupção em um porto ou fábrica poderia acrescentar várias semanas a mais.</w:t>
      </w:r>
    </w:p>
    <w:p>
      <w:pPr>
        <w:pStyle w:val="BodyText"/>
      </w:pPr>
      <w:r>
        <w:t xml:space="preserve">Os riscos estavam crescendo. As vendas no varejo dos EUA em lojas de móveis, artigos para o lar, eletrônicos e eletrodomésticos atingiram cerca de $19,5 bilhões em maio de 2026, enquanto os estoques nessa categoria eram de aproximadamente $30,7 bilhões. A razão sazonalmente ajustada de estoque em relação às vendas correspondente era de 1,58. Em toda a economia dos EUA, fabricantes e empresas comerciais mantinham cerca de $2,74 trilhões em estoque em maio de 2026. Esses números sugeriam tanto um grande mercado quanto o risco contínuo de imobilizar capital substancial em bens que talvez não vendessem como esperado.</w:t>
      </w:r>
    </w:p>
    <w:bookmarkStart w:id="9" w:name="o-compromisso-das-festas-de-fim-de-ano"/>
    <w:p>
      <w:pPr>
        <w:pStyle w:val="Heading1"/>
      </w:pPr>
      <w:r>
        <w:t xml:space="preserve">O compromisso das festas de fim de ano</w:t>
      </w:r>
    </w:p>
    <w:p>
      <w:pPr>
        <w:pStyle w:val="FirstParagraph"/>
      </w:pPr>
      <w:r>
        <w:t xml:space="preserve">A Northstar esperava que novembro e dezembro gerassem 31 por cento da receita anual. Os parceiros varejistas queriam alocações firmes até 1º de setembro, mas os fornecedores exigiam compromissos de compra no início de agosto para preservar as vagas de produção. A equipe financeira havia autorizado até $42 milhões em novas compras de estoque, incluindo frete e tarifas alfandegárias. A proposta atual da gestão exigia $39,6 milhões, deixando pouca margem para frete aéreo de emergência, tarifas inesperadas ou uma oportunidade repentina de comprar de um fornecedor alternativo.</w:t>
      </w:r>
    </w:p>
    <w:p>
      <w:pPr>
        <w:pStyle w:val="BodyText"/>
      </w:pPr>
      <w:r>
        <w:t xml:space="preserve">A empresa havia encerrado a temporada de festas anterior com dois resultados muito diferentes. Ela ficou sem seu purificador de ar premium durante um período de fumaça intensa de incêndios florestais, perdendo vendas estimadas e decepcionando vários grandes varejistas. Ao mesmo tempo, carregou 46.000 ventiladores inteligentes em excesso até janeiro e acabou dando desconto de 35 por cento neles. A falta do purificador ajudou os concorrentes a ganhar espaço nas prateleiras; o excedente de ventiladores consumiu capacidade de armazém e reduziu a margem operacional.</w:t>
      </w:r>
    </w:p>
    <w:tbl>
      <w:tblPr>
        <w:tblStyle w:val="Table"/>
        <w:tblW w:type="pct" w:w="4929"/>
        <w:tblLayout w:type="fixed"/>
        <w:tblLook w:firstRow="1" w:lastRow="0" w:firstColumn="0" w:lastColumn="0" w:noHBand="0" w:noVBand="0" w:val="0020"/>
      </w:tblPr>
      <w:tblGrid>
        <w:gridCol w:w="1516"/>
        <w:gridCol w:w="1067"/>
        <w:gridCol w:w="1685"/>
        <w:gridCol w:w="898"/>
        <w:gridCol w:w="1741"/>
        <w:gridCol w:w="898"/>
      </w:tblGrid>
      <w:tr>
        <w:trPr>
          <w:tblHeader w:val="on"/>
        </w:trPr>
        <w:tc>
          <w:tcPr/>
          <w:p>
            <w:pPr>
              <w:pStyle w:val="Compact"/>
              <w:jc w:val="left"/>
            </w:pPr>
            <w:r>
              <w:t xml:space="preserve">Produto</w:t>
            </w:r>
          </w:p>
        </w:tc>
        <w:tc>
          <w:tcPr/>
          <w:p>
            <w:pPr>
              <w:pStyle w:val="Compact"/>
              <w:jc w:val="left"/>
            </w:pPr>
            <w:r>
              <w:t xml:space="preserve">Pedido planejado</w:t>
            </w:r>
          </w:p>
        </w:tc>
        <w:tc>
          <w:tcPr/>
          <w:p>
            <w:pPr>
              <w:pStyle w:val="Compact"/>
              <w:jc w:val="left"/>
            </w:pPr>
            <w:r>
              <w:t xml:space="preserve">Custo unitário desembarcado</w:t>
            </w:r>
          </w:p>
        </w:tc>
        <w:tc>
          <w:tcPr/>
          <w:p>
            <w:pPr>
              <w:pStyle w:val="Compact"/>
              <w:jc w:val="left"/>
            </w:pPr>
            <w:r>
              <w:t xml:space="preserve">Preço regular</w:t>
            </w:r>
          </w:p>
        </w:tc>
        <w:tc>
          <w:tcPr/>
          <w:p>
            <w:pPr>
              <w:pStyle w:val="Compact"/>
            </w:pPr>
            <w:r>
              <w:t xml:space="preserve">Demanda esperada nas festas E</w:t>
            </w:r>
          </w:p>
        </w:tc>
        <w:tc>
          <w:tcPr/>
          <w:p>
            <w:pPr>
              <w:pStyle w:val="Compact"/>
              <w:jc w:val="left"/>
            </w:pPr>
            <w:r>
              <w:t xml:space="preserve">stoque atual</w:t>
            </w:r>
          </w:p>
        </w:tc>
      </w:tr>
      <w:tr>
        <w:tc>
          <w:tcPr/>
          <w:p>
            <w:pPr>
              <w:pStyle w:val="Compact"/>
              <w:jc w:val="left"/>
            </w:pPr>
            <w:r>
              <w:t xml:space="preserve">Purificador PureAir Pro</w:t>
            </w:r>
          </w:p>
        </w:tc>
        <w:tc>
          <w:tcPr/>
          <w:p>
            <w:pPr>
              <w:pStyle w:val="Compact"/>
              <w:jc w:val="left"/>
            </w:pPr>
            <w:r>
              <w:t xml:space="preserve">92.000</w:t>
            </w:r>
          </w:p>
        </w:tc>
        <w:tc>
          <w:tcPr/>
          <w:p>
            <w:pPr>
              <w:pStyle w:val="Compact"/>
              <w:jc w:val="left"/>
            </w:pPr>
            <w:r>
              <w:t xml:space="preserve">$142</w:t>
            </w:r>
          </w:p>
        </w:tc>
        <w:tc>
          <w:tcPr/>
          <w:p>
            <w:pPr>
              <w:pStyle w:val="Compact"/>
              <w:jc w:val="left"/>
            </w:pPr>
            <w:r>
              <w:t xml:space="preserve">$299</w:t>
            </w:r>
          </w:p>
        </w:tc>
        <w:tc>
          <w:tcPr/>
          <w:p>
            <w:pPr>
              <w:pStyle w:val="Compact"/>
            </w:pPr>
            <w:r>
              <w:t xml:space="preserve">105.000</w:t>
            </w:r>
          </w:p>
        </w:tc>
        <w:tc>
          <w:tcPr/>
          <w:p>
            <w:pPr>
              <w:pStyle w:val="Compact"/>
              <w:jc w:val="left"/>
            </w:pPr>
            <w:r>
              <w:t xml:space="preserve">18.000</w:t>
            </w:r>
          </w:p>
        </w:tc>
      </w:tr>
      <w:tr>
        <w:tc>
          <w:tcPr/>
          <w:p>
            <w:pPr>
              <w:pStyle w:val="Compact"/>
              <w:jc w:val="left"/>
            </w:pPr>
            <w:r>
              <w:t xml:space="preserve">Máquina de gelo FrostBox</w:t>
            </w:r>
          </w:p>
        </w:tc>
        <w:tc>
          <w:tcPr/>
          <w:p>
            <w:pPr>
              <w:pStyle w:val="Compact"/>
              <w:jc w:val="left"/>
            </w:pPr>
            <w:r>
              <w:t xml:space="preserve">74.000</w:t>
            </w:r>
          </w:p>
        </w:tc>
        <w:tc>
          <w:tcPr/>
          <w:p>
            <w:pPr>
              <w:pStyle w:val="Compact"/>
              <w:jc w:val="left"/>
            </w:pPr>
            <w:r>
              <w:t xml:space="preserve">$118</w:t>
            </w:r>
          </w:p>
        </w:tc>
        <w:tc>
          <w:tcPr/>
          <w:p>
            <w:pPr>
              <w:pStyle w:val="Compact"/>
              <w:jc w:val="left"/>
            </w:pPr>
            <w:r>
              <w:t xml:space="preserve">$249</w:t>
            </w:r>
          </w:p>
        </w:tc>
        <w:tc>
          <w:tcPr/>
          <w:p>
            <w:pPr>
              <w:pStyle w:val="Compact"/>
            </w:pPr>
            <w:r>
              <w:t xml:space="preserve">82.000</w:t>
            </w:r>
          </w:p>
        </w:tc>
        <w:tc>
          <w:tcPr/>
          <w:p>
            <w:pPr>
              <w:pStyle w:val="Compact"/>
              <w:jc w:val="left"/>
            </w:pPr>
            <w:r>
              <w:t xml:space="preserve">13.500</w:t>
            </w:r>
          </w:p>
        </w:tc>
      </w:tr>
      <w:tr>
        <w:tc>
          <w:tcPr/>
          <w:p>
            <w:pPr>
              <w:pStyle w:val="Compact"/>
              <w:jc w:val="left"/>
            </w:pPr>
            <w:r>
              <w:t xml:space="preserve">Ventilador BreezeIQ</w:t>
            </w:r>
          </w:p>
        </w:tc>
        <w:tc>
          <w:tcPr/>
          <w:p>
            <w:pPr>
              <w:pStyle w:val="Compact"/>
              <w:jc w:val="left"/>
            </w:pPr>
            <w:r>
              <w:t xml:space="preserve">65.000</w:t>
            </w:r>
          </w:p>
        </w:tc>
        <w:tc>
          <w:tcPr/>
          <w:p>
            <w:pPr>
              <w:pStyle w:val="Compact"/>
              <w:jc w:val="left"/>
            </w:pPr>
            <w:r>
              <w:t xml:space="preserve">$61</w:t>
            </w:r>
          </w:p>
        </w:tc>
        <w:tc>
          <w:tcPr/>
          <w:p>
            <w:pPr>
              <w:pStyle w:val="Compact"/>
              <w:jc w:val="left"/>
            </w:pPr>
            <w:r>
              <w:t xml:space="preserve">$139</w:t>
            </w:r>
          </w:p>
        </w:tc>
        <w:tc>
          <w:tcPr/>
          <w:p>
            <w:pPr>
              <w:pStyle w:val="Compact"/>
            </w:pPr>
            <w:r>
              <w:t xml:space="preserve">52.000</w:t>
            </w:r>
          </w:p>
        </w:tc>
        <w:tc>
          <w:tcPr/>
          <w:p>
            <w:pPr>
              <w:pStyle w:val="Compact"/>
              <w:jc w:val="left"/>
            </w:pPr>
            <w:r>
              <w:t xml:space="preserve">21.000</w:t>
            </w:r>
          </w:p>
        </w:tc>
      </w:tr>
      <w:tr>
        <w:tc>
          <w:tcPr/>
          <w:p>
            <w:pPr>
              <w:pStyle w:val="Compact"/>
              <w:jc w:val="left"/>
            </w:pPr>
            <w:r>
              <w:t xml:space="preserve">Unidade HeatPoint</w:t>
            </w:r>
          </w:p>
        </w:tc>
        <w:tc>
          <w:tcPr/>
          <w:p>
            <w:pPr>
              <w:pStyle w:val="Compact"/>
              <w:jc w:val="left"/>
            </w:pPr>
            <w:r>
              <w:t xml:space="preserve">48.000</w:t>
            </w:r>
          </w:p>
        </w:tc>
        <w:tc>
          <w:tcPr/>
          <w:p>
            <w:pPr>
              <w:pStyle w:val="Compact"/>
              <w:jc w:val="left"/>
            </w:pPr>
            <w:r>
              <w:t xml:space="preserve">$87</w:t>
            </w:r>
          </w:p>
        </w:tc>
        <w:tc>
          <w:tcPr/>
          <w:p>
            <w:pPr>
              <w:pStyle w:val="Compact"/>
              <w:jc w:val="left"/>
            </w:pPr>
            <w:r>
              <w:t xml:space="preserve">$189</w:t>
            </w:r>
          </w:p>
        </w:tc>
        <w:tc>
          <w:tcPr/>
          <w:p>
            <w:pPr>
              <w:pStyle w:val="Compact"/>
            </w:pPr>
            <w:r>
              <w:t xml:space="preserve">55.000</w:t>
            </w:r>
          </w:p>
        </w:tc>
        <w:tc>
          <w:tcPr/>
          <w:p>
            <w:pPr>
              <w:pStyle w:val="Compact"/>
              <w:jc w:val="left"/>
            </w:pPr>
            <w:r>
              <w:t xml:space="preserve">9.000</w:t>
            </w:r>
          </w:p>
        </w:tc>
      </w:tr>
    </w:tbl>
    <w:p>
      <w:pPr>
        <w:pStyle w:val="BodyText"/>
      </w:pPr>
      <w:r>
        <w:t xml:space="preserve">A previsão de demanda não era um único número. A equipe de vendas acreditava que o purificador poderia superar 125.000 unidades se as condições de fumaça piorassem ou se uma campanha planejada com influenciadores tivesse sucesso. A área financeira considerava 90.000 unidades plausíveis se os gastos dos consumidores enfraquecessem. Os varejistas podiam cancelar até 20 por cento dos pedidos antecipados quatro semanas antes do embarque. A demanda on-line chegava sem aviso prévio, e os clientes raramente esperavam quando um item estava indisponível.</w:t>
      </w:r>
    </w:p>
    <w:bookmarkEnd w:id="9"/>
    <w:bookmarkStart w:id="10" w:name="informações-que-não-concordavam"/>
    <w:p>
      <w:pPr>
        <w:pStyle w:val="Heading1"/>
      </w:pPr>
      <w:r>
        <w:t xml:space="preserve">Informações que não concordavam</w:t>
      </w:r>
    </w:p>
    <w:p>
      <w:pPr>
        <w:pStyle w:val="FirstParagraph"/>
      </w:pPr>
      <w:r>
        <w:t xml:space="preserve">O sistema de previsão da empresa combinava histórico de vendas, pedidos de varejistas, tráfego no site, preços, promoções, indicadores climáticos e o julgamento dos gerentes de produto. A precisão da previsão havia melhorado no nível da categoria, mas os erros permaneciam altos por produto e por semana. Os gerentes discordavam sobre se a previsão estava errada porque o modelo era fraco, porque os planos de marketing mudaram depois que a previsão foi produzida, ou porque as faltas de estoque distorciam o histórico de vendas usado para treiná-la.</w:t>
      </w:r>
    </w:p>
    <w:tbl>
      <w:tblPr>
        <w:tblStyle w:val="Table"/>
        <w:tblW w:type="pct" w:w="4896"/>
        <w:tblLayout w:type="fixed"/>
        <w:tblLook w:firstRow="1" w:lastRow="0" w:firstColumn="0" w:lastColumn="0" w:noHBand="0" w:noVBand="0" w:val="0020"/>
      </w:tblPr>
      <w:tblGrid>
        <w:gridCol w:w="2805"/>
        <w:gridCol w:w="1237"/>
        <w:gridCol w:w="1237"/>
        <w:gridCol w:w="1237"/>
        <w:gridCol w:w="1237"/>
      </w:tblGrid>
      <w:tr>
        <w:trPr>
          <w:tblHeader w:val="on"/>
        </w:trPr>
        <w:tc>
          <w:tcPr/>
          <w:p>
            <w:pPr>
              <w:pStyle w:val="Compact"/>
              <w:jc w:val="left"/>
            </w:pPr>
            <w:r>
              <w:t xml:space="preserve">Indicador</w:t>
            </w:r>
          </w:p>
        </w:tc>
        <w:tc>
          <w:tcPr/>
          <w:p>
            <w:pPr>
              <w:pStyle w:val="Compact"/>
              <w:jc w:val="center"/>
            </w:pPr>
            <w:r>
              <w:t xml:space="preserve">PureAir</w:t>
            </w:r>
          </w:p>
        </w:tc>
        <w:tc>
          <w:tcPr/>
          <w:p>
            <w:pPr>
              <w:pStyle w:val="Compact"/>
              <w:jc w:val="center"/>
            </w:pPr>
            <w:r>
              <w:t xml:space="preserve">FrostBox</w:t>
            </w:r>
          </w:p>
        </w:tc>
        <w:tc>
          <w:tcPr/>
          <w:p>
            <w:pPr>
              <w:pStyle w:val="Compact"/>
              <w:jc w:val="center"/>
            </w:pPr>
            <w:r>
              <w:t xml:space="preserve">BreezeIQ</w:t>
            </w:r>
          </w:p>
        </w:tc>
        <w:tc>
          <w:tcPr/>
          <w:p>
            <w:pPr>
              <w:pStyle w:val="Compact"/>
              <w:jc w:val="right"/>
            </w:pPr>
            <w:r>
              <w:t xml:space="preserve">HeatPoint</w:t>
            </w:r>
          </w:p>
        </w:tc>
      </w:tr>
      <w:tr>
        <w:tc>
          <w:tcPr/>
          <w:p>
            <w:pPr>
              <w:pStyle w:val="Compact"/>
              <w:jc w:val="left"/>
            </w:pPr>
            <w:r>
              <w:t xml:space="preserve">Erro de previsão, últimos 12 meses</w:t>
            </w:r>
          </w:p>
        </w:tc>
        <w:tc>
          <w:tcPr/>
          <w:p>
            <w:pPr>
              <w:pStyle w:val="Compact"/>
              <w:jc w:val="center"/>
            </w:pPr>
            <w:r>
              <w:t xml:space="preserve">24%</w:t>
            </w:r>
          </w:p>
        </w:tc>
        <w:tc>
          <w:tcPr/>
          <w:p>
            <w:pPr>
              <w:pStyle w:val="Compact"/>
              <w:jc w:val="center"/>
            </w:pPr>
            <w:r>
              <w:t xml:space="preserve">31%</w:t>
            </w:r>
          </w:p>
        </w:tc>
        <w:tc>
          <w:tcPr/>
          <w:p>
            <w:pPr>
              <w:pStyle w:val="Compact"/>
              <w:jc w:val="center"/>
            </w:pPr>
            <w:r>
              <w:t xml:space="preserve">38%</w:t>
            </w:r>
          </w:p>
        </w:tc>
        <w:tc>
          <w:tcPr/>
          <w:p>
            <w:pPr>
              <w:pStyle w:val="Compact"/>
              <w:jc w:val="right"/>
            </w:pPr>
            <w:r>
              <w:t xml:space="preserve">27%</w:t>
            </w:r>
          </w:p>
        </w:tc>
      </w:tr>
      <w:tr>
        <w:tc>
          <w:tcPr/>
          <w:p>
            <w:pPr>
              <w:pStyle w:val="Compact"/>
              <w:jc w:val="left"/>
            </w:pPr>
            <w:r>
              <w:t xml:space="preserve">Prazo de entrega cotado pelo forne</w:t>
            </w:r>
          </w:p>
        </w:tc>
        <w:tc>
          <w:tcPr/>
          <w:p>
            <w:pPr>
              <w:pStyle w:val="Compact"/>
              <w:jc w:val="center"/>
            </w:pPr>
            <w:r>
              <w:t xml:space="preserve">cedor 8 seman</w:t>
            </w:r>
          </w:p>
        </w:tc>
        <w:tc>
          <w:tcPr/>
          <w:p>
            <w:pPr>
              <w:pStyle w:val="Compact"/>
              <w:jc w:val="center"/>
            </w:pPr>
            <w:r>
              <w:t xml:space="preserve">as 9 seman</w:t>
            </w:r>
          </w:p>
        </w:tc>
        <w:tc>
          <w:tcPr/>
          <w:p>
            <w:pPr>
              <w:pStyle w:val="Compact"/>
              <w:jc w:val="center"/>
            </w:pPr>
            <w:r>
              <w:t xml:space="preserve">as 7 seman</w:t>
            </w:r>
          </w:p>
        </w:tc>
        <w:tc>
          <w:tcPr/>
          <w:p>
            <w:pPr>
              <w:pStyle w:val="Compact"/>
              <w:jc w:val="right"/>
            </w:pPr>
            <w:r>
              <w:t xml:space="preserve">as 10 semanas</w:t>
            </w:r>
          </w:p>
        </w:tc>
      </w:tr>
      <w:tr>
        <w:tc>
          <w:tcPr/>
          <w:p>
            <w:pPr>
              <w:pStyle w:val="Compact"/>
              <w:jc w:val="left"/>
            </w:pPr>
            <w:r>
              <w:t xml:space="preserve">Faixa observada no ano passado</w:t>
            </w:r>
          </w:p>
        </w:tc>
        <w:tc>
          <w:tcPr/>
          <w:p>
            <w:pPr>
              <w:pStyle w:val="Compact"/>
              <w:jc w:val="center"/>
            </w:pPr>
            <w:r>
              <w:t xml:space="preserve">7–14 sema</w:t>
            </w:r>
          </w:p>
        </w:tc>
        <w:tc>
          <w:tcPr/>
          <w:p>
            <w:pPr>
              <w:pStyle w:val="Compact"/>
              <w:jc w:val="center"/>
            </w:pPr>
            <w:r>
              <w:t xml:space="preserve">nas 8–13 sema</w:t>
            </w:r>
          </w:p>
        </w:tc>
        <w:tc>
          <w:tcPr/>
          <w:p>
            <w:pPr>
              <w:pStyle w:val="Compact"/>
              <w:jc w:val="center"/>
            </w:pPr>
            <w:r>
              <w:t xml:space="preserve">nas 6–11 sema</w:t>
            </w:r>
          </w:p>
        </w:tc>
        <w:tc>
          <w:tcPr/>
          <w:p>
            <w:pPr>
              <w:pStyle w:val="Compact"/>
              <w:jc w:val="right"/>
            </w:pPr>
            <w:r>
              <w:t xml:space="preserve">nas 9–16 semanas</w:t>
            </w:r>
          </w:p>
        </w:tc>
      </w:tr>
      <w:tr>
        <w:tc>
          <w:tcPr/>
          <w:p>
            <w:pPr>
              <w:pStyle w:val="Compact"/>
              <w:jc w:val="left"/>
            </w:pPr>
            <w:r>
              <w:t xml:space="preserve">Margem bruta no preço de tabela</w:t>
            </w:r>
          </w:p>
        </w:tc>
        <w:tc>
          <w:tcPr/>
          <w:p>
            <w:pPr>
              <w:pStyle w:val="Compact"/>
              <w:jc w:val="center"/>
            </w:pPr>
            <w:r>
              <w:t xml:space="preserve">52%</w:t>
            </w:r>
          </w:p>
        </w:tc>
        <w:tc>
          <w:tcPr/>
          <w:p>
            <w:pPr>
              <w:pStyle w:val="Compact"/>
              <w:jc w:val="center"/>
            </w:pPr>
            <w:r>
              <w:t xml:space="preserve">49%</w:t>
            </w:r>
          </w:p>
        </w:tc>
        <w:tc>
          <w:tcPr/>
          <w:p>
            <w:pPr>
              <w:pStyle w:val="Compact"/>
              <w:jc w:val="center"/>
            </w:pPr>
            <w:r>
              <w:t xml:space="preserve">56%</w:t>
            </w:r>
          </w:p>
        </w:tc>
        <w:tc>
          <w:tcPr/>
          <w:p>
            <w:pPr>
              <w:pStyle w:val="Compact"/>
              <w:jc w:val="right"/>
            </w:pPr>
            <w:r>
              <w:t xml:space="preserve">50%</w:t>
            </w:r>
          </w:p>
        </w:tc>
      </w:tr>
      <w:tr>
        <w:tc>
          <w:tcPr/>
          <w:p>
            <w:pPr>
              <w:pStyle w:val="Compact"/>
              <w:jc w:val="left"/>
            </w:pPr>
            <w:r>
              <w:t xml:space="preserve">Taxa de devolução esperada</w:t>
            </w:r>
          </w:p>
        </w:tc>
        <w:tc>
          <w:tcPr/>
          <w:p>
            <w:pPr>
              <w:pStyle w:val="Compact"/>
              <w:jc w:val="center"/>
            </w:pPr>
            <w:r>
              <w:t xml:space="preserve">5,1%</w:t>
            </w:r>
          </w:p>
        </w:tc>
        <w:tc>
          <w:tcPr/>
          <w:p>
            <w:pPr>
              <w:pStyle w:val="Compact"/>
              <w:jc w:val="center"/>
            </w:pPr>
            <w:r>
              <w:t xml:space="preserve">7,8%</w:t>
            </w:r>
          </w:p>
        </w:tc>
        <w:tc>
          <w:tcPr/>
          <w:p>
            <w:pPr>
              <w:pStyle w:val="Compact"/>
              <w:jc w:val="center"/>
            </w:pPr>
            <w:r>
              <w:t xml:space="preserve">4,2%</w:t>
            </w:r>
          </w:p>
        </w:tc>
        <w:tc>
          <w:tcPr/>
          <w:p>
            <w:pPr>
              <w:pStyle w:val="Compact"/>
              <w:jc w:val="right"/>
            </w:pPr>
            <w:r>
              <w:t xml:space="preserve">6,4%</w:t>
            </w:r>
          </w:p>
        </w:tc>
      </w:tr>
    </w:tbl>
    <w:p>
      <w:pPr>
        <w:pStyle w:val="BodyText"/>
      </w:pPr>
      <w:r>
        <w:t xml:space="preserve">Os registros de estoque também continham ruído. As contagens físicas trimestrais haviam encontrado discrepâncias variando de 1,3 a 3,8 por cento por armazém. Algumas unidades estavam danificadas, foram devolvidas sem classificação adequada, ou estavam reservadas para promoções de varejistas que depois foram canceladas. O grupo de operações queria instalar tecnologia adicional de escaneamento e visibilidade de embarques, mas o projeto de $1,2 milhão não afetaria de forma relevante a decisão de compra de agosto.</w:t>
      </w:r>
    </w:p>
    <w:bookmarkEnd w:id="10"/>
    <w:bookmarkStart w:id="11" w:name="escolhas-de-fornecimento"/>
    <w:p>
      <w:pPr>
        <w:pStyle w:val="Heading1"/>
      </w:pPr>
      <w:r>
        <w:t xml:space="preserve">Escolhas de fornecimento</w:t>
      </w:r>
    </w:p>
    <w:p>
      <w:pPr>
        <w:pStyle w:val="FirstParagraph"/>
      </w:pPr>
      <w:r>
        <w:t xml:space="preserve">Os fornecedores principais da Northstar ofereciam os menores custos unitários, mas exigiam grandes pedidos em quantidades de contêiner completo. Um fabricante alternativo no México poderia produzir dois produtos com prazo de entrega de quatro semanas, mas seus custos eram de 16 a 22 por cento mais altos e os rendimentos iniciais de qualidade eram incertos. Um fornecedor polonês oferecia um purificador premium com forte desempenho de qualidade, mas movimentos cambiais e interrupções no transporte europeu poderiam alterar o custo desembarcado.</w:t>
      </w:r>
    </w:p>
    <w:p>
      <w:pPr>
        <w:pStyle w:val="BodyText"/>
      </w:pPr>
      <w:r>
        <w:t xml:space="preserve">As escolhas de transporte acrescentavam outra camada. O serviço marítimo era o mais barato, mas congestionamento portuário, tempestades, falhas de equipamento, ações trabalhistas e inspeções alfandegárias podiam atrasar a chegada. O transporte ferroviário da costa oeste até o centro de distribuição central da Northstar era menos caro que o serviço de caminhão completo, mas mais lento e menos previsível. O frete aéreo podia resgatar uma situação de falta de estoque, embora acrescentasse de $34 a $57 por unidade e não estivesse disponível em capacidade suficiente para um pedido sazonal inteiro.</w:t>
      </w:r>
    </w:p>
    <w:tbl>
      <w:tblPr>
        <w:tblStyle w:val="Table"/>
        <w:tblW w:type="pct" w:w="4920"/>
        <w:tblLayout w:type="fixed"/>
        <w:tblLook w:firstRow="1" w:lastRow="0" w:firstColumn="0" w:lastColumn="0" w:noHBand="0" w:noVBand="0" w:val="0020"/>
      </w:tblPr>
      <w:tblGrid>
        <w:gridCol w:w="1964"/>
        <w:gridCol w:w="1584"/>
        <w:gridCol w:w="1584"/>
        <w:gridCol w:w="2661"/>
      </w:tblGrid>
      <w:tr>
        <w:trPr>
          <w:tblHeader w:val="on"/>
        </w:trPr>
        <w:tc>
          <w:tcPr/>
          <w:p>
            <w:pPr>
              <w:pStyle w:val="Compact"/>
              <w:jc w:val="left"/>
            </w:pPr>
            <w:r>
              <w:t xml:space="preserve">Opção</w:t>
            </w:r>
          </w:p>
        </w:tc>
        <w:tc>
          <w:tcPr/>
          <w:p>
            <w:pPr>
              <w:pStyle w:val="Compact"/>
              <w:jc w:val="left"/>
            </w:pPr>
            <w:r>
              <w:t xml:space="preserve">Custo incremental</w:t>
            </w:r>
          </w:p>
        </w:tc>
        <w:tc>
          <w:tcPr/>
          <w:p>
            <w:pPr>
              <w:pStyle w:val="Compact"/>
              <w:jc w:val="left"/>
            </w:pPr>
            <w:r>
              <w:t xml:space="preserve">Prazo típico</w:t>
            </w:r>
          </w:p>
        </w:tc>
        <w:tc>
          <w:tcPr/>
          <w:p>
            <w:pPr>
              <w:pStyle w:val="Compact"/>
              <w:jc w:val="center"/>
            </w:pPr>
            <w:r>
              <w:t xml:space="preserve">Principal preocupação</w:t>
            </w:r>
          </w:p>
        </w:tc>
      </w:tr>
      <w:tr>
        <w:tc>
          <w:tcPr/>
          <w:p>
            <w:pPr>
              <w:pStyle w:val="Compact"/>
              <w:jc w:val="left"/>
            </w:pPr>
            <w:r>
              <w:t xml:space="preserve">Fornecedor asiático principal</w:t>
            </w:r>
          </w:p>
        </w:tc>
        <w:tc>
          <w:tcPr/>
          <w:p>
            <w:pPr>
              <w:pStyle w:val="Compact"/>
              <w:jc w:val="left"/>
            </w:pPr>
            <w:r>
              <w:t xml:space="preserve">Referência</w:t>
            </w:r>
          </w:p>
        </w:tc>
        <w:tc>
          <w:tcPr/>
          <w:p>
            <w:pPr>
              <w:pStyle w:val="Compact"/>
              <w:jc w:val="left"/>
            </w:pPr>
            <w:r>
              <w:t xml:space="preserve">7–11 semanas</w:t>
            </w:r>
          </w:p>
        </w:tc>
        <w:tc>
          <w:tcPr/>
          <w:p>
            <w:pPr>
              <w:pStyle w:val="Compact"/>
              <w:jc w:val="center"/>
            </w:pPr>
            <w:r>
              <w:t xml:space="preserve">Compromisso longo e exposição a interrupções</w:t>
            </w:r>
          </w:p>
        </w:tc>
      </w:tr>
      <w:tr>
        <w:tc>
          <w:tcPr/>
          <w:p>
            <w:pPr>
              <w:pStyle w:val="Compact"/>
              <w:jc w:val="left"/>
            </w:pPr>
            <w:r>
              <w:t xml:space="preserve">Fornecedor de apoio mexicano</w:t>
            </w:r>
          </w:p>
        </w:tc>
        <w:tc>
          <w:tcPr/>
          <w:p>
            <w:pPr>
              <w:pStyle w:val="Compact"/>
              <w:jc w:val="left"/>
            </w:pPr>
            <w:r>
              <w:t xml:space="preserve">+16% a +22%</w:t>
            </w:r>
          </w:p>
        </w:tc>
        <w:tc>
          <w:tcPr/>
          <w:p>
            <w:pPr>
              <w:pStyle w:val="Compact"/>
              <w:jc w:val="left"/>
            </w:pPr>
            <w:r>
              <w:t xml:space="preserve">4–6 semanas</w:t>
            </w:r>
          </w:p>
        </w:tc>
        <w:tc>
          <w:tcPr/>
          <w:p>
            <w:pPr>
              <w:pStyle w:val="Compact"/>
              <w:jc w:val="center"/>
            </w:pPr>
            <w:r>
              <w:t xml:space="preserve">Rendimento de qualidade e capacidade limitada</w:t>
            </w:r>
          </w:p>
        </w:tc>
      </w:tr>
      <w:tr>
        <w:tc>
          <w:tcPr/>
          <w:p>
            <w:pPr>
              <w:pStyle w:val="Compact"/>
              <w:jc w:val="left"/>
            </w:pPr>
            <w:r>
              <w:t xml:space="preserve">Reserva de frete aéreo</w:t>
            </w:r>
          </w:p>
        </w:tc>
        <w:tc>
          <w:tcPr/>
          <w:p>
            <w:pPr>
              <w:pStyle w:val="Compact"/>
              <w:jc w:val="left"/>
            </w:pPr>
            <w:r>
              <w:t xml:space="preserve">+$34 a +$57/unidade</w:t>
            </w:r>
          </w:p>
        </w:tc>
        <w:tc>
          <w:tcPr/>
          <w:p>
            <w:pPr>
              <w:pStyle w:val="Compact"/>
              <w:jc w:val="left"/>
            </w:pPr>
            <w:r>
              <w:t xml:space="preserve">4–8 dias</w:t>
            </w:r>
          </w:p>
        </w:tc>
        <w:tc>
          <w:tcPr/>
          <w:p>
            <w:pPr>
              <w:pStyle w:val="Compact"/>
              <w:jc w:val="center"/>
            </w:pPr>
            <w:r>
              <w:t xml:space="preserve">Custo e capacidade limitada</w:t>
            </w:r>
          </w:p>
        </w:tc>
      </w:tr>
      <w:tr>
        <w:tc>
          <w:tcPr/>
          <w:p>
            <w:pPr>
              <w:pStyle w:val="Compact"/>
              <w:jc w:val="left"/>
            </w:pPr>
            <w:r>
              <w:t xml:space="preserve">Estoque tampão doméstico extra</w:t>
            </w:r>
          </w:p>
        </w:tc>
        <w:tc>
          <w:tcPr/>
          <w:p>
            <w:pPr>
              <w:pStyle w:val="Compact"/>
              <w:jc w:val="left"/>
            </w:pPr>
            <w:r>
              <w:t xml:space="preserve">$5,8M em capital de giro</w:t>
            </w:r>
          </w:p>
        </w:tc>
        <w:tc>
          <w:tcPr/>
          <w:p>
            <w:pPr>
              <w:pStyle w:val="Compact"/>
              <w:jc w:val="left"/>
            </w:pPr>
            <w:r>
              <w:t xml:space="preserve">Disponibilidade imediata</w:t>
            </w:r>
          </w:p>
        </w:tc>
        <w:tc>
          <w:tcPr/>
          <w:p>
            <w:pPr>
              <w:pStyle w:val="Compact"/>
              <w:jc w:val="center"/>
            </w:pPr>
            <w:r>
              <w:t xml:space="preserve">Obsolescência e espaço de armazém</w:t>
            </w:r>
          </w:p>
        </w:tc>
      </w:tr>
      <w:tr>
        <w:tc>
          <w:tcPr/>
          <w:p>
            <w:pPr>
              <w:pStyle w:val="Compact"/>
              <w:jc w:val="left"/>
            </w:pPr>
            <w:r>
              <w:t xml:space="preserve">Plataforma de visibilidade de e</w:t>
            </w:r>
          </w:p>
        </w:tc>
        <w:tc>
          <w:tcPr/>
          <w:p>
            <w:pPr>
              <w:pStyle w:val="Compact"/>
              <w:jc w:val="left"/>
            </w:pPr>
            <w:r>
              <w:t xml:space="preserve">mbarques $1,2M de implan</w:t>
            </w:r>
          </w:p>
        </w:tc>
        <w:tc>
          <w:tcPr/>
          <w:p>
            <w:pPr>
              <w:pStyle w:val="Compact"/>
              <w:jc w:val="left"/>
            </w:pPr>
            <w:r>
              <w:t xml:space="preserve">tação + taxas Implantação</w:t>
            </w:r>
          </w:p>
        </w:tc>
        <w:tc>
          <w:tcPr/>
          <w:p>
            <w:pPr>
              <w:pStyle w:val="Compact"/>
              <w:jc w:val="center"/>
            </w:pPr>
            <w:r>
              <w:t xml:space="preserve">de 6 meses Benefícios chegam após a decisão das festas</w:t>
            </w:r>
          </w:p>
        </w:tc>
      </w:tr>
    </w:tbl>
    <w:p>
      <w:pPr>
        <w:pStyle w:val="BodyText"/>
      </w:pPr>
      <w:r>
        <w:t xml:space="preserve">A área de compras propôs dividir os pedidos entre fornecedores. O chefe de qualidade alertou que adicionar fornecedores criaria trabalho de inspeção, componentes inconsistentes e uma maior probabilidade de devoluções. A área financeira argumentou que a diversificação só tinha valor se a fonte alternativa estivesse realmente disponível durante uma interrupção. A equipe comercial temia que custos mais altos forçassem aumentos de preço justamente quando os concorrentes estivessem se preparando para promoções de fim de ano.</w:t>
      </w:r>
    </w:p>
    <w:bookmarkEnd w:id="11"/>
    <w:bookmarkStart w:id="12" w:name="X0a2111324cd8203196a2cb978c24e92497a3cd4"/>
    <w:p>
      <w:pPr>
        <w:pStyle w:val="Heading1"/>
      </w:pPr>
      <w:r>
        <w:t xml:space="preserve">Gerenciando a demanda — ou prejudicando a marca</w:t>
      </w:r>
    </w:p>
    <w:p>
      <w:pPr>
        <w:pStyle w:val="FirstParagraph"/>
      </w:pPr>
      <w:r>
        <w:t xml:space="preserve">O diretor de marketing propôs usar preços e cronogramas de promoção para ajudar a equilibrar a disponibilidade de produtos. Se o estoque do purificador parecesse apertado, a Northstar poderia reduzir a publicidade, aumentar o preço on-line ou reservar unidades para os varejistas com os relacionamentos de longo prazo mais fortes. Se os ventiladores se acumulassem, poderia oferecer cupons, pacotes combinados ou campanhas pagas em mídias sociais. No entanto, cada ação tinha consequências. Preços mais altos poderiam proteger o estoque, mas reduzir a participação de mercado; descontos poderiam liquidar o estoque, mas ensinar os clientes a esperar por promoções.</w:t>
      </w:r>
    </w:p>
    <w:p>
      <w:pPr>
        <w:pStyle w:val="BodyText"/>
      </w:pPr>
      <w:r>
        <w:t xml:space="preserve">Os contratos de varejo complicavam a alocação. Duas redes nacionais esperavam pelo menos 95 por cento de entrega no prazo e completa, e podiam aplicar penalidades por faltas. O site da Northstar produzia margens mais altas e informações imediatas sobre a demanda, mas desviar estoque para vendas diretas poderia prejudicar os relacionamentos com varejistas. Os pequenos revendedores argumentavam que eram rotineiramente privados de produtos populares porque as grandes contas recebiam prioridade.</w:t>
      </w:r>
    </w:p>
    <w:tbl>
      <w:tblPr>
        <w:tblStyle w:val="Table"/>
        <w:tblW w:type="pct" w:w="4908"/>
        <w:tblLayout w:type="fixed"/>
        <w:tblLook w:firstRow="1" w:lastRow="0" w:firstColumn="0" w:lastColumn="0" w:noHBand="0" w:noVBand="0" w:val="0020"/>
      </w:tblPr>
      <w:tblGrid>
        <w:gridCol w:w="2906"/>
        <w:gridCol w:w="2107"/>
        <w:gridCol w:w="2761"/>
      </w:tblGrid>
      <w:tr>
        <w:trPr>
          <w:tblHeader w:val="on"/>
        </w:trPr>
        <w:tc>
          <w:tcPr/>
          <w:p>
            <w:pPr>
              <w:pStyle w:val="Compact"/>
              <w:jc w:val="left"/>
            </w:pPr>
            <w:r>
              <w:t xml:space="preserve">Ação potencial</w:t>
            </w:r>
          </w:p>
        </w:tc>
        <w:tc>
          <w:tcPr/>
          <w:p>
            <w:pPr>
              <w:pStyle w:val="Compact"/>
            </w:pPr>
            <w:r>
              <w:t xml:space="preserve">Efeito estimado de curto praz</w:t>
            </w:r>
          </w:p>
        </w:tc>
        <w:tc>
          <w:tcPr/>
          <w:p>
            <w:pPr>
              <w:pStyle w:val="Compact"/>
            </w:pPr>
            <w:r>
              <w:t xml:space="preserve">o Preocupação levantada pela gestão</w:t>
            </w:r>
          </w:p>
        </w:tc>
      </w:tr>
      <w:tr>
        <w:tc>
          <w:tcPr/>
          <w:p>
            <w:pPr>
              <w:pStyle w:val="Compact"/>
              <w:jc w:val="left"/>
            </w:pPr>
            <w:r>
              <w:t xml:space="preserve">Aumentar o preço do purificador em $20</w:t>
            </w:r>
          </w:p>
        </w:tc>
        <w:tc>
          <w:tcPr/>
          <w:p>
            <w:pPr>
              <w:pStyle w:val="Compact"/>
            </w:pPr>
            <w:r>
              <w:t xml:space="preserve">Demanda cai 7%–15%</w:t>
            </w:r>
          </w:p>
        </w:tc>
        <w:tc>
          <w:tcPr/>
          <w:p>
            <w:pPr>
              <w:pStyle w:val="Compact"/>
            </w:pPr>
            <w:r>
              <w:t xml:space="preserve">Concorrentes podem ganhar clientes</w:t>
            </w:r>
          </w:p>
        </w:tc>
      </w:tr>
      <w:tr>
        <w:tc>
          <w:tcPr/>
          <w:p>
            <w:pPr>
              <w:pStyle w:val="Compact"/>
              <w:jc w:val="left"/>
            </w:pPr>
            <w:r>
              <w:t xml:space="preserve">Oferecer promoção de 20% no ventilador</w:t>
            </w:r>
          </w:p>
        </w:tc>
        <w:tc>
          <w:tcPr/>
          <w:p>
            <w:pPr>
              <w:pStyle w:val="Compact"/>
            </w:pPr>
            <w:r>
              <w:t xml:space="preserve">Demanda sobe 18%–35%</w:t>
            </w:r>
          </w:p>
        </w:tc>
        <w:tc>
          <w:tcPr/>
          <w:p>
            <w:pPr>
              <w:pStyle w:val="Compact"/>
            </w:pPr>
            <w:r>
              <w:t xml:space="preserve">Perda de margem; preço de referência futuro</w:t>
            </w:r>
          </w:p>
        </w:tc>
      </w:tr>
      <w:tr>
        <w:tc>
          <w:tcPr/>
          <w:p>
            <w:pPr>
              <w:pStyle w:val="Compact"/>
              <w:jc w:val="left"/>
            </w:pPr>
            <w:r>
              <w:t xml:space="preserve">Reduzir a publicidade do purificador</w:t>
            </w:r>
          </w:p>
        </w:tc>
        <w:tc>
          <w:tcPr/>
          <w:p>
            <w:pPr>
              <w:pStyle w:val="Compact"/>
            </w:pPr>
            <w:r>
              <w:t xml:space="preserve">Demanda cai 5%–12%</w:t>
            </w:r>
          </w:p>
        </w:tc>
        <w:tc>
          <w:tcPr/>
          <w:p>
            <w:pPr>
              <w:pStyle w:val="Compact"/>
            </w:pPr>
            <w:r>
              <w:t xml:space="preserve">Perda de momentum da marca</w:t>
            </w:r>
          </w:p>
        </w:tc>
      </w:tr>
      <w:tr>
        <w:tc>
          <w:tcPr/>
          <w:p>
            <w:pPr>
              <w:pStyle w:val="Compact"/>
              <w:jc w:val="left"/>
            </w:pPr>
            <w:r>
              <w:t xml:space="preserve">Reservar estoque para grandes varejistas</w:t>
            </w:r>
          </w:p>
        </w:tc>
        <w:tc>
          <w:tcPr/>
          <w:p>
            <w:pPr>
              <w:pStyle w:val="Compact"/>
            </w:pPr>
            <w:r>
              <w:t xml:space="preserve">Menos penalidades contratua</w:t>
            </w:r>
          </w:p>
        </w:tc>
        <w:tc>
          <w:tcPr/>
          <w:p>
            <w:pPr>
              <w:pStyle w:val="Compact"/>
            </w:pPr>
            <w:r>
              <w:t xml:space="preserve">is Margem menor no canal direto</w:t>
            </w:r>
          </w:p>
        </w:tc>
      </w:tr>
      <w:tr>
        <w:tc>
          <w:tcPr/>
          <w:p>
            <w:pPr>
              <w:pStyle w:val="Compact"/>
              <w:jc w:val="left"/>
            </w:pPr>
            <w:r>
              <w:t xml:space="preserve">Atrasar parte do pedido do fornecedor</w:t>
            </w:r>
          </w:p>
        </w:tc>
        <w:tc>
          <w:tcPr/>
          <w:p>
            <w:pPr>
              <w:pStyle w:val="Compact"/>
            </w:pPr>
            <w:r>
              <w:t xml:space="preserve">Menos risco de excedente</w:t>
            </w:r>
          </w:p>
        </w:tc>
        <w:tc>
          <w:tcPr/>
          <w:p>
            <w:pPr>
              <w:pStyle w:val="Compact"/>
            </w:pPr>
            <w:r>
              <w:t xml:space="preserve">Vaga de produção pode ser perdida</w:t>
            </w:r>
          </w:p>
        </w:tc>
      </w:tr>
    </w:tbl>
    <w:bookmarkEnd w:id="12"/>
    <w:bookmarkStart w:id="13" w:name="X79e622f5d30bbdbc10d1d11ee3dee17e18f4045"/>
    <w:p>
      <w:pPr>
        <w:pStyle w:val="Heading1"/>
      </w:pPr>
      <w:r>
        <w:t xml:space="preserve">Caixa, capacidade e incentivos organizacionais</w:t>
      </w:r>
    </w:p>
    <w:p>
      <w:pPr>
        <w:pStyle w:val="FirstParagraph"/>
      </w:pPr>
      <w:r>
        <w:t xml:space="preserve">A Northstar financiava o estoque com uma linha de crédito rotativo precificada a uma taxa de juros flutuante. Manter estoque envolvia mais do que juros: armazenagem, manuseio, seguro, danos, furtos, devoluções e o risco de que um novo modelo tornasse as unidades antigas menos atraentes. O centro de distribuição principal da empresa estava projetado para atingir 96 por cento da capacidade utilizável em novembro sob o plano proposto. Havia espaço de transbordo disponível, mas a um custo de manuseio quase duas vezes maior que o normal.</w:t>
      </w:r>
    </w:p>
    <w:p>
      <w:pPr>
        <w:pStyle w:val="BodyText"/>
      </w:pPr>
      <w:r>
        <w:t xml:space="preserve">As medidas internas de desempenho não apontavam na mesma direção. Os gerentes de vendas eram recompensados por crescimento de receita e níveis de serviço. A área de compras era avaliada em parte pelo custo unitário. Esperava-se que a área de operações evitasse faltas de estoque enquanto controlava o estoque. A área financeira enfatizava conversão de caixa e margem operacional. O marketing era medido por tráfego, conversão e retornos de campanha. Cada grupo podia defender um plano de festas diferente usando seu próprio painel de indicadores.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t xml:space="preserve">Medida</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Meta para 2026</w:t>
            </w:r>
          </w:p>
        </w:tc>
      </w:tr>
      <w:tr>
        <w:tc>
          <w:tcPr/>
          <w:p>
            <w:pPr>
              <w:pStyle w:val="Compact"/>
              <w:jc w:val="left"/>
            </w:pPr>
            <w:r>
              <w:t xml:space="preserve">Receita</w:t>
            </w:r>
          </w:p>
        </w:tc>
        <w:tc>
          <w:tcPr/>
          <w:p>
            <w:pPr>
              <w:pStyle w:val="Compact"/>
              <w:jc w:val="left"/>
            </w:pPr>
            <w:r>
              <w:t xml:space="preserve">$286M</w:t>
            </w:r>
          </w:p>
        </w:tc>
        <w:tc>
          <w:tcPr/>
          <w:p>
            <w:pPr>
              <w:pStyle w:val="Compact"/>
              <w:jc w:val="left"/>
            </w:pPr>
            <w:r>
              <w:t xml:space="preserve">$337M</w:t>
            </w:r>
          </w:p>
        </w:tc>
        <w:tc>
          <w:tcPr/>
          <w:p>
            <w:pPr>
              <w:pStyle w:val="Compact"/>
              <w:jc w:val="left"/>
            </w:pPr>
            <w:r>
              <w:t xml:space="preserve">$392M</w:t>
            </w:r>
          </w:p>
        </w:tc>
      </w:tr>
      <w:tr>
        <w:tc>
          <w:tcPr/>
          <w:p>
            <w:pPr>
              <w:pStyle w:val="Compact"/>
              <w:jc w:val="left"/>
            </w:pPr>
            <w:r>
              <w:t xml:space="preserve">Estoque de fim de ano</w:t>
            </w:r>
          </w:p>
        </w:tc>
        <w:tc>
          <w:tcPr/>
          <w:p>
            <w:pPr>
              <w:pStyle w:val="Compact"/>
              <w:jc w:val="left"/>
            </w:pPr>
            <w:r>
              <w:t xml:space="preserve">$58M</w:t>
            </w:r>
          </w:p>
        </w:tc>
        <w:tc>
          <w:tcPr/>
          <w:p>
            <w:pPr>
              <w:pStyle w:val="Compact"/>
              <w:jc w:val="left"/>
            </w:pPr>
            <w:r>
              <w:t xml:space="preserve">$76M</w:t>
            </w:r>
          </w:p>
        </w:tc>
        <w:tc>
          <w:tcPr/>
          <w:p>
            <w:pPr>
              <w:pStyle w:val="Compact"/>
              <w:jc w:val="left"/>
            </w:pPr>
            <w:r>
              <w:t xml:space="preserve">≤ $82M</w:t>
            </w:r>
          </w:p>
        </w:tc>
      </w:tr>
      <w:tr>
        <w:tc>
          <w:tcPr/>
          <w:p>
            <w:pPr>
              <w:pStyle w:val="Compact"/>
              <w:jc w:val="left"/>
            </w:pPr>
            <w:r>
              <w:t xml:space="preserve">Giros de estoque</w:t>
            </w:r>
          </w:p>
        </w:tc>
        <w:tc>
          <w:tcPr/>
          <w:p>
            <w:pPr>
              <w:pStyle w:val="Compact"/>
              <w:jc w:val="left"/>
            </w:pPr>
            <w:r>
              <w:t xml:space="preserve">4,7</w:t>
            </w:r>
          </w:p>
        </w:tc>
        <w:tc>
          <w:tcPr/>
          <w:p>
            <w:pPr>
              <w:pStyle w:val="Compact"/>
              <w:jc w:val="left"/>
            </w:pPr>
            <w:r>
              <w:t xml:space="preserve">4,2</w:t>
            </w:r>
          </w:p>
        </w:tc>
        <w:tc>
          <w:tcPr/>
          <w:p>
            <w:pPr>
              <w:pStyle w:val="Compact"/>
              <w:jc w:val="left"/>
            </w:pPr>
            <w:r>
              <w:t xml:space="preserve">4,8</w:t>
            </w:r>
          </w:p>
        </w:tc>
      </w:tr>
      <w:tr>
        <w:tc>
          <w:tcPr/>
          <w:p>
            <w:pPr>
              <w:pStyle w:val="Compact"/>
              <w:jc w:val="left"/>
            </w:pPr>
            <w:r>
              <w:t xml:space="preserve">Serviço no prazo e completo</w:t>
            </w:r>
          </w:p>
        </w:tc>
        <w:tc>
          <w:tcPr/>
          <w:p>
            <w:pPr>
              <w:pStyle w:val="Compact"/>
              <w:jc w:val="left"/>
            </w:pPr>
            <w:r>
              <w:t xml:space="preserve">91,4%</w:t>
            </w:r>
          </w:p>
        </w:tc>
        <w:tc>
          <w:tcPr/>
          <w:p>
            <w:pPr>
              <w:pStyle w:val="Compact"/>
              <w:jc w:val="left"/>
            </w:pPr>
            <w:r>
              <w:t xml:space="preserve">89,7%</w:t>
            </w:r>
          </w:p>
        </w:tc>
        <w:tc>
          <w:tcPr/>
          <w:p>
            <w:pPr>
              <w:pStyle w:val="Compact"/>
              <w:jc w:val="left"/>
            </w:pPr>
            <w:r>
              <w:t xml:space="preserve">95,0%</w:t>
            </w:r>
          </w:p>
        </w:tc>
      </w:tr>
      <w:tr>
        <w:tc>
          <w:tcPr/>
          <w:p>
            <w:pPr>
              <w:pStyle w:val="Compact"/>
              <w:jc w:val="left"/>
            </w:pPr>
            <w:r>
              <w:t xml:space="preserve">Margem bruta</w:t>
            </w:r>
          </w:p>
        </w:tc>
        <w:tc>
          <w:tcPr/>
          <w:p>
            <w:pPr>
              <w:pStyle w:val="Compact"/>
              <w:jc w:val="left"/>
            </w:pPr>
            <w:r>
              <w:t xml:space="preserve">47,8%</w:t>
            </w:r>
          </w:p>
        </w:tc>
        <w:tc>
          <w:tcPr/>
          <w:p>
            <w:pPr>
              <w:pStyle w:val="Compact"/>
              <w:jc w:val="left"/>
            </w:pPr>
            <w:r>
              <w:t xml:space="preserve">45,9%</w:t>
            </w:r>
          </w:p>
        </w:tc>
        <w:tc>
          <w:tcPr/>
          <w:p>
            <w:pPr>
              <w:pStyle w:val="Compact"/>
              <w:jc w:val="left"/>
            </w:pPr>
            <w:r>
              <w:t xml:space="preserve">47,0%</w:t>
            </w:r>
          </w:p>
        </w:tc>
      </w:tr>
      <w:tr>
        <w:tc>
          <w:tcPr/>
          <w:p>
            <w:pPr>
              <w:pStyle w:val="Compact"/>
              <w:jc w:val="left"/>
            </w:pPr>
            <w:r>
              <w:t xml:space="preserve">Frete de emergência</w:t>
            </w:r>
          </w:p>
        </w:tc>
        <w:tc>
          <w:tcPr/>
          <w:p>
            <w:pPr>
              <w:pStyle w:val="Compact"/>
              <w:jc w:val="left"/>
            </w:pPr>
            <w:r>
              <w:t xml:space="preserve">$2,1M</w:t>
            </w:r>
          </w:p>
        </w:tc>
        <w:tc>
          <w:tcPr/>
          <w:p>
            <w:pPr>
              <w:pStyle w:val="Compact"/>
              <w:jc w:val="left"/>
            </w:pPr>
            <w:r>
              <w:t xml:space="preserve">$5,6M</w:t>
            </w:r>
          </w:p>
        </w:tc>
        <w:tc>
          <w:tcPr/>
          <w:p>
            <w:pPr>
              <w:pStyle w:val="Compact"/>
              <w:jc w:val="left"/>
            </w:pPr>
            <w:r>
              <w:t xml:space="preserve">≤ $3,0M</w:t>
            </w:r>
          </w:p>
        </w:tc>
      </w:tr>
    </w:tbl>
    <w:p>
      <w:pPr>
        <w:pStyle w:val="BodyText"/>
      </w:pPr>
      <w:r>
        <w:t xml:space="preserve">O conselho também havia pedido à gestão que considerasse eventos raros, mas consequentes. Um fechamento prolongado de fornecedor, um ataque cibernético a um provedor logístico, o fechamento de um porto, uma mudança tarifária repentina, um grande recall de produto ou uma variação acentuada nas taxas de câmbio poderiam sobrecarregar as premissas normais de planejamento. Alguns executivos queriam estoque de contingência explícito. Outros argumentavam que se preparar para toda interrupção tornaria a Northstar permanentemente não competitiva.</w:t>
      </w:r>
    </w:p>
    <w:bookmarkEnd w:id="13"/>
    <w:bookmarkStart w:id="14" w:name="a-reunião-de-agosto"/>
    <w:p>
      <w:pPr>
        <w:pStyle w:val="Heading1"/>
      </w:pPr>
      <w:r>
        <w:t xml:space="preserve">A reunião de agosto</w:t>
      </w:r>
    </w:p>
    <w:p>
      <w:pPr>
        <w:pStyle w:val="FirstParagraph"/>
      </w:pPr>
      <w:r>
        <w:t xml:space="preserve">Chen agendou uma reunião de quatro horas para 3 de agosto. O grupo precisava recomendar quantidades de compra, alocações de fornecedores, planos de transporte e uma reserva para embarques expressos. Também precisava decidir se preços e promoções deveriam ser comprometidos no mesmo momento ou ajustados posteriormente à medida que as informações chegassem.</w:t>
      </w:r>
    </w:p>
    <w:p>
      <w:pPr>
        <w:pStyle w:val="BodyText"/>
      </w:pPr>
      <w:r>
        <w:t xml:space="preserve">O diretor financeiro favorecia um compromisso inicial menor com autoridade para reencomendar do México. O chefe de vendas queria estoque suficiente para sustentar a previsão mais otimista dos varejistas. A área de operações propôs pedidos maiores de purificador e de unidade de indução, um pedido menor de ventilador e um orçamento protegido de frete aéreo. O marketing se opôs a reduzir o pedido de ventiladores porque uma parceria de mídia ainda não anunciada poderia aumentar substancialmente a demanda. A área de suprimentos alertou que esperar duas semanas poderia eliminar várias vagas de fábrica por completo.</w:t>
      </w:r>
    </w:p>
    <w:p>
      <w:pPr>
        <w:pStyle w:val="BodyText"/>
      </w:pPr>
      <w:r>
        <w:t xml:space="preserve">Chen não estava convencida de que a empresa pudesse identificar um único pedido</w:t>
      </w:r>
      <w:r>
        <w:t xml:space="preserve"> </w:t>
      </w:r>
      <w:r>
        <w:t xml:space="preserve">“correto”</w:t>
      </w:r>
      <w:r>
        <w:t xml:space="preserve">. Demanda, prazos de entrega, qualidade do produto, custos, ações dos concorrentes, cancelamentos de clientes e até mesmo os registros de estoque evoluiriam depois do compromisso. No entanto, a ausência de certeza não eliminava a necessidade de agir. Na noite de segunda-feira, os fornecedores esperavam os pedidos de compra.</w:t>
      </w:r>
    </w:p>
    <w:bookmarkEnd w:id="14"/>
    <w:bookmarkStart w:id="15" w:name="X1b885855e30cf26700ccd506048d7ea28448ca5"/>
    <w:p>
      <w:pPr>
        <w:pStyle w:val="Heading1"/>
      </w:pPr>
      <w:r>
        <w:t xml:space="preserve">Exhibit 1: Cenários das festas de fim de ano da gestão</w:t>
      </w:r>
    </w:p>
    <w:tbl>
      <w:tblPr>
        <w:tblStyle w:val="Table"/>
        <w:tblW w:type="pct" w:w="4923"/>
        <w:tblLayout w:type="fixed"/>
        <w:tblLook w:firstRow="1" w:lastRow="0" w:firstColumn="0" w:lastColumn="0" w:noHBand="0" w:noVBand="0" w:val="0020"/>
      </w:tblPr>
      <w:tblGrid>
        <w:gridCol w:w="974"/>
        <w:gridCol w:w="1523"/>
        <w:gridCol w:w="1644"/>
        <w:gridCol w:w="1340"/>
        <w:gridCol w:w="2315"/>
      </w:tblGrid>
      <w:tr>
        <w:trPr>
          <w:tblHeader w:val="on"/>
        </w:trPr>
        <w:tc>
          <w:tcPr/>
          <w:p>
            <w:pPr>
              <w:pStyle w:val="Compact"/>
              <w:jc w:val="left"/>
            </w:pPr>
            <w:r>
              <w:t xml:space="preserve">Cenário</w:t>
            </w:r>
          </w:p>
        </w:tc>
        <w:tc>
          <w:tcPr/>
          <w:p>
            <w:pPr>
              <w:pStyle w:val="Compact"/>
              <w:jc w:val="right"/>
            </w:pPr>
            <w:r>
              <w:t xml:space="preserve">Demanda versus previsão</w:t>
            </w:r>
          </w:p>
        </w:tc>
        <w:tc>
          <w:tcPr/>
          <w:p>
            <w:pPr>
              <w:pStyle w:val="Compact"/>
              <w:jc w:val="right"/>
            </w:pPr>
            <w:r>
              <w:t xml:space="preserve">Variação média no prazo d</w:t>
            </w:r>
          </w:p>
        </w:tc>
        <w:tc>
          <w:tcPr/>
          <w:p>
            <w:pPr>
              <w:pStyle w:val="Compact"/>
            </w:pPr>
            <w:r>
              <w:t xml:space="preserve">e entrega Precificaç</w:t>
            </w:r>
          </w:p>
        </w:tc>
        <w:tc>
          <w:tcPr/>
          <w:p>
            <w:pPr>
              <w:pStyle w:val="Compact"/>
            </w:pPr>
            <w:r>
              <w:t xml:space="preserve">ão competitiva Resultado operacional aproximado</w:t>
            </w:r>
          </w:p>
        </w:tc>
      </w:tr>
      <w:tr>
        <w:tc>
          <w:tcPr/>
          <w:p>
            <w:pPr>
              <w:pStyle w:val="Compact"/>
              <w:jc w:val="left"/>
            </w:pPr>
            <w:r>
              <w:t xml:space="preserve">Mercado fraco</w:t>
            </w:r>
          </w:p>
        </w:tc>
        <w:tc>
          <w:tcPr/>
          <w:p>
            <w:pPr>
              <w:pStyle w:val="Compact"/>
              <w:jc w:val="right"/>
            </w:pPr>
            <w:r>
              <w:t xml:space="preserve">−15%</w:t>
            </w:r>
          </w:p>
        </w:tc>
        <w:tc>
          <w:tcPr/>
          <w:p>
            <w:pPr>
              <w:pStyle w:val="Compact"/>
              <w:jc w:val="right"/>
            </w:pPr>
            <w:r>
              <w:t xml:space="preserve">Sem alteração</w:t>
            </w:r>
          </w:p>
        </w:tc>
        <w:tc>
          <w:tcPr/>
          <w:p>
            <w:pPr>
              <w:pStyle w:val="Compact"/>
            </w:pPr>
            <w:r>
              <w:t xml:space="preserve">Descontos pesados</w:t>
            </w:r>
          </w:p>
        </w:tc>
        <w:tc>
          <w:tcPr/>
          <w:p>
            <w:pPr>
              <w:pStyle w:val="Compact"/>
            </w:pPr>
            <w:r>
              <w:t xml:space="preserve">$9M abaixo do plano</w:t>
            </w:r>
          </w:p>
        </w:tc>
      </w:tr>
      <w:tr>
        <w:tc>
          <w:tcPr/>
          <w:p>
            <w:pPr>
              <w:pStyle w:val="Compact"/>
              <w:jc w:val="left"/>
            </w:pPr>
            <w:r>
              <w:t xml:space="preserve">Cenário base</w:t>
            </w:r>
          </w:p>
        </w:tc>
        <w:tc>
          <w:tcPr/>
          <w:p>
            <w:pPr>
              <w:pStyle w:val="Compact"/>
              <w:jc w:val="right"/>
            </w:pPr>
            <w:r>
              <w:t xml:space="preserve">Previsão</w:t>
            </w:r>
          </w:p>
        </w:tc>
        <w:tc>
          <w:tcPr/>
          <w:p>
            <w:pPr>
              <w:pStyle w:val="Compact"/>
              <w:jc w:val="right"/>
            </w:pPr>
            <w:r>
              <w:t xml:space="preserve">+1 semana</w:t>
            </w:r>
          </w:p>
        </w:tc>
        <w:tc>
          <w:tcPr/>
          <w:p>
            <w:pPr>
              <w:pStyle w:val="Compact"/>
            </w:pPr>
            <w:r>
              <w:t xml:space="preserve">Promoções normais</w:t>
            </w:r>
          </w:p>
        </w:tc>
        <w:tc>
          <w:tcPr/>
          <w:p>
            <w:pPr>
              <w:pStyle w:val="Compact"/>
            </w:pPr>
            <w:r>
              <w:t xml:space="preserve">Próximo do plano</w:t>
            </w:r>
          </w:p>
        </w:tc>
      </w:tr>
      <w:tr>
        <w:tc>
          <w:tcPr/>
          <w:p>
            <w:pPr>
              <w:pStyle w:val="Compact"/>
              <w:jc w:val="left"/>
            </w:pPr>
            <w:r>
              <w:t xml:space="preserve">Temporada forte</w:t>
            </w:r>
          </w:p>
        </w:tc>
        <w:tc>
          <w:tcPr/>
          <w:p>
            <w:pPr>
              <w:pStyle w:val="Compact"/>
              <w:jc w:val="right"/>
            </w:pPr>
            <w:r>
              <w:t xml:space="preserve">+18%</w:t>
            </w:r>
          </w:p>
        </w:tc>
        <w:tc>
          <w:tcPr/>
          <w:p>
            <w:pPr>
              <w:pStyle w:val="Compact"/>
              <w:jc w:val="right"/>
            </w:pPr>
            <w:r>
              <w:t xml:space="preserve">+2 semanas</w:t>
            </w:r>
          </w:p>
        </w:tc>
        <w:tc>
          <w:tcPr/>
          <w:p>
            <w:pPr>
              <w:pStyle w:val="Compact"/>
            </w:pPr>
            <w:r>
              <w:t xml:space="preserve">Preços estáveis</w:t>
            </w:r>
          </w:p>
        </w:tc>
        <w:tc>
          <w:tcPr/>
          <w:p>
            <w:pPr>
              <w:pStyle w:val="Compact"/>
            </w:pPr>
            <w:r>
              <w:t xml:space="preserve">$13M acima do plano, se abastecido</w:t>
            </w:r>
          </w:p>
        </w:tc>
      </w:tr>
      <w:tr>
        <w:tc>
          <w:tcPr/>
          <w:p>
            <w:pPr>
              <w:pStyle w:val="Compact"/>
              <w:jc w:val="left"/>
            </w:pPr>
            <w:r>
              <w:t xml:space="preserve">Interrupção</w:t>
            </w:r>
          </w:p>
        </w:tc>
        <w:tc>
          <w:tcPr/>
          <w:p>
            <w:pPr>
              <w:pStyle w:val="Compact"/>
              <w:jc w:val="right"/>
            </w:pPr>
            <w:r>
              <w:t xml:space="preserve">−3% no geral</w:t>
            </w:r>
          </w:p>
        </w:tc>
        <w:tc>
          <w:tcPr/>
          <w:p>
            <w:pPr>
              <w:pStyle w:val="Compact"/>
              <w:jc w:val="right"/>
            </w:pPr>
            <w:r>
              <w:t xml:space="preserve">+5 semanas no fornecimento</w:t>
            </w:r>
          </w:p>
        </w:tc>
        <w:tc>
          <w:tcPr/>
          <w:p>
            <w:pPr>
              <w:pStyle w:val="Compact"/>
            </w:pPr>
            <w:r>
              <w:t xml:space="preserve">asiático Misto</w:t>
            </w:r>
          </w:p>
        </w:tc>
        <w:tc>
          <w:tcPr/>
          <w:p>
            <w:pPr>
              <w:pStyle w:val="Compact"/>
            </w:pPr>
            <w:r>
              <w:t xml:space="preserve">$17M abaixo do plano sem mitigação</w:t>
            </w:r>
          </w:p>
        </w:tc>
      </w:tr>
    </w:tbl>
    <w:bookmarkEnd w:id="15"/>
    <w:bookmarkStart w:id="16" w:name="questões-de-discussão"/>
    <w:p>
      <w:pPr>
        <w:pStyle w:val="Heading1"/>
      </w:pPr>
      <w:r>
        <w:t xml:space="preserve">Questões de discussão</w:t>
      </w:r>
    </w:p>
    <w:p>
      <w:pPr>
        <w:numPr>
          <w:ilvl w:val="0"/>
          <w:numId w:val="1001"/>
        </w:numPr>
      </w:pPr>
      <w:r>
        <w:t xml:space="preserve">Qual é o problema central que a Northstar Living enfrenta no início de agosto?</w:t>
      </w:r>
    </w:p>
    <w:p>
      <w:pPr>
        <w:numPr>
          <w:ilvl w:val="0"/>
          <w:numId w:val="1001"/>
        </w:numPr>
      </w:pPr>
      <w:r>
        <w:t xml:space="preserve">Quais fatos do caso merecem maior atenção antes de os pedidos de compra serem liberados?</w:t>
      </w:r>
    </w:p>
    <w:p>
      <w:pPr>
        <w:numPr>
          <w:ilvl w:val="0"/>
          <w:numId w:val="1001"/>
        </w:numPr>
      </w:pPr>
      <w:r>
        <w:t xml:space="preserve">Como a Northstar deveria equilibrar o custo do excesso de estoque contra as consequências de faltas graves de estoque?</w:t>
      </w:r>
    </w:p>
    <w:p>
      <w:pPr>
        <w:numPr>
          <w:ilvl w:val="0"/>
          <w:numId w:val="1001"/>
        </w:numPr>
      </w:pPr>
      <w:r>
        <w:t xml:space="preserve">A empresa deveria diversificar fornecedores apesar dos custos mais altos e da qualidade incerta?</w:t>
      </w:r>
    </w:p>
    <w:p>
      <w:pPr>
        <w:numPr>
          <w:ilvl w:val="0"/>
          <w:numId w:val="1001"/>
        </w:numPr>
      </w:pPr>
      <w:r>
        <w:t xml:space="preserve">Como os modos de transporte e a capacidade de frete de emergência deveriam ser incorporados ao plano?</w:t>
      </w:r>
    </w:p>
    <w:p>
      <w:pPr>
        <w:numPr>
          <w:ilvl w:val="0"/>
          <w:numId w:val="1001"/>
        </w:numPr>
      </w:pPr>
      <w:r>
        <w:t xml:space="preserve">Quando a Northstar deveria usar precificação, promoções e publicidade para influenciar a demanda?</w:t>
      </w:r>
    </w:p>
    <w:p>
      <w:pPr>
        <w:numPr>
          <w:ilvl w:val="0"/>
          <w:numId w:val="1001"/>
        </w:numPr>
      </w:pPr>
      <w:r>
        <w:t xml:space="preserve">Como o estoque escasso deveria ser alocado entre grandes varejistas, pequenos revendedores e o canal direto?</w:t>
      </w:r>
    </w:p>
    <w:p>
      <w:pPr>
        <w:numPr>
          <w:ilvl w:val="0"/>
          <w:numId w:val="1001"/>
        </w:numPr>
      </w:pPr>
      <w:r>
        <w:t xml:space="preserve">Quais investigações ou investimentos em informação seriam mais valiosos para o planejamento futuro?</w:t>
      </w:r>
    </w:p>
    <w:p>
      <w:pPr>
        <w:numPr>
          <w:ilvl w:val="0"/>
          <w:numId w:val="1001"/>
        </w:numPr>
      </w:pPr>
      <w:r>
        <w:t xml:space="preserve">Como a empresa deveria se preparar para interrupções de baixa frequência sem manter estoque excessivo?</w:t>
      </w:r>
    </w:p>
    <w:p>
      <w:pPr>
        <w:numPr>
          <w:ilvl w:val="0"/>
          <w:numId w:val="1001"/>
        </w:numPr>
      </w:pPr>
      <w:r>
        <w:t xml:space="preserve">O que Chen deveria recomendar na reunião de 3 de agosto, e quais condições deveriam desencadear revisões posteriores?</w:t>
      </w:r>
    </w:p>
    <w:bookmarkEnd w:id="16"/>
    <w:bookmarkStart w:id="22"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17">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por fim, um alvo (roxo).</w:t>
      </w:r>
    </w:p>
    <w:p>
      <w:pPr>
        <w:numPr>
          <w:ilvl w:val="0"/>
          <w:numId w:val="1002"/>
        </w:numPr>
      </w:pPr>
      <w:r>
        <w:t xml:space="preserve">Use a</w:t>
      </w:r>
      <w:r>
        <w:t xml:space="preserve"> </w:t>
      </w:r>
      <w:hyperlink r:id="rId18">
        <w:r>
          <w:rPr>
            <w:rStyle w:val="Hyperlink"/>
          </w:rPr>
          <w:t xml:space="preserve">ferramenta de priorização de decisões</w:t>
        </w:r>
      </w:hyperlink>
      <w:r>
        <w:t xml:space="preserve"> </w:t>
      </w:r>
      <w:r>
        <w:t xml:space="preserve">para primeiro listar os diferentes tipos de decisões (use os</w:t>
      </w:r>
      <w:r>
        <w:t xml:space="preserve"> </w:t>
      </w:r>
      <w:hyperlink r:id="rId19">
        <w:r>
          <w:rPr>
            <w:rStyle w:val="Hyperlink"/>
          </w:rPr>
          <w:t xml:space="preserve">tipos de decisão</w:t>
        </w:r>
      </w:hyperlink>
      <w:r>
        <w:t xml:space="preserve"> </w:t>
      </w:r>
      <w:r>
        <w:t xml:space="preserve">como guia). Estes preencherão então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de modo que as decisões com maior impacto nas métricas mais importantes fiquem em direção ao topo. As células no canto superior esquerdo devem ter a maior concentração de células vermelhas e laranjas. Nesse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0">
        <w:r>
          <w:rPr>
            <w:rStyle w:val="Hyperlink"/>
          </w:rPr>
          <w:t xml:space="preserve">ferramenta de priorização de incertezas</w:t>
        </w:r>
      </w:hyperlink>
      <w:r>
        <w:t xml:space="preserve">. Use as</w:t>
      </w:r>
      <w:r>
        <w:t xml:space="preserve"> </w:t>
      </w:r>
      <w:hyperlink r:id="rId21">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Qual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2"/>
    <w:bookmarkStart w:id="23" w:name="nota-sobre-os-dados"/>
    <w:p>
      <w:pPr>
        <w:pStyle w:val="Heading1"/>
      </w:pPr>
      <w:r>
        <w:t xml:space="preserve">Nota sobre os dados</w:t>
      </w:r>
    </w:p>
    <w:p>
      <w:pPr>
        <w:pStyle w:val="FirstParagraph"/>
      </w:pPr>
      <w:r>
        <w:t xml:space="preserve">A Northstar Living, seus executivos, fornecedores, produtos e dados operacionais são fictícios. O contexto de mercado é baseado em dados públicos dos EUA. O U.S. Census Bureau relatou estoques totais de fabricantes e do comércio de aproximadamente $2,736 trilhões e uma razão de estoque em relação às vendas de 1,28 em maio de 2026. Os dados de varejo do Census relataram aproximadamente $30,736 bilhões em estoques, $19,508 bilhões em vendas mensais, e uma razão de estoque em relação às vendas de 1,58 para lojas de móveis, artigos para o lar, eletrônicos e eletrodomésticos em maio de 2026. O cenário de negócios e as tensões de planejamento se baseiam na discussão sobre planejamento de estoque em Warren B. Powell, Bridging Decision Problems, Volume I, Capítulo 2.</w:t>
      </w:r>
    </w:p>
    <w:p>
      <w:pPr>
        <w:pStyle w:val="BodyText"/>
      </w:pPr>
      <w:r>
        <w:t xml:space="preserve">Fontes: U.S. Census Bureau, Manufacturing and Trade Inventories and Sales, maio de 2026; dados do U.S. Census Bureau Monthly Retail Trade, maio de 2026; Warren B. Powell,</w:t>
      </w:r>
      <w:r>
        <w:t xml:space="preserve"> </w:t>
      </w:r>
      <w:r>
        <w:t xml:space="preserve">“Inventory Planning,”</w:t>
      </w:r>
      <w:r>
        <w:t xml:space="preserve"> </w:t>
      </w:r>
      <w:r>
        <w:t xml:space="preserve">Bridging Decision Problems, Volume I, Capítulo 2. Acessado em 30 de julho de 2026.</w:t>
      </w:r>
    </w:p>
    <w:bookmarkEnd w:id="23"/>
    <w:bookmarkStart w:id="26" w:name="notas-do-chatgpt"/>
    <w:p>
      <w:pPr>
        <w:pStyle w:val="Heading1"/>
      </w:pPr>
      <w:r>
        <w:t xml:space="preserve">Notas do ChatGPT</w:t>
      </w:r>
    </w:p>
    <w:bookmarkStart w:id="24" w:name="prompt"/>
    <w:p>
      <w:pPr>
        <w:pStyle w:val="Heading2"/>
      </w:pPr>
      <w:r>
        <w:t xml:space="preserve">Prompt:</w:t>
      </w:r>
    </w:p>
    <w:p>
      <w:pPr>
        <w:pStyle w:val="FirstParagraph"/>
      </w:pPr>
      <w:r>
        <w:t xml:space="preserve">Escreva um estudo de caso de 3 a 5 páginas baseado no material da seção sobre planejamento de estoque em https://warrenpowell.org/bridging-vol1/chapter-2/#inventoryplanning. Crie um contexto baseado nas métricas, decisões e incertezas da seção, mas sem chamar atenção explicitamente para elas. Motive seu problema de negócio com dados.</w:t>
      </w:r>
    </w:p>
    <w:bookmarkEnd w:id="24"/>
    <w:bookmarkStart w:id="25" w:name="resumo"/>
    <w:p>
      <w:pPr>
        <w:pStyle w:val="Heading2"/>
      </w:pPr>
      <w:r>
        <w:t xml:space="preserve">Resumo</w:t>
      </w:r>
    </w:p>
    <w:p>
      <w:pPr>
        <w:pStyle w:val="FirstParagraph"/>
      </w:pPr>
      <w:r>
        <w:t xml:space="preserve">O caso traduz o material de planejamento de estoque para uma empresa fictícia de eletrodomésticos compactos que se prepara para a temporada de festas de fim de ano. Ele incorpora:</w:t>
      </w:r>
    </w:p>
    <w:p>
      <w:pPr>
        <w:numPr>
          <w:ilvl w:val="0"/>
          <w:numId w:val="1005"/>
        </w:numPr>
      </w:pPr>
      <w:r>
        <w:t xml:space="preserve">Longos prazos de reabastecimento internacional</w:t>
      </w:r>
    </w:p>
    <w:p>
      <w:pPr>
        <w:numPr>
          <w:ilvl w:val="0"/>
          <w:numId w:val="1005"/>
        </w:numPr>
      </w:pPr>
      <w:r>
        <w:t xml:space="preserve">Demanda incerta de produtos e erros de previsão</w:t>
      </w:r>
    </w:p>
    <w:p>
      <w:pPr>
        <w:numPr>
          <w:ilvl w:val="0"/>
          <w:numId w:val="1005"/>
        </w:numPr>
      </w:pPr>
      <w:r>
        <w:t xml:space="preserve">Consequências de faltas de estoque e liquidações por excesso de estoque</w:t>
      </w:r>
    </w:p>
    <w:p>
      <w:pPr>
        <w:numPr>
          <w:ilvl w:val="0"/>
          <w:numId w:val="1005"/>
        </w:numPr>
      </w:pPr>
      <w:r>
        <w:t xml:space="preserve">Seleção e diversificação de fornecedores</w:t>
      </w:r>
    </w:p>
    <w:p>
      <w:pPr>
        <w:numPr>
          <w:ilvl w:val="0"/>
          <w:numId w:val="1005"/>
        </w:numPr>
      </w:pPr>
      <w:r>
        <w:t xml:space="preserve">Escolhas de transporte marítimo, ferroviário, rodoviário e frete aéreo de emergência</w:t>
      </w:r>
    </w:p>
    <w:p>
      <w:pPr>
        <w:numPr>
          <w:ilvl w:val="0"/>
          <w:numId w:val="1005"/>
        </w:numPr>
      </w:pPr>
      <w:r>
        <w:t xml:space="preserve">Precificação, publicidade, promoções e alocação de canais</w:t>
      </w:r>
    </w:p>
    <w:p>
      <w:pPr>
        <w:numPr>
          <w:ilvl w:val="0"/>
          <w:numId w:val="1005"/>
        </w:numPr>
      </w:pPr>
      <w:r>
        <w:t xml:space="preserve">Discrepâncias nos registros de estoque e visibilidade de embarques</w:t>
      </w:r>
    </w:p>
    <w:p>
      <w:pPr>
        <w:numPr>
          <w:ilvl w:val="0"/>
          <w:numId w:val="1005"/>
        </w:numPr>
      </w:pPr>
      <w:r>
        <w:t xml:space="preserve">Restrições de capital de giro e capacidade de armazém</w:t>
      </w:r>
    </w:p>
    <w:p>
      <w:pPr>
        <w:numPr>
          <w:ilvl w:val="0"/>
          <w:numId w:val="1005"/>
        </w:numPr>
      </w:pPr>
      <w:r>
        <w:t xml:space="preserve">Interrupções raras, incluindo fechamentos de portos, mudanças tarifárias, ataques cibernéticos e paralisações de fornecedores</w:t>
      </w:r>
    </w:p>
    <w:p>
      <w:pPr>
        <w:numPr>
          <w:ilvl w:val="0"/>
          <w:numId w:val="1005"/>
        </w:numPr>
      </w:pPr>
      <w:r>
        <w:t xml:space="preserve">Exhibits quantitativos e questões de discussão em aberto</w:t>
      </w:r>
    </w:p>
    <w:p>
      <w:pPr>
        <w:pStyle w:val="FirstParagraph"/>
      </w:pPr>
      <w:r>
        <w:t xml:space="preserve">O caso é motivado por dados do Census de maio de 2026 mostrando aproximadamente</w:t>
      </w:r>
      <w:r>
        <w:t xml:space="preserve"> </w:t>
      </w:r>
      <w:r>
        <w:rPr>
          <w:b/>
          <w:bCs/>
        </w:rPr>
        <w:t xml:space="preserve">$2,74 trilhões</w:t>
      </w:r>
      <w:r>
        <w:t xml:space="preserve"> </w:t>
      </w:r>
      <w:r>
        <w:t xml:space="preserve">em estoques totais de negócios nos EUA e uma</w:t>
      </w:r>
      <w:r>
        <w:t xml:space="preserve"> </w:t>
      </w:r>
      <w:r>
        <w:rPr>
          <w:b/>
          <w:bCs/>
        </w:rPr>
        <w:t xml:space="preserve">razão de estoque em relação às vendas de 1,58</w:t>
      </w:r>
      <w:r>
        <w:t xml:space="preserve"> </w:t>
      </w:r>
      <w:r>
        <w:t xml:space="preserve">para varejistas de móveis, artigos para o lar, eletrônicos e eletrodomésticos.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8" Target="https://warrenpowell.org/decision-framing-tool/#decision-prioritization-tool" TargetMode="External" /><Relationship Type="http://schemas.openxmlformats.org/officeDocument/2006/relationships/hyperlink" Id="rId17" Target="https://warrenpowell.org/decision-framing-tool/#metrics-pyramid-tool" TargetMode="External" /><Relationship Type="http://schemas.openxmlformats.org/officeDocument/2006/relationships/hyperlink" Id="rId20" Target="https://warrenpowell.org/decision-framing-tool/#uncertainty-prioritization-tool" TargetMode="External" /><Relationship Type="http://schemas.openxmlformats.org/officeDocument/2006/relationships/hyperlink" Id="rId19" Target="https://warrenpowell.org/decisionsdecisions/#types-of-decision-settings" TargetMode="External" /><Relationship Type="http://schemas.openxmlformats.org/officeDocument/2006/relationships/hyperlink" Id="rId21"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2026-09-11T16:50:05Z</dcterms:created>
  <dcterms:modified xsi:type="dcterms:W3CDTF">2026-09-11T16:50:05Z</dcterms:modified>
</cp:coreProperties>
</file>

<file path=docProps/custom.xml><?xml version="1.0" encoding="utf-8"?>
<Properties xmlns="http://schemas.openxmlformats.org/officeDocument/2006/custom-properties" xmlns:vt="http://schemas.openxmlformats.org/officeDocument/2006/docPropsVTypes"/>
</file>