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 Agulha do Financiamento de Redwood</w:t>
      </w:r>
    </w:p>
    <w:p>
      <w:pPr>
        <w:pStyle w:val="BodyText"/>
      </w:pPr>
      <w:r>
        <w:t xml:space="preserve">Uma agência estadual de combate ao vício em substâncias equilibra naloxona, tratamento, recuperação – e receita restrita</w:t>
      </w:r>
    </w:p>
    <w:p>
      <w:pPr>
        <w:pStyle w:val="BodyText"/>
      </w:pPr>
      <w:r>
        <w:t xml:space="preserve">Este caso é fictício. Estatísticas públicas e descrições de programas federais são extraídas das fontes listadas ao final.</w:t>
      </w:r>
    </w:p>
    <w:p>
      <w:pPr>
        <w:pStyle w:val="BodyText"/>
      </w:pPr>
      <w:r>
        <w:rPr>
          <w:b/>
          <w:bCs/>
        </w:rPr>
        <w:t xml:space="preserve">7 de outubro de 2026 — 6h20</w:t>
      </w:r>
      <w:r>
        <w:t xml:space="preserve"> </w:t>
      </w:r>
      <w:r>
        <w:t xml:space="preserve">A Dra. Elena Marquez, comissária do Departamento de Serviços de Recuperação de Redwood (RDRS), tinha três planilhas abertas em sua mesa de cozinha. Uma mostrava uma contagem decrescente de mortes por overdose em todo o estado. Uma segunda mostrava uma lacuna de financiamento projetada de $18,6 milhões. A terceira listava 126 posições que não poderiam ser mantidas além de junho, a menos que o legislativo, o governo federal ou doadores privados agissem.</w:t>
      </w:r>
    </w:p>
    <w:p>
      <w:pPr>
        <w:pStyle w:val="BodyText"/>
      </w:pPr>
      <w:r>
        <w:rPr>
          <w:b/>
          <w:bCs/>
        </w:rPr>
        <w:t xml:space="preserve">A aparente melhora na mortalidade complicava, em vez de simplificar, o problema.</w:t>
      </w:r>
      <w:r>
        <w:t xml:space="preserve"> </w:t>
      </w:r>
      <w:r>
        <w:t xml:space="preserve">Em nível nacional, as mortes por overdose haviam declinado acentuadamente em relação ao pico da era pandêmica, mas dezenas de milhares de pessoas ainda morriam a cada ano. A estimativa preliminar do CDC para os 12 meses encerrados em dezembro de 2025 era de cerca de 69.973 mortes, 13,9% abaixo do ano anterior. Os dados finais de 2024 mostraram 54.045 mortes envolvendo opioides, incluindo 47.735 envolvendo opioides sintéticos diferentes da metadona. Enquanto isso, a SAMHSA estimou que 4,8 milhões de americanos com 12 anos ou mais tinham transtorno por uso de opioides em 2024, mas apenas 17% receberam medicamentos para transtorno por uso de opioides.</w:t>
      </w:r>
    </w:p>
    <w:p>
      <w:pPr>
        <w:pStyle w:val="BodyText"/>
      </w:pPr>
      <w:r>
        <w:t xml:space="preserve">O governador de Redwood queria evidências de que os investimentos emergenciais poderiam agora ser reduzidos. Autoridades municipais queriam mais naloxona. Prestadores de tratamento queriam reembolsos mais altos. Organizações de recuperação queriam apoio para moradia e emprego. As subvenções federais continuavam substanciais, mas cada uma chegava com suas próprias populações elegíveis, atividades exigidas, regras de relatório e medidas de desempenho. Os doadores locais eram flexíveis, mas pequenos — e cada vez mais interessados em projetos visíveis de curto prazo em vez de equipe permanente.</w:t>
      </w:r>
    </w:p>
    <w:p>
      <w:pPr>
        <w:pStyle w:val="BodyText"/>
      </w:pPr>
      <w:r>
        <w:t xml:space="preserve">Às 9h00, Marquez presidiria um retiro orçamentário. A questão não era simplesmente como arrecadar dinheiro. Era como construir um portfólio de financiamento que mantivesse intacta uma força de trabalho estadual enquanto servia populações cujas necessidades não se encaixavam perfeitamente nas restrições vinculadas aos dólares disponíveis.</w:t>
      </w:r>
    </w:p>
    <w:bookmarkStart w:id="9" w:name="o-sistema-redwood"/>
    <w:p>
      <w:pPr>
        <w:pStyle w:val="Heading1"/>
      </w:pPr>
      <w:r>
        <w:t xml:space="preserve">O Sistema Redwood</w:t>
      </w:r>
    </w:p>
    <w:p>
      <w:pPr>
        <w:pStyle w:val="FirstParagraph"/>
      </w:pPr>
      <w:r>
        <w:t xml:space="preserve">Redwood era um estado fictício de 6,8 milhões de habitantes, com duas grandes áreas metropolitanas, um corredor industrial em declínio, condados agrícolas, terras tribais e comunidades montanhosas remotas. O RDRS havia sido criado cinco anos antes ao combinar o escritório estadual de prevenção de overdose, a autoridade de tratamento de vício e a unidade de serviços de recuperação. A consolidação prometia um</w:t>
      </w:r>
      <w:r>
        <w:t xml:space="preserve"> </w:t>
      </w:r>
      <w:r>
        <w:t xml:space="preserve">“continuum de cuidados único”</w:t>
      </w:r>
      <w:r>
        <w:t xml:space="preserve">, mas seu financiamento permanecia fragmentado.</w:t>
      </w:r>
    </w:p>
    <w:p>
      <w:pPr>
        <w:pStyle w:val="BodyText"/>
      </w:pPr>
      <w:r>
        <w:t xml:space="preserve">O RDRS não operava hospitais. Empregava clínicos, farmacêuticos, epidemiologistas, especialistas em recuperação por pares, gerentes de subvenções, pessoal de aquisições e coordenadores regionais. Contratava provedores comunitários e agências municipais, ao mesmo tempo em que gerenciava diretamente o armazém estadual de naloxona, a vigilância de overdoses, a linha de acesso a tratamento, equipes clínicas móveis e o programa de navegação em recuperação.</w:t>
      </w:r>
    </w:p>
    <w:p>
      <w:pPr>
        <w:pStyle w:val="BodyText"/>
      </w:pPr>
      <w:r>
        <w:t xml:space="preserve">O pessoal era o custo dominante da agência. A equipe fazia mais do que prestar serviços: treinava parceiros locais, mantinha ordens permanentes, monitorava subbeneficiários, coletava dados federais, investigava agrupamentos de casos, negociava capacidade com provedores e ajudava as pessoas a passar do atendimento de emergência para o tratamento, moradia, benefícios e emprego. Muitas posições eram sustentadas por subvenções que as tratavam como despesas temporárias de projeto, mesmo que o trabalho tivesse se tornado uma responsabilidade operacional permanente.</w:t>
      </w:r>
    </w:p>
    <w:p>
      <w:pPr>
        <w:pStyle w:val="BodyText"/>
      </w:pPr>
      <w:r>
        <w:t xml:space="preserve">Exhibit 1. Perfil operacional do RDRS, ano fiscal de 2026</w:t>
      </w:r>
    </w:p>
    <w:tbl>
      <w:tblPr>
        <w:tblStyle w:val="Table"/>
        <w:tblW w:type="pct" w:w="4930"/>
        <w:tblLayout w:type="fixed"/>
        <w:tblLook w:firstRow="1" w:lastRow="0" w:firstColumn="0" w:lastColumn="0" w:noHBand="0" w:noVBand="0" w:val="0020"/>
      </w:tblPr>
      <w:tblGrid>
        <w:gridCol w:w="2270"/>
        <w:gridCol w:w="664"/>
        <w:gridCol w:w="996"/>
        <w:gridCol w:w="3876"/>
      </w:tblGrid>
      <w:tr>
        <w:trPr>
          <w:tblHeader w:val="on"/>
        </w:trPr>
        <w:tc>
          <w:tcPr/>
          <w:p>
            <w:pPr>
              <w:pStyle w:val="Compact"/>
              <w:jc w:val="left"/>
            </w:pPr>
            <w:r>
              <w:t xml:space="preserve">Área do programa</w:t>
            </w:r>
          </w:p>
        </w:tc>
        <w:tc>
          <w:tcPr/>
          <w:p>
            <w:pPr>
              <w:pStyle w:val="Compact"/>
            </w:pPr>
            <w:r>
              <w:t xml:space="preserve">Funcionários</w:t>
            </w:r>
          </w:p>
        </w:tc>
        <w:tc>
          <w:tcPr/>
          <w:p>
            <w:pPr>
              <w:pStyle w:val="Compact"/>
              <w:jc w:val="center"/>
            </w:pPr>
            <w:r>
              <w:t xml:space="preserve">Custo anual</w:t>
            </w:r>
          </w:p>
        </w:tc>
        <w:tc>
          <w:tcPr/>
          <w:p>
            <w:pPr>
              <w:pStyle w:val="Compact"/>
              <w:jc w:val="center"/>
            </w:pPr>
            <w:r>
              <w:t xml:space="preserve">Produto selecionado do ano fiscal de 2026</w:t>
            </w:r>
          </w:p>
        </w:tc>
      </w:tr>
      <w:tr>
        <w:tc>
          <w:tcPr/>
          <w:p>
            <w:pPr>
              <w:pStyle w:val="Compact"/>
              <w:jc w:val="left"/>
            </w:pPr>
            <w:r>
              <w:t xml:space="preserve">Naloxona e redução de danos</w:t>
            </w:r>
          </w:p>
        </w:tc>
        <w:tc>
          <w:tcPr/>
          <w:p>
            <w:pPr>
              <w:pStyle w:val="Compact"/>
            </w:pPr>
            <w:r>
              <w:t xml:space="preserve">94</w:t>
            </w:r>
          </w:p>
        </w:tc>
        <w:tc>
          <w:tcPr/>
          <w:p>
            <w:pPr>
              <w:pStyle w:val="Compact"/>
              <w:jc w:val="center"/>
            </w:pPr>
            <w:r>
              <w:t xml:space="preserve">$18,9 milhões</w:t>
            </w:r>
          </w:p>
        </w:tc>
        <w:tc>
          <w:tcPr/>
          <w:p>
            <w:pPr>
              <w:pStyle w:val="Compact"/>
              <w:jc w:val="center"/>
            </w:pPr>
            <w:r>
              <w:t xml:space="preserve">428.000 kits de duas doses distribuídos; 31.400 pessoas treinadas</w:t>
            </w:r>
          </w:p>
        </w:tc>
      </w:tr>
      <w:tr>
        <w:tc>
          <w:tcPr/>
          <w:p>
            <w:pPr>
              <w:pStyle w:val="Compact"/>
              <w:jc w:val="left"/>
            </w:pPr>
            <w:r>
              <w:t xml:space="preserve">Acesso a tratamento e serviços clínicos</w:t>
            </w:r>
          </w:p>
        </w:tc>
        <w:tc>
          <w:tcPr/>
          <w:p>
            <w:pPr>
              <w:pStyle w:val="Compact"/>
            </w:pPr>
            <w:r>
              <w:t xml:space="preserve">171</w:t>
            </w:r>
          </w:p>
        </w:tc>
        <w:tc>
          <w:tcPr/>
          <w:p>
            <w:pPr>
              <w:pStyle w:val="Compact"/>
              <w:jc w:val="center"/>
            </w:pPr>
            <w:r>
              <w:t xml:space="preserve">$43,7 milhões</w:t>
            </w:r>
          </w:p>
        </w:tc>
        <w:tc>
          <w:tcPr/>
          <w:p>
            <w:pPr>
              <w:pStyle w:val="Compact"/>
              <w:jc w:val="center"/>
            </w:pPr>
            <w:r>
              <w:t xml:space="preserve">21.800 iniciações de tratamento; 7.600 iniciações de MOUD</w:t>
            </w:r>
          </w:p>
        </w:tc>
      </w:tr>
      <w:tr>
        <w:tc>
          <w:tcPr/>
          <w:p>
            <w:pPr>
              <w:pStyle w:val="Compact"/>
              <w:jc w:val="left"/>
            </w:pPr>
            <w:r>
              <w:t xml:space="preserve">Recuperação e estabilização</w:t>
            </w:r>
          </w:p>
        </w:tc>
        <w:tc>
          <w:tcPr/>
          <w:p>
            <w:pPr>
              <w:pStyle w:val="Compact"/>
            </w:pPr>
            <w:r>
              <w:t xml:space="preserve">116</w:t>
            </w:r>
          </w:p>
        </w:tc>
        <w:tc>
          <w:tcPr/>
          <w:p>
            <w:pPr>
              <w:pStyle w:val="Compact"/>
              <w:jc w:val="center"/>
            </w:pPr>
            <w:r>
              <w:t xml:space="preserve">$25,4 milhões</w:t>
            </w:r>
          </w:p>
        </w:tc>
        <w:tc>
          <w:tcPr/>
          <w:p>
            <w:pPr>
              <w:pStyle w:val="Compact"/>
              <w:jc w:val="center"/>
            </w:pPr>
            <w:r>
              <w:t xml:space="preserve">12.900 clientes recebendo navegação, moradia ou apoio ao emprego</w:t>
            </w:r>
          </w:p>
        </w:tc>
      </w:tr>
      <w:tr>
        <w:tc>
          <w:tcPr/>
          <w:p>
            <w:pPr>
              <w:pStyle w:val="Compact"/>
              <w:jc w:val="left"/>
            </w:pPr>
            <w:r>
              <w:t xml:space="preserve">Vigilância, avaliação e subvenções</w:t>
            </w:r>
          </w:p>
        </w:tc>
        <w:tc>
          <w:tcPr/>
          <w:p>
            <w:pPr>
              <w:pStyle w:val="Compact"/>
            </w:pPr>
            <w:r>
              <w:t xml:space="preserve">73</w:t>
            </w:r>
          </w:p>
        </w:tc>
        <w:tc>
          <w:tcPr/>
          <w:p>
            <w:pPr>
              <w:pStyle w:val="Compact"/>
              <w:jc w:val="center"/>
            </w:pPr>
            <w:r>
              <w:t xml:space="preserve">$16,8 milhões</w:t>
            </w:r>
          </w:p>
        </w:tc>
        <w:tc>
          <w:tcPr/>
          <w:p>
            <w:pPr>
              <w:pStyle w:val="Compact"/>
              <w:jc w:val="center"/>
            </w:pPr>
            <w:r>
              <w:t xml:space="preserve">62 subvenções monitoradas; painel semanal de overdoses</w:t>
            </w:r>
          </w:p>
        </w:tc>
      </w:tr>
      <w:tr>
        <w:tc>
          <w:tcPr/>
          <w:p>
            <w:pPr>
              <w:pStyle w:val="Compact"/>
              <w:jc w:val="left"/>
            </w:pPr>
            <w:r>
              <w:t xml:space="preserve">Administração e serviços compartilhados</w:t>
            </w:r>
          </w:p>
        </w:tc>
        <w:tc>
          <w:tcPr/>
          <w:p>
            <w:pPr>
              <w:pStyle w:val="Compact"/>
            </w:pPr>
            <w:r>
              <w:t xml:space="preserve">52</w:t>
            </w:r>
          </w:p>
        </w:tc>
        <w:tc>
          <w:tcPr/>
          <w:p>
            <w:pPr>
              <w:pStyle w:val="Compact"/>
              <w:jc w:val="center"/>
            </w:pPr>
            <w:r>
              <w:t xml:space="preserve">$13,2 milhões</w:t>
            </w:r>
          </w:p>
        </w:tc>
        <w:tc>
          <w:tcPr/>
          <w:p>
            <w:pPr>
              <w:pStyle w:val="Compact"/>
              <w:jc w:val="center"/>
            </w:pPr>
            <w:r>
              <w:t xml:space="preserve">Aquisições, finanças, TI, jurídico, RH</w:t>
            </w:r>
          </w:p>
        </w:tc>
      </w:tr>
      <w:tr>
        <w:tc>
          <w:tcPr/>
          <w:p>
            <w:pPr>
              <w:pStyle w:val="Compact"/>
              <w:jc w:val="left"/>
            </w:pPr>
            <w:r>
              <w:t xml:space="preserve">Total</w:t>
            </w:r>
          </w:p>
        </w:tc>
        <w:tc>
          <w:tcPr/>
          <w:p>
            <w:pPr>
              <w:pStyle w:val="Compact"/>
            </w:pPr>
            <w:r>
              <w:t xml:space="preserve">506</w:t>
            </w:r>
          </w:p>
        </w:tc>
        <w:tc>
          <w:tcPr/>
          <w:p>
            <w:pPr>
              <w:pStyle w:val="Compact"/>
              <w:jc w:val="center"/>
            </w:pPr>
            <w:r>
              <w:t xml:space="preserve">$118,0 milhões</w:t>
            </w:r>
          </w:p>
        </w:tc>
        <w:tc>
          <w:tcPr/>
          <w:p>
            <w:pPr>
              <w:pStyle w:val="Compact"/>
              <w:jc w:val="center"/>
            </w:pPr>
            <w:r>
              <w:t xml:space="preserve">Operações em todo o estado</w:t>
            </w:r>
          </w:p>
        </w:tc>
      </w:tr>
    </w:tbl>
    <w:p>
      <w:pPr>
        <w:pStyle w:val="BodyText"/>
      </w:pPr>
      <w:r>
        <w:t xml:space="preserve">Observação: Todos os dados de Redwood são fictícios.</w:t>
      </w:r>
      <w:r>
        <w:t xml:space="preserve"> </w:t>
      </w:r>
      <w:r>
        <w:t xml:space="preserve">“Custo anual”</w:t>
      </w:r>
      <w:r>
        <w:t xml:space="preserve"> </w:t>
      </w:r>
      <w:r>
        <w:t xml:space="preserve">inclui pessoal, benefícios, contratos, suprimentos e despesas gerais alocadas.</w:t>
      </w:r>
    </w:p>
    <w:bookmarkEnd w:id="9"/>
    <w:bookmarkStart w:id="10" w:name="um-ano-melhor-ou-uma-melhora-frágil"/>
    <w:p>
      <w:pPr>
        <w:pStyle w:val="Heading1"/>
      </w:pPr>
      <w:r>
        <w:t xml:space="preserve">Um Ano Melhor — Ou uma Melhora Frágil?</w:t>
      </w:r>
    </w:p>
    <w:p>
      <w:pPr>
        <w:pStyle w:val="FirstParagraph"/>
      </w:pPr>
      <w:r>
        <w:t xml:space="preserve">As mortes provisórias por overdose em Redwood haviam declinado de 2.180 em 2023 para 1.640 em 2025. As visitas ao pronto-socorro por overdose também haviam diminuído, mas de forma menos dramática. Os totais estaduais ocultavam diferenças persistentes: as mortes urbanas estavam caindo mais rapidamente do que as mortes rurais; as mortes entre adultos com mais de 45 anos estavam declinando lentamente; e as overdoses envolvendo estimulantes estavam se tornando uma parcela maior da carga de casos. Vários condados relataram que a naloxona estava sendo usada mais de uma vez durante um único evento.</w:t>
      </w:r>
    </w:p>
    <w:p>
      <w:pPr>
        <w:pStyle w:val="BodyText"/>
      </w:pPr>
      <w:r>
        <w:t xml:space="preserve">Os epidemiologistas de Marquez alertaram contra tratar o declínio como prova de que a crise havia passado. Análises nacionais atribuíam as melhorias recentes a múltiplos fatores, incluindo distribuição mais ampla de naloxona, melhor acesso a tratamento, mudanças no suprimento ilegal de drogas, restauração das atividades de prevenção após a pandemia e investimento público contínuo. Se o financiamento fosse reduzido porque os resultados melhoraram, o estado poderia desmantelar parte da capacidade que havia contribuído para esses resultados.</w:t>
      </w:r>
    </w:p>
    <w:bookmarkEnd w:id="10"/>
    <w:bookmarkStart w:id="11" w:name="a-arquitetura-da-receita"/>
    <w:p>
      <w:pPr>
        <w:pStyle w:val="Heading1"/>
      </w:pPr>
      <w:r>
        <w:t xml:space="preserve">A Arquitetura da Receita</w:t>
      </w:r>
    </w:p>
    <w:p>
      <w:pPr>
        <w:pStyle w:val="FirstParagraph"/>
      </w:pPr>
      <w:r>
        <w:t xml:space="preserve">O orçamento do RDRS parecia diversificado à distância. Na prática, grande parte dele era restrita. O programa federal State Opioid Response (SOR) sustentava atividades de prevenção, redução de danos, tratamento e serviços de recuperação, mas o financiamento de continuidade dependia de apropriações do Congresso, progresso em direção a objetivos, relatórios pontuais e conformidade com as condições da subvenção. O aviso do SOR para o ano fiscal de 2024 previa $1,4805 bilhão em nível nacional para até 59 concessões; a HHS posteriormente anunciou mais de $1,5 bilhão em concessões de continuidade do ano fiscal de 2025 para resposta estadual e tribal a opioides. A aparente estabilidade não eliminava a incerteza anual em nível estadual.</w:t>
      </w:r>
    </w:p>
    <w:p>
      <w:pPr>
        <w:pStyle w:val="BodyText"/>
      </w:pPr>
      <w:r>
        <w:t xml:space="preserve">Outros fundos federais focavam em vigilância, populações de subvenção em bloco, indivíduos envolvidos no sistema de justiça, gestantes e pais/mães, prevenção juvenil, ou práticas específicas baseadas em evidências. As apropriações estaduais eram mais flexíveis, mas expostas ao ciclo orçamentário anual. Os recursos de acordos judiciais sobre opioides podiam sustentar a remediação, mas eram regidos por acordos legais e supervisão política. O Medicaid reembolsava atendimentos clínicos, mas geralmente não pagava por divulgação ampla, naloxona colocada em locais públicos, conformidade com subvenções ou navegação para emprego. Doadores privados frequentemente preferiam iniciativas nomeadas com resultados mensuráveis e visíveis.</w:t>
      </w:r>
    </w:p>
    <w:p>
      <w:pPr>
        <w:pStyle w:val="BodyText"/>
      </w:pPr>
      <w:r>
        <w:t xml:space="preserve">Exhibit 2. Financiamento projetado por fonte para o ano fiscal de 2027</w:t>
      </w:r>
    </w:p>
    <w:tbl>
      <w:tblPr>
        <w:tblStyle w:val="Table"/>
        <w:tblW w:type="pct" w:w="4939"/>
        <w:tblLayout w:type="fixed"/>
        <w:tblLook w:firstRow="1" w:lastRow="0" w:firstColumn="0" w:lastColumn="0" w:noHBand="0" w:noVBand="0" w:val="0020"/>
      </w:tblPr>
      <w:tblGrid>
        <w:gridCol w:w="1488"/>
        <w:gridCol w:w="528"/>
        <w:gridCol w:w="1104"/>
        <w:gridCol w:w="4704"/>
      </w:tblGrid>
      <w:tr>
        <w:trPr>
          <w:tblHeader w:val="on"/>
        </w:trPr>
        <w:tc>
          <w:tcPr/>
          <w:p>
            <w:pPr>
              <w:pStyle w:val="Compact"/>
              <w:jc w:val="left"/>
            </w:pPr>
            <w:r>
              <w:t xml:space="preserve">Fonte</w:t>
            </w:r>
          </w:p>
        </w:tc>
        <w:tc>
          <w:tcPr/>
          <w:p>
            <w:pPr>
              <w:pStyle w:val="Compact"/>
            </w:pPr>
            <w:r>
              <w:t xml:space="preserve">Ano fiscal</w:t>
            </w:r>
          </w:p>
        </w:tc>
        <w:tc>
          <w:tcPr/>
          <w:p>
            <w:pPr>
              <w:pStyle w:val="Compact"/>
            </w:pPr>
            <w:r>
              <w:t xml:space="preserve">2026 Cenário de pla</w:t>
            </w:r>
          </w:p>
        </w:tc>
        <w:tc>
          <w:tcPr/>
          <w:p>
            <w:pPr>
              <w:pStyle w:val="Compact"/>
              <w:jc w:val="left"/>
            </w:pPr>
            <w:r>
              <w:t xml:space="preserve">nejamento do ano fiscal 2027 Principais restrições ou incertezas</w:t>
            </w:r>
          </w:p>
        </w:tc>
      </w:tr>
      <w:tr>
        <w:tc>
          <w:tcPr/>
          <w:p>
            <w:pPr>
              <w:pStyle w:val="Compact"/>
              <w:jc w:val="left"/>
            </w:pPr>
            <w:r>
              <w:t xml:space="preserve">Subvenção federal SOR</w:t>
            </w:r>
          </w:p>
        </w:tc>
        <w:tc>
          <w:tcPr/>
          <w:p>
            <w:pPr>
              <w:pStyle w:val="Compact"/>
            </w:pPr>
            <w:r>
              <w:t xml:space="preserve">$38,4M</w:t>
            </w:r>
          </w:p>
        </w:tc>
        <w:tc>
          <w:tcPr/>
          <w:p>
            <w:pPr>
              <w:pStyle w:val="Compact"/>
            </w:pPr>
            <w:r>
              <w:t xml:space="preserve">$31,0M–$39,2M</w:t>
            </w:r>
          </w:p>
        </w:tc>
        <w:tc>
          <w:tcPr/>
          <w:p>
            <w:pPr>
              <w:pStyle w:val="Compact"/>
              <w:jc w:val="left"/>
            </w:pPr>
            <w:r>
              <w:t xml:space="preserve">Continuidade anual; objetivos relacionados a opioides/estimulantes; relatórios detalhados; requisitos de subbeneficiários</w:t>
            </w:r>
          </w:p>
        </w:tc>
      </w:tr>
      <w:tr>
        <w:tc>
          <w:tcPr/>
          <w:p>
            <w:pPr>
              <w:pStyle w:val="Compact"/>
              <w:jc w:val="left"/>
            </w:pPr>
            <w:r>
              <w:t xml:space="preserve">Outras subvenções federais</w:t>
            </w:r>
          </w:p>
        </w:tc>
        <w:tc>
          <w:tcPr/>
          <w:p>
            <w:pPr>
              <w:pStyle w:val="Compact"/>
            </w:pPr>
            <w:r>
              <w:t xml:space="preserve">$19,</w:t>
            </w:r>
          </w:p>
        </w:tc>
        <w:tc>
          <w:tcPr/>
          <w:p>
            <w:pPr>
              <w:pStyle w:val="Compact"/>
            </w:pPr>
            <w:r>
              <w:t xml:space="preserve">6M $15,1M–$20,4M</w:t>
            </w:r>
          </w:p>
        </w:tc>
        <w:tc>
          <w:tcPr/>
          <w:p>
            <w:pPr>
              <w:pStyle w:val="Compact"/>
              <w:jc w:val="left"/>
            </w:pPr>
            <w:r>
              <w:t xml:space="preserve">Populações ou atividades restritas; diferentes períodos de subvenção e regras de custo indireto</w:t>
            </w:r>
          </w:p>
        </w:tc>
      </w:tr>
      <w:tr>
        <w:tc>
          <w:tcPr/>
          <w:p>
            <w:pPr>
              <w:pStyle w:val="Compact"/>
              <w:jc w:val="left"/>
            </w:pPr>
            <w:r>
              <w:t xml:space="preserve">Fundo geral estadual $2</w:t>
            </w:r>
          </w:p>
        </w:tc>
        <w:tc>
          <w:tcPr/>
          <w:p>
            <w:pPr>
              <w:pStyle w:val="Compact"/>
            </w:pPr>
            <w:r>
              <w:t xml:space="preserve">5,0M $2</w:t>
            </w:r>
          </w:p>
        </w:tc>
        <w:tc>
          <w:tcPr/>
          <w:p>
            <w:pPr>
              <w:pStyle w:val="Compact"/>
            </w:pPr>
            <w:r>
              <w:t xml:space="preserve">1,0M–$30,0M Apr</w:t>
            </w:r>
          </w:p>
        </w:tc>
        <w:tc>
          <w:tcPr/>
          <w:p>
            <w:pPr>
              <w:pStyle w:val="Compact"/>
              <w:jc w:val="left"/>
            </w:pPr>
            <w:r>
              <w:t xml:space="preserve">opriação anual; prioridades orçamentárias concorrentes</w:t>
            </w:r>
          </w:p>
        </w:tc>
      </w:tr>
      <w:tr>
        <w:tc>
          <w:tcPr/>
          <w:p>
            <w:pPr>
              <w:pStyle w:val="Compact"/>
              <w:jc w:val="left"/>
            </w:pPr>
            <w:r>
              <w:t xml:space="preserve">Alocação de acordo sobre opioid</w:t>
            </w:r>
          </w:p>
        </w:tc>
        <w:tc>
          <w:tcPr/>
          <w:p>
            <w:pPr>
              <w:pStyle w:val="Compact"/>
            </w:pPr>
            <w:r>
              <w:t xml:space="preserve">es $14,5</w:t>
            </w:r>
          </w:p>
        </w:tc>
        <w:tc>
          <w:tcPr/>
          <w:p>
            <w:pPr>
              <w:pStyle w:val="Compact"/>
            </w:pPr>
            <w:r>
              <w:t xml:space="preserve">M $11,0M–$16,0M</w:t>
            </w:r>
          </w:p>
        </w:tc>
        <w:tc>
          <w:tcPr/>
          <w:p>
            <w:pPr>
              <w:pStyle w:val="Compact"/>
              <w:jc w:val="left"/>
            </w:pPr>
            <w:r>
              <w:t xml:space="preserve">Deve se qualificar como remediação de opioides; supervisão pública e legal</w:t>
            </w:r>
          </w:p>
        </w:tc>
      </w:tr>
      <w:tr>
        <w:tc>
          <w:tcPr/>
          <w:p>
            <w:pPr>
              <w:pStyle w:val="Compact"/>
              <w:jc w:val="left"/>
            </w:pPr>
            <w:r>
              <w:t xml:space="preserve">Medicaid e receita de serviços</w:t>
            </w:r>
          </w:p>
        </w:tc>
        <w:tc>
          <w:tcPr/>
          <w:p>
            <w:pPr>
              <w:pStyle w:val="Compact"/>
            </w:pPr>
            <w:r>
              <w:t xml:space="preserve">$13,1M</w:t>
            </w:r>
          </w:p>
        </w:tc>
        <w:tc>
          <w:tcPr/>
          <w:p>
            <w:pPr>
              <w:pStyle w:val="Compact"/>
            </w:pPr>
            <w:r>
              <w:t xml:space="preserve">$13,8M–$16,5M</w:t>
            </w:r>
          </w:p>
        </w:tc>
        <w:tc>
          <w:tcPr/>
          <w:p>
            <w:pPr>
              <w:pStyle w:val="Compact"/>
              <w:jc w:val="left"/>
            </w:pPr>
            <w:r>
              <w:t xml:space="preserve">Depende de atendimentos faturáveis, inscrição, taxas e capacidade dos provedores</w:t>
            </w:r>
          </w:p>
        </w:tc>
      </w:tr>
      <w:tr>
        <w:tc>
          <w:tcPr/>
          <w:p>
            <w:pPr>
              <w:pStyle w:val="Compact"/>
              <w:jc w:val="left"/>
            </w:pPr>
            <w:r>
              <w:t xml:space="preserve">Fundações e doadores locais</w:t>
            </w:r>
            <w:r>
              <w:br/>
            </w:r>
          </w:p>
        </w:tc>
        <w:tc>
          <w:tcPr/>
          <w:p>
            <w:pPr>
              <w:pStyle w:val="Compact"/>
            </w:pPr>
            <w:r>
              <w:t xml:space="preserve">$4,6M</w:t>
            </w:r>
            <w:r>
              <w:br/>
            </w:r>
          </w:p>
        </w:tc>
        <w:tc>
          <w:tcPr/>
          <w:p>
            <w:pPr>
              <w:pStyle w:val="Compact"/>
            </w:pPr>
            <w:r>
              <w:t xml:space="preserve">$3,0M–$8,0M C</w:t>
            </w:r>
          </w:p>
        </w:tc>
        <w:tc>
          <w:tcPr/>
          <w:p>
            <w:pPr>
              <w:pStyle w:val="Compact"/>
              <w:jc w:val="left"/>
            </w:pPr>
            <w:r>
              <w:t xml:space="preserve">oncessões pequenas; preferências dos doadores; apetite limitado para folha de pagamento permanente</w:t>
            </w:r>
          </w:p>
        </w:tc>
      </w:tr>
      <w:tr>
        <w:tc>
          <w:tcPr/>
          <w:p>
            <w:pPr>
              <w:pStyle w:val="Compact"/>
              <w:jc w:val="left"/>
            </w:pPr>
            <w:r>
              <w:t xml:space="preserve">Outros</w:t>
            </w:r>
          </w:p>
        </w:tc>
        <w:tc>
          <w:tcPr/>
          <w:p>
            <w:pPr>
              <w:pStyle w:val="Compact"/>
            </w:pPr>
            <w:r>
              <w:t xml:space="preserve">$2,8M</w:t>
            </w:r>
          </w:p>
        </w:tc>
        <w:tc>
          <w:tcPr/>
          <w:p>
            <w:pPr>
              <w:pStyle w:val="Compact"/>
            </w:pPr>
            <w:r>
              <w:t xml:space="preserve">$2,5M–$3,0M</w:t>
            </w:r>
          </w:p>
        </w:tc>
        <w:tc>
          <w:tcPr/>
          <w:p>
            <w:pPr>
              <w:pStyle w:val="Compact"/>
              <w:jc w:val="left"/>
            </w:pPr>
            <w:r>
              <w:t xml:space="preserve">Taxas, treinamento, acordos interagências</w:t>
            </w:r>
          </w:p>
        </w:tc>
      </w:tr>
      <w:tr>
        <w:tc>
          <w:tcPr/>
          <w:p>
            <w:pPr>
              <w:pStyle w:val="Compact"/>
              <w:jc w:val="left"/>
            </w:pPr>
            <w:r>
              <w:t xml:space="preserve">Total</w:t>
            </w:r>
          </w:p>
        </w:tc>
        <w:tc>
          <w:tcPr/>
          <w:p>
            <w:pPr>
              <w:pStyle w:val="Compact"/>
            </w:pPr>
            <w:r>
              <w:t xml:space="preserve">$118,0M</w:t>
            </w:r>
          </w:p>
        </w:tc>
        <w:tc>
          <w:tcPr/>
          <w:p>
            <w:pPr>
              <w:pStyle w:val="Compact"/>
            </w:pPr>
            <w:r>
              <w:t xml:space="preserve">$97,4M–$133,1M</w:t>
            </w:r>
          </w:p>
        </w:tc>
        <w:tc>
          <w:tcPr/>
          <w:p>
            <w:pPr>
              <w:pStyle w:val="Compact"/>
              <w:jc w:val="left"/>
            </w:pPr>
            <w:r>
              <w:t xml:space="preserve">Faixa ampla; timing e restrições importam tanto quanto o total</w:t>
            </w:r>
          </w:p>
        </w:tc>
      </w:tr>
    </w:tbl>
    <w:p>
      <w:pPr>
        <w:pStyle w:val="BodyText"/>
      </w:pPr>
      <w:r>
        <w:t xml:space="preserve">O GAO havia relatado recentemente que os beneficiários da resposta federal a opioides enfrentavam encargos decorrentes de requisitos de relatório em mudança, atrasos no financiamento, processos estaduais de aquisição e janelas de implementação encurtadas. Um novo requisito estatutário exigia informações sobre os</w:t>
      </w:r>
      <w:r>
        <w:t xml:space="preserve"> </w:t>
      </w:r>
      <w:r>
        <w:t xml:space="preserve">“beneficiários finais”</w:t>
      </w:r>
      <w:r>
        <w:t xml:space="preserve"> </w:t>
      </w:r>
      <w:r>
        <w:t xml:space="preserve">dos fundos de resposta a opioides. A diretora de subvenções do RDRS estimou que a conformidade e o monitoramento de subbeneficiários consumiam o equivalente a 29 posições de tempo integral — posições que os doadores raramente queriam financiar.</w:t>
      </w:r>
    </w:p>
    <w:bookmarkEnd w:id="11"/>
    <w:bookmarkStart w:id="12" w:name="quem-deveria-ser-atendido"/>
    <w:p>
      <w:pPr>
        <w:pStyle w:val="Heading1"/>
      </w:pPr>
      <w:r>
        <w:t xml:space="preserve">Quem Deveria Ser Atendido?</w:t>
      </w:r>
    </w:p>
    <w:p>
      <w:pPr>
        <w:pStyle w:val="FirstParagraph"/>
      </w:pPr>
      <w:r>
        <w:t xml:space="preserve">O problema de financiamento não podia ser separado do problema de alocação. O RDRS não podia prometer acesso idêntico a todos os grupos. Cada compromisso adicional criava obrigações de pessoal que se estendiam além da vida útil da subvenção que o havia lançado.</w:t>
      </w:r>
    </w:p>
    <w:p>
      <w:pPr>
        <w:pStyle w:val="BodyText"/>
      </w:pPr>
      <w:r>
        <w:t xml:space="preserve">Os departamentos municipais de saúde argumentavam que a naloxona deveria permanecer universal e gratuita. Queriam kits em bibliotecas, escolas, abrigos, estações de transporte, instalações correcionais, centros de tratamento e nas mãos de pessoas que usavam drogas e de suas famílias. A naloxona podia reverter uma overdose de opioides quando administrada a tempo, e o CDC enfatizava a distribuição por meio de organizações comunitárias. Mas a disponibilidade universal exigia aquisição, armazenamento, gestão de validade, treinamento, sistemas de dados e assistência técnica local — não apenas a compra do medicamento.</w:t>
      </w:r>
    </w:p>
    <w:p>
      <w:pPr>
        <w:pStyle w:val="BodyText"/>
      </w:pPr>
      <w:r>
        <w:t xml:space="preserve">Os líderes de tratamento enfatizavam a lacuna entre a prevalência da doença e os cuidados baseados em evidências. Queriam equipes móveis de MOUD, consultas no mesmo dia, transporte, telessaúde e melhores transições dos prontos-socorros e prisões. As organizações de recuperação argumentavam que o tratamento sem moradia, documentos de identificação, emprego, cuidado infantil e apoio contínuo de pares levava muitas pessoas de volta à crise. Os condados rurais queriam equipes itinerantes mesmo quando o custo por pessoa era alto. Legisladores de distritos suburbanos queriam prevenção juvenil e apoio para famílias afetadas pelo vício.</w:t>
      </w:r>
    </w:p>
    <w:p>
      <w:pPr>
        <w:pStyle w:val="BodyText"/>
      </w:pPr>
      <w:r>
        <w:t xml:space="preserve">Exhibit 3. Propostas ilustrativas de expansão de serviços</w:t>
      </w:r>
    </w:p>
    <w:tbl>
      <w:tblPr>
        <w:tblStyle w:val="Table"/>
        <w:tblW w:type="pct" w:w="4945"/>
        <w:tblLayout w:type="fixed"/>
        <w:tblLook w:firstRow="1" w:lastRow="0" w:firstColumn="0" w:lastColumn="0" w:noHBand="0" w:noVBand="0" w:val="0020"/>
      </w:tblPr>
      <w:tblGrid>
        <w:gridCol w:w="1881"/>
        <w:gridCol w:w="612"/>
        <w:gridCol w:w="743"/>
        <w:gridCol w:w="1575"/>
        <w:gridCol w:w="3019"/>
      </w:tblGrid>
      <w:tr>
        <w:trPr>
          <w:tblHeader w:val="on"/>
        </w:trPr>
        <w:tc>
          <w:tcPr/>
          <w:p>
            <w:pPr>
              <w:pStyle w:val="Compact"/>
              <w:jc w:val="left"/>
            </w:pPr>
            <w:r>
              <w:t xml:space="preserve">Proposta</w:t>
            </w:r>
          </w:p>
        </w:tc>
        <w:tc>
          <w:tcPr/>
          <w:p>
            <w:pPr>
              <w:pStyle w:val="Compact"/>
              <w:jc w:val="left"/>
            </w:pPr>
            <w:r>
              <w:t xml:space="preserve">Custo anual</w:t>
            </w:r>
          </w:p>
        </w:tc>
        <w:tc>
          <w:tcPr/>
          <w:p>
            <w:pPr>
              <w:pStyle w:val="Compact"/>
            </w:pPr>
            <w:r>
              <w:t xml:space="preserve">Pessoal necessári</w:t>
            </w:r>
          </w:p>
        </w:tc>
        <w:tc>
          <w:tcPr/>
          <w:p>
            <w:pPr>
              <w:pStyle w:val="Compact"/>
              <w:jc w:val="left"/>
            </w:pPr>
            <w:r>
              <w:t xml:space="preserve">o Alcance anual estimado</w:t>
            </w:r>
          </w:p>
        </w:tc>
        <w:tc>
          <w:tcPr/>
          <w:p>
            <w:pPr>
              <w:pStyle w:val="Compact"/>
              <w:jc w:val="center"/>
            </w:pPr>
            <w:r>
              <w:t xml:space="preserve">Adequação ao financiamento</w:t>
            </w:r>
          </w:p>
        </w:tc>
      </w:tr>
      <w:tr>
        <w:tc>
          <w:tcPr/>
          <w:p>
            <w:pPr>
              <w:pStyle w:val="Compact"/>
              <w:jc w:val="left"/>
            </w:pPr>
            <w:r>
              <w:t xml:space="preserve">Manter a disponibilidade universal de nalox</w:t>
            </w:r>
          </w:p>
        </w:tc>
        <w:tc>
          <w:tcPr/>
          <w:p>
            <w:pPr>
              <w:pStyle w:val="Compact"/>
              <w:jc w:val="left"/>
            </w:pPr>
            <w:r>
              <w:t xml:space="preserve">ona $7,2M</w:t>
            </w:r>
          </w:p>
        </w:tc>
        <w:tc>
          <w:tcPr/>
          <w:p>
            <w:pPr>
              <w:pStyle w:val="Compact"/>
            </w:pPr>
            <w:r>
              <w:t xml:space="preserve">31</w:t>
            </w:r>
          </w:p>
        </w:tc>
        <w:tc>
          <w:tcPr/>
          <w:p>
            <w:pPr>
              <w:pStyle w:val="Compact"/>
              <w:jc w:val="left"/>
            </w:pPr>
            <w:r>
              <w:t xml:space="preserve">160.000 kits adicionais</w:t>
            </w:r>
          </w:p>
        </w:tc>
        <w:tc>
          <w:tcPr/>
          <w:p>
            <w:pPr>
              <w:pStyle w:val="Compact"/>
              <w:jc w:val="center"/>
            </w:pPr>
            <w:r>
              <w:t xml:space="preserve">Forte adequação ao SOR/acordo; fraca adequação ao Medicaid</w:t>
            </w:r>
          </w:p>
        </w:tc>
      </w:tr>
      <w:tr>
        <w:tc>
          <w:tcPr/>
          <w:p>
            <w:pPr>
              <w:pStyle w:val="Compact"/>
              <w:jc w:val="left"/>
            </w:pPr>
            <w:r>
              <w:t xml:space="preserve">Expandir o acesso a MOUD no mesmo dia</w:t>
            </w:r>
          </w:p>
        </w:tc>
        <w:tc>
          <w:tcPr/>
          <w:p>
            <w:pPr>
              <w:pStyle w:val="Compact"/>
              <w:jc w:val="left"/>
            </w:pPr>
            <w:r>
              <w:t xml:space="preserve">$10</w:t>
            </w:r>
          </w:p>
        </w:tc>
        <w:tc>
          <w:tcPr/>
          <w:p>
            <w:pPr>
              <w:pStyle w:val="Compact"/>
            </w:pPr>
            <w:r>
              <w:t xml:space="preserve">,8M 49</w:t>
            </w:r>
          </w:p>
        </w:tc>
        <w:tc>
          <w:tcPr/>
          <w:p>
            <w:pPr>
              <w:pStyle w:val="Compact"/>
              <w:jc w:val="left"/>
            </w:pPr>
            <w:r>
              <w:t xml:space="preserve">3.200 iniciações de tratam</w:t>
            </w:r>
          </w:p>
        </w:tc>
        <w:tc>
          <w:tcPr/>
          <w:p>
            <w:pPr>
              <w:pStyle w:val="Compact"/>
              <w:jc w:val="center"/>
            </w:pPr>
            <w:r>
              <w:t xml:space="preserve">ento adicionais SOR e Medicaid; risco de faturamento clínico</w:t>
            </w:r>
          </w:p>
        </w:tc>
      </w:tr>
      <w:tr>
        <w:tc>
          <w:tcPr/>
          <w:p>
            <w:pPr>
              <w:pStyle w:val="Compact"/>
              <w:jc w:val="left"/>
            </w:pPr>
            <w:r>
              <w:t xml:space="preserve">Equipes móveis de recuperação rural</w:t>
            </w:r>
          </w:p>
        </w:tc>
        <w:tc>
          <w:tcPr/>
          <w:p>
            <w:pPr>
              <w:pStyle w:val="Compact"/>
              <w:jc w:val="left"/>
            </w:pPr>
            <w:r>
              <w:t xml:space="preserve">$8,</w:t>
            </w:r>
          </w:p>
        </w:tc>
        <w:tc>
          <w:tcPr/>
          <w:p>
            <w:pPr>
              <w:pStyle w:val="Compact"/>
            </w:pPr>
            <w:r>
              <w:t xml:space="preserve">6M 42</w:t>
            </w:r>
          </w:p>
        </w:tc>
        <w:tc>
          <w:tcPr/>
          <w:p>
            <w:pPr>
              <w:pStyle w:val="Compact"/>
              <w:jc w:val="left"/>
            </w:pPr>
            <w:r>
              <w:t xml:space="preserve">2.100 clientes em 19 conda</w:t>
            </w:r>
          </w:p>
        </w:tc>
        <w:tc>
          <w:tcPr/>
          <w:p>
            <w:pPr>
              <w:pStyle w:val="Compact"/>
              <w:jc w:val="center"/>
            </w:pPr>
            <w:r>
              <w:t xml:space="preserve">dos Possível apoio federal/estadual; alto custo unitário</w:t>
            </w:r>
          </w:p>
        </w:tc>
      </w:tr>
      <w:tr>
        <w:tc>
          <w:tcPr/>
          <w:p>
            <w:pPr>
              <w:pStyle w:val="Compact"/>
              <w:jc w:val="left"/>
            </w:pPr>
            <w:r>
              <w:t xml:space="preserve">Estabilização de moradia e emprego</w:t>
            </w:r>
          </w:p>
        </w:tc>
        <w:tc>
          <w:tcPr/>
          <w:p>
            <w:pPr>
              <w:pStyle w:val="Compact"/>
              <w:jc w:val="left"/>
            </w:pPr>
            <w:r>
              <w:t xml:space="preserve">$9,4M</w:t>
            </w:r>
          </w:p>
        </w:tc>
        <w:tc>
          <w:tcPr/>
          <w:p>
            <w:pPr>
              <w:pStyle w:val="Compact"/>
            </w:pPr>
            <w:r>
              <w:t xml:space="preserve">37</w:t>
            </w:r>
          </w:p>
        </w:tc>
        <w:tc>
          <w:tcPr/>
          <w:p>
            <w:pPr>
              <w:pStyle w:val="Compact"/>
              <w:jc w:val="left"/>
            </w:pPr>
            <w:r>
              <w:t xml:space="preserve">1.850 clientes</w:t>
            </w:r>
          </w:p>
        </w:tc>
        <w:tc>
          <w:tcPr/>
          <w:p>
            <w:pPr>
              <w:pStyle w:val="Compact"/>
              <w:jc w:val="center"/>
            </w:pPr>
            <w:r>
              <w:t xml:space="preserve">Subvenções de recuperação/doadores; questões de elegibilidade e atribuição de resultados</w:t>
            </w:r>
          </w:p>
        </w:tc>
      </w:tr>
      <w:tr>
        <w:tc>
          <w:tcPr/>
          <w:p>
            <w:pPr>
              <w:pStyle w:val="Compact"/>
              <w:jc w:val="left"/>
            </w:pPr>
            <w:r>
              <w:t xml:space="preserve">Transições da justiça para o tratamento</w:t>
            </w:r>
          </w:p>
        </w:tc>
        <w:tc>
          <w:tcPr/>
          <w:p>
            <w:pPr>
              <w:pStyle w:val="Compact"/>
              <w:jc w:val="left"/>
            </w:pPr>
            <w:r>
              <w:t xml:space="preserve">$6,1</w:t>
            </w:r>
          </w:p>
        </w:tc>
        <w:tc>
          <w:tcPr/>
          <w:p>
            <w:pPr>
              <w:pStyle w:val="Compact"/>
            </w:pPr>
            <w:r>
              <w:t xml:space="preserve">M 28</w:t>
            </w:r>
          </w:p>
        </w:tc>
        <w:tc>
          <w:tcPr/>
          <w:p>
            <w:pPr>
              <w:pStyle w:val="Compact"/>
              <w:jc w:val="left"/>
            </w:pPr>
            <w:r>
              <w:t xml:space="preserve">2.600 liberações de presídi</w:t>
            </w:r>
          </w:p>
        </w:tc>
        <w:tc>
          <w:tcPr/>
          <w:p>
            <w:pPr>
              <w:pStyle w:val="Compact"/>
              <w:jc w:val="center"/>
            </w:pPr>
            <w:r>
              <w:t xml:space="preserve">os Subvenções direcionadas; dependência interagências</w:t>
            </w:r>
          </w:p>
        </w:tc>
      </w:tr>
      <w:tr>
        <w:tc>
          <w:tcPr/>
          <w:p>
            <w:pPr>
              <w:pStyle w:val="Compact"/>
              <w:jc w:val="left"/>
            </w:pPr>
            <w:r>
              <w:t xml:space="preserve">Iniciativa de prevenção para jovens e famíl</w:t>
            </w:r>
          </w:p>
        </w:tc>
        <w:tc>
          <w:tcPr/>
          <w:p>
            <w:pPr>
              <w:pStyle w:val="Compact"/>
              <w:jc w:val="left"/>
            </w:pPr>
            <w:r>
              <w:t xml:space="preserve">ias $5,3M</w:t>
            </w:r>
          </w:p>
        </w:tc>
        <w:tc>
          <w:tcPr/>
          <w:p>
            <w:pPr>
              <w:pStyle w:val="Compact"/>
            </w:pPr>
            <w:r>
              <w:t xml:space="preserve">24</w:t>
            </w:r>
          </w:p>
        </w:tc>
        <w:tc>
          <w:tcPr/>
          <w:p>
            <w:pPr>
              <w:pStyle w:val="Compact"/>
              <w:jc w:val="left"/>
            </w:pPr>
            <w:r>
              <w:t xml:space="preserve">35.000 estudantes/membros da</w:t>
            </w:r>
          </w:p>
        </w:tc>
        <w:tc>
          <w:tcPr/>
          <w:p>
            <w:pPr>
              <w:pStyle w:val="Compact"/>
              <w:jc w:val="center"/>
            </w:pPr>
            <w:r>
              <w:t xml:space="preserve">família Subvenções de prevenção e doadores; benefícios surgem lentamente</w:t>
            </w:r>
          </w:p>
        </w:tc>
      </w:tr>
    </w:tbl>
    <w:p>
      <w:pPr>
        <w:pStyle w:val="BodyText"/>
      </w:pPr>
      <w:r>
        <w:t xml:space="preserve">As propostas não eram mutuamente exclusivas, mas a agência não conseguia dotar de pessoal todas elas sob sua previsão central. Além disso, um dólar nem sempre podia ser transferido de um programa para outro. Uma subvenção restrita poderia deixar dinheiro não gasto enquanto a agência simultaneamente demitia funcionários que realizavam trabalho essencial, mas não elegível.</w:t>
      </w:r>
    </w:p>
    <w:bookmarkEnd w:id="12"/>
    <w:bookmarkStart w:id="13" w:name="a-agulha-do-financiamento"/>
    <w:p>
      <w:pPr>
        <w:pStyle w:val="Heading1"/>
      </w:pPr>
      <w:r>
        <w:t xml:space="preserve">A Agulha do Financiamento</w:t>
      </w:r>
    </w:p>
    <w:p>
      <w:pPr>
        <w:pStyle w:val="FirstParagraph"/>
      </w:pPr>
      <w:r>
        <w:t xml:space="preserve">Marquez pediu à sua equipe que desenvolvesse opções. Nenhuma era simplesmente uma campanha de arrecadação de fundos.</w:t>
      </w:r>
    </w:p>
    <w:p>
      <w:pPr>
        <w:pStyle w:val="BodyText"/>
      </w:pPr>
      <w:r>
        <w:rPr>
          <w:b/>
          <w:bCs/>
        </w:rPr>
        <w:t xml:space="preserve">1. Proteger a força de trabalho central.</w:t>
      </w:r>
      <w:r>
        <w:t xml:space="preserve"> </w:t>
      </w:r>
      <w:r>
        <w:t xml:space="preserve">Usar primeiro os fundos gerais do estado e os recursos de acordos judiciais para o pessoal permanente, atribuindo os fundos federais e filantrópicos às despesas variáveis dos programas. Isso poderia melhorar a continuidade, mas poderia ser criticado como o uso de dinheiro flexível para administração em vez de serviços visíveis.</w:t>
      </w:r>
    </w:p>
    <w:p>
      <w:pPr>
        <w:pStyle w:val="BodyText"/>
      </w:pPr>
      <w:r>
        <w:rPr>
          <w:b/>
          <w:bCs/>
        </w:rPr>
        <w:t xml:space="preserve">2. Organizar-se em torno de iniciativas financiadas por subvenções.</w:t>
      </w:r>
      <w:r>
        <w:t xml:space="preserve"> </w:t>
      </w:r>
      <w:r>
        <w:t xml:space="preserve">Reestruturar as equipes de modo que posições e atividades correspondam diretamente aos avisos federais de oportunidade de financiamento. Isso poderia maximizar a competitividade nas concessões, mas poderia fragmentar o continuum de cuidados e fazer com que as prioridades mudassem sempre que a linguagem federal mudasse.</w:t>
      </w:r>
    </w:p>
    <w:p>
      <w:pPr>
        <w:pStyle w:val="BodyText"/>
      </w:pPr>
      <w:r>
        <w:rPr>
          <w:b/>
          <w:bCs/>
        </w:rPr>
        <w:t xml:space="preserve">3. Construir um modelo de financiamento entrelaçado.</w:t>
      </w:r>
      <w:r>
        <w:t xml:space="preserve"> </w:t>
      </w:r>
      <w:r>
        <w:t xml:space="preserve">Sustentar cada serviço com múltiplos fluxos de financiamento — por exemplo, fundos federais para divulgação, Medicaid para atendimentos clínicos, fundos de acordos judiciais para navegação e doadores para assistência emergencial. O entrelaçamento poderia preservar os serviços, mas exigiria alocação sofisticada de tempo, contabilidade de custos, triagem de elegibilidade e controles de auditoria.</w:t>
      </w:r>
    </w:p>
    <w:p>
      <w:pPr>
        <w:pStyle w:val="BodyText"/>
      </w:pPr>
      <w:r>
        <w:rPr>
          <w:b/>
          <w:bCs/>
        </w:rPr>
        <w:t xml:space="preserve">4. Transferir mais entrega para parceiros locais.</w:t>
      </w:r>
      <w:r>
        <w:t xml:space="preserve"> </w:t>
      </w:r>
      <w:r>
        <w:t xml:space="preserve">Reduzir a força de trabalho central e distribuir fundos para condados, hospitais, organizações sem fins lucrativos e organizações de recuperação. Os grupos locais poderiam estar mais próximos dos clientes, mas o RDRS perderia o controle operacional e ainda reteria responsabilidades de monitoramento. Organizações menores poderiam não ter o fluxo de caixa ou a capacidade administrativa para gerenciar reembolsos e conformidade federal.</w:t>
      </w:r>
    </w:p>
    <w:p>
      <w:pPr>
        <w:pStyle w:val="BodyText"/>
      </w:pPr>
      <w:r>
        <w:rPr>
          <w:b/>
          <w:bCs/>
        </w:rPr>
        <w:t xml:space="preserve">5. Criar um fundo estadual de recuperação.</w:t>
      </w:r>
      <w:r>
        <w:t xml:space="preserve"> </w:t>
      </w:r>
      <w:r>
        <w:t xml:space="preserve">Buscar compromissos plurianuais de sistemas de saúde, empregadores, seguradoras, fundações e doadores individuais. Um fundo agrupado poderia pagar por lacunas que as subvenções governamentais excluíam, mas os participantes privados poderiam exigir direitos de governança, preferências geográficas ou evidências de impacto rápido.</w:t>
      </w:r>
    </w:p>
    <w:p>
      <w:pPr>
        <w:pStyle w:val="BodyText"/>
      </w:pPr>
      <w:r>
        <w:rPr>
          <w:b/>
          <w:bCs/>
        </w:rPr>
        <w:t xml:space="preserve">6. Restringir a missão.</w:t>
      </w:r>
      <w:r>
        <w:t xml:space="preserve"> </w:t>
      </w:r>
      <w:r>
        <w:t xml:space="preserve">Concentrar-se em naloxona, acesso a tratamento e administração de subvenções, reduzindo as funções de moradia, emprego e recuperação de longo prazo. A agência poderia atender mais pessoas na fase aguda, mas poderia enfraquecer os apoios destinados a prevenir crises repetidas.</w:t>
      </w:r>
    </w:p>
    <w:bookmarkEnd w:id="13"/>
    <w:bookmarkStart w:id="14" w:name="o-problema-da-mensuração"/>
    <w:p>
      <w:pPr>
        <w:pStyle w:val="Heading1"/>
      </w:pPr>
      <w:r>
        <w:t xml:space="preserve">O Problema da Mensuração</w:t>
      </w:r>
    </w:p>
    <w:p>
      <w:pPr>
        <w:pStyle w:val="FirstParagraph"/>
      </w:pPr>
      <w:r>
        <w:t xml:space="preserve">Os resultados da agência eram difíceis de atribuir. Um kit de naloxona distribuído era fácil de contar; uma morte prevenida não era. A iniciação de tratamento podia ser medida, mas a retenção dependia de provedores, transporte, moradia, seguro e do suprimento de drogas. Os resultados de emprego podiam ocorrer meses após o término de uma subvenção. As mortes em declínio podiam reduzir a urgência política mesmo que a capacidade do programa fosse responsável por parte do declínio.</w:t>
      </w:r>
    </w:p>
    <w:p>
      <w:pPr>
        <w:pStyle w:val="BodyText"/>
      </w:pPr>
      <w:r>
        <w:t xml:space="preserve">Os doadores solicitavam histórias e medidas de curto prazo. As agências federais exigiam produtos padronizados e dados de subbeneficiários. Os funcionários do orçamento estadual queriam resultados em nível populacional e evidências de que os programas não eram duplicativos. A equipe de Marquez temia que a agência otimizasse o que era financiável e contável, em vez do que os clientes precisavam.</w:t>
      </w:r>
    </w:p>
    <w:p>
      <w:pPr>
        <w:pStyle w:val="BodyText"/>
      </w:pPr>
      <w:r>
        <w:t xml:space="preserve">Exhibit 4. Critérios de decisão propostos para o ano fiscal de 2027</w:t>
      </w:r>
    </w:p>
    <w:tbl>
      <w:tblPr>
        <w:tblStyle w:val="Table"/>
        <w:tblW w:type="pct" w:w="4935"/>
        <w:tblLayout w:type="fixed"/>
        <w:tblLook w:firstRow="1" w:lastRow="0" w:firstColumn="0" w:lastColumn="0" w:noHBand="0" w:noVBand="0" w:val="0020"/>
      </w:tblPr>
      <w:tblGrid>
        <w:gridCol w:w="1182"/>
        <w:gridCol w:w="3445"/>
        <w:gridCol w:w="3188"/>
      </w:tblGrid>
      <w:tr>
        <w:trPr>
          <w:tblHeader w:val="on"/>
        </w:trPr>
        <w:tc>
          <w:tcPr/>
          <w:p>
            <w:pPr>
              <w:pStyle w:val="Compact"/>
            </w:pPr>
            <w:r>
              <w:t xml:space="preserve">Critério M</w:t>
            </w:r>
          </w:p>
        </w:tc>
        <w:tc>
          <w:tcPr/>
          <w:p>
            <w:pPr>
              <w:pStyle w:val="Compact"/>
            </w:pPr>
            <w:r>
              <w:t xml:space="preserve">edida ilustrativa Que</w:t>
            </w:r>
          </w:p>
        </w:tc>
        <w:tc>
          <w:tcPr/>
          <w:p>
            <w:pPr>
              <w:pStyle w:val="Compact"/>
              <w:jc w:val="left"/>
            </w:pPr>
            <w:r>
              <w:t xml:space="preserve">stão não resolvida</w:t>
            </w:r>
          </w:p>
        </w:tc>
      </w:tr>
      <w:tr>
        <w:tc>
          <w:tcPr/>
          <w:p>
            <w:pPr>
              <w:pStyle w:val="Compact"/>
            </w:pPr>
            <w:r>
              <w:t xml:space="preserve">Vidas e saúde Mor</w:t>
            </w:r>
          </w:p>
        </w:tc>
        <w:tc>
          <w:tcPr/>
          <w:p>
            <w:pPr>
              <w:pStyle w:val="Compact"/>
            </w:pPr>
            <w:r>
              <w:t xml:space="preserve">tes por overdose, overdoses não fatais, retenção no tratamento</w:t>
            </w:r>
          </w:p>
        </w:tc>
        <w:tc>
          <w:tcPr/>
          <w:p>
            <w:pPr>
              <w:pStyle w:val="Compact"/>
              <w:jc w:val="left"/>
            </w:pPr>
            <w:r>
              <w:t xml:space="preserve">Quanto da mudança pode ser atribuído ao RDRS?</w:t>
            </w:r>
          </w:p>
        </w:tc>
      </w:tr>
      <w:tr>
        <w:tc>
          <w:tcPr/>
          <w:p>
            <w:pPr>
              <w:pStyle w:val="Compact"/>
            </w:pPr>
            <w:r>
              <w:t xml:space="preserve">Acesso e equidade</w:t>
            </w:r>
          </w:p>
        </w:tc>
        <w:tc>
          <w:tcPr/>
          <w:p>
            <w:pPr>
              <w:pStyle w:val="Compact"/>
            </w:pPr>
            <w:r>
              <w:t xml:space="preserve">Tempo de deslocamento, tempo de espera, taxas de serviço por região</w:t>
            </w:r>
          </w:p>
        </w:tc>
        <w:tc>
          <w:tcPr/>
          <w:p>
            <w:pPr>
              <w:pStyle w:val="Compact"/>
              <w:jc w:val="left"/>
            </w:pPr>
            <w:r>
              <w:t xml:space="preserve">e grupo O alto custo de alcance rural deveria superar o volume total?</w:t>
            </w:r>
          </w:p>
        </w:tc>
      </w:tr>
      <w:tr>
        <w:tc>
          <w:tcPr/>
          <w:p>
            <w:pPr>
              <w:pStyle w:val="Compact"/>
            </w:pPr>
            <w:r>
              <w:t xml:space="preserve">Estabilidade da recuper</w:t>
            </w:r>
          </w:p>
        </w:tc>
        <w:tc>
          <w:tcPr/>
          <w:p>
            <w:pPr>
              <w:pStyle w:val="Compact"/>
            </w:pPr>
            <w:r>
              <w:t xml:space="preserve">ação Moradia, emprego, envolvimento com a justiça, reconexão co</w:t>
            </w:r>
          </w:p>
        </w:tc>
        <w:tc>
          <w:tcPr/>
          <w:p>
            <w:pPr>
              <w:pStyle w:val="Compact"/>
              <w:jc w:val="left"/>
            </w:pPr>
            <w:r>
              <w:t xml:space="preserve">m o cuidado Quais resultados pertencem à missão de uma agência de saúde?</w:t>
            </w:r>
          </w:p>
        </w:tc>
      </w:tr>
      <w:tr>
        <w:tc>
          <w:tcPr/>
          <w:p>
            <w:pPr>
              <w:pStyle w:val="Compact"/>
            </w:pPr>
            <w:r>
              <w:t xml:space="preserve">Resiliência financeira</w:t>
            </w:r>
          </w:p>
        </w:tc>
        <w:tc>
          <w:tcPr/>
          <w:p>
            <w:pPr>
              <w:pStyle w:val="Compact"/>
            </w:pPr>
            <w:r>
              <w:t xml:space="preserve">Meses de folha de pagamento não restrita; concentração por financ</w:t>
            </w:r>
          </w:p>
        </w:tc>
        <w:tc>
          <w:tcPr/>
          <w:p>
            <w:pPr>
              <w:pStyle w:val="Compact"/>
              <w:jc w:val="left"/>
            </w:pPr>
            <w:r>
              <w:t xml:space="preserve">iador Quanto de serviço deveria ser sacrificado para construir reservas?</w:t>
            </w:r>
          </w:p>
        </w:tc>
      </w:tr>
      <w:tr>
        <w:tc>
          <w:tcPr/>
          <w:p>
            <w:pPr>
              <w:pStyle w:val="Compact"/>
            </w:pPr>
            <w:r>
              <w:t xml:space="preserve">Continuidade da força d</w:t>
            </w:r>
          </w:p>
        </w:tc>
        <w:tc>
          <w:tcPr/>
          <w:p>
            <w:pPr>
              <w:pStyle w:val="Compact"/>
            </w:pPr>
            <w:r>
              <w:t xml:space="preserve">e trabalho Vagas, rotatividade, posições financiadas por subvençõ</w:t>
            </w:r>
          </w:p>
        </w:tc>
        <w:tc>
          <w:tcPr/>
          <w:p>
            <w:pPr>
              <w:pStyle w:val="Compact"/>
              <w:jc w:val="left"/>
            </w:pPr>
            <w:r>
              <w:t xml:space="preserve">es em risco Posições permanentes deveriam ser sustentadas por fundos temporários?</w:t>
            </w:r>
          </w:p>
        </w:tc>
      </w:tr>
      <w:tr>
        <w:tc>
          <w:tcPr/>
          <w:p>
            <w:pPr>
              <w:pStyle w:val="Compact"/>
            </w:pPr>
            <w:r>
              <w:t xml:space="preserve">Conformidade</w:t>
            </w:r>
          </w:p>
        </w:tc>
        <w:tc>
          <w:tcPr/>
          <w:p>
            <w:pPr>
              <w:pStyle w:val="Compact"/>
            </w:pPr>
            <w:r>
              <w:t xml:space="preserve">Relatórios pontuais, achados de auditoria, exceções de custo permi</w:t>
            </w:r>
          </w:p>
        </w:tc>
        <w:tc>
          <w:tcPr/>
          <w:p>
            <w:pPr>
              <w:pStyle w:val="Compact"/>
              <w:jc w:val="left"/>
            </w:pPr>
            <w:r>
              <w:t xml:space="preserve">tido Quanta capacidade administrativa é suficiente?</w:t>
            </w:r>
          </w:p>
        </w:tc>
      </w:tr>
    </w:tbl>
    <w:bookmarkEnd w:id="14"/>
    <w:bookmarkStart w:id="15" w:name="o-retiro"/>
    <w:p>
      <w:pPr>
        <w:pStyle w:val="Heading1"/>
      </w:pPr>
      <w:r>
        <w:t xml:space="preserve">O Retiro</w:t>
      </w:r>
    </w:p>
    <w:p>
      <w:pPr>
        <w:pStyle w:val="FirstParagraph"/>
      </w:pPr>
      <w:r>
        <w:t xml:space="preserve">No retiro, a diretora médica-chefe apoiou a proteção das operações de tratamento e naloxona.</w:t>
      </w:r>
      <w:r>
        <w:t xml:space="preserve"> </w:t>
      </w:r>
      <w:r>
        <w:t xml:space="preserve">“Uma contagem menor de mortes é o resultado que queríamos”</w:t>
      </w:r>
      <w:r>
        <w:t xml:space="preserve">, disse ela.</w:t>
      </w:r>
      <w:r>
        <w:t xml:space="preserve"> </w:t>
      </w:r>
      <w:r>
        <w:t xml:space="preserve">“Não é evidência de que a infraestrutura não seja mais necessária.”</w:t>
      </w:r>
      <w:r>
        <w:t xml:space="preserve"> </w:t>
      </w:r>
      <w:r>
        <w:t xml:space="preserve">O diretor financeiro contra-argumentou que a agência não podia tratar toda concessão de continuidade como receita permanente. Ele queria uma reserva equivalente a três meses de folha de pagamento e uma política proibindo novas contratações permanentes sem uma fonte de financiamento durável.</w:t>
      </w:r>
    </w:p>
    <w:p>
      <w:pPr>
        <w:pStyle w:val="BodyText"/>
      </w:pPr>
      <w:r>
        <w:t xml:space="preserve">A diretora de recuperação argumentou que a reserva proposta seria construída ao negar serviços a pessoas atualmente em crise. O diretor de subvenções alertou que várias candidaturas federais teriam pontuação baixa a menos que o RDRS se comprometesse com as iniciativas especificadas nos avisos. Um comissário municipal disse que o estado deveria parar de desenhar programas a partir da capital e dar aos condados alocações flexíveis. Um representante de fundação se ofereceu para reunir doadores, mas alertou que a filantropia não poderia substituir o governo em escala.</w:t>
      </w:r>
    </w:p>
    <w:p>
      <w:pPr>
        <w:pStyle w:val="BodyText"/>
      </w:pPr>
      <w:r>
        <w:t xml:space="preserve">Marquez escreveu quatro perguntas no quadro:</w:t>
      </w:r>
    </w:p>
    <w:p>
      <w:pPr>
        <w:pStyle w:val="BlockText"/>
      </w:pPr>
      <w:r>
        <w:t xml:space="preserve">• Quais serviços constituem a plataforma estadual inegociável?</w:t>
      </w:r>
    </w:p>
    <w:p>
      <w:pPr>
        <w:pStyle w:val="BlockText"/>
      </w:pPr>
      <w:r>
        <w:t xml:space="preserve">• Quais grupos deveriam receber prioridade quando fundos restritos não puderem ser redirecionados?</w:t>
      </w:r>
    </w:p>
    <w:p>
      <w:pPr>
        <w:pStyle w:val="BlockText"/>
      </w:pPr>
      <w:r>
        <w:t xml:space="preserve">• Quanta capacidade organizacional deveria ser dedicada à busca e conformidade com subvenções?</w:t>
      </w:r>
    </w:p>
    <w:p>
      <w:pPr>
        <w:pStyle w:val="BlockText"/>
      </w:pPr>
      <w:r>
        <w:t xml:space="preserve">• Que estrutura de financiamento permitiria ao RDRS reter pessoal através de mudanças nas prioridades políticas e requisitos de programas?</w:t>
      </w:r>
    </w:p>
    <w:p>
      <w:pPr>
        <w:pStyle w:val="FirstParagraph"/>
      </w:pPr>
      <w:r>
        <w:t xml:space="preserve">O escritório orçamentário do governador esperava a recomendação do RDRS em três semanas. Os avisos de continuidade federal poderiam chegar antes disso — ou vários meses depois. Os acordos trabalhistas exigiam aviso prévio de 90 dias para certas demissões. Os pedidos de naloxona tinham que ser feitos com seis meses de antecedência para garantir preços favoráveis. Duas grandes propostas de fundações venciam em novembro, mas ambas exigiam que o RDRS identificasse uma iniciativa estreitamente definida e um resultado mensurável de três anos.</w:t>
      </w:r>
    </w:p>
    <w:p>
      <w:pPr>
        <w:pStyle w:val="BodyText"/>
      </w:pPr>
      <w:r>
        <w:t xml:space="preserve">Marquez poderia apresentar uma estratégia única, um plano contingente vinculado a resultados de financiamento, ou um portfólio de opções de serviço e financiamento. O que quer que ela propusesse revelaria uma resposta implícita a uma questão maior: o RDRS era uma organização de resposta a emergências, uma autoridade de tratamento, uma agência de recuperação de longo prazo, ou uma plataforma de financiamento e coordenação para as três coisas?</w:t>
      </w:r>
    </w:p>
    <w:bookmarkEnd w:id="15"/>
    <w:bookmarkStart w:id="16" w:name="questões-de-discussão"/>
    <w:p>
      <w:pPr>
        <w:pStyle w:val="Heading1"/>
      </w:pPr>
      <w:r>
        <w:t xml:space="preserve">Questões de Discussão</w:t>
      </w:r>
    </w:p>
    <w:p>
      <w:pPr>
        <w:numPr>
          <w:ilvl w:val="0"/>
          <w:numId w:val="1001"/>
        </w:numPr>
      </w:pPr>
      <w:r>
        <w:t xml:space="preserve">Qual é a decisão que a Comissária Marquez enfrenta? Quais decisões são estratégicas e quais são operacionais?</w:t>
      </w:r>
    </w:p>
    <w:p>
      <w:pPr>
        <w:numPr>
          <w:ilvl w:val="0"/>
          <w:numId w:val="1001"/>
        </w:numPr>
      </w:pPr>
      <w:r>
        <w:t xml:space="preserve">Como o RDRS deveria distinguir sua plataforma operacional central das iniciativas financiadas por subvenções?</w:t>
      </w:r>
    </w:p>
    <w:p>
      <w:pPr>
        <w:numPr>
          <w:ilvl w:val="0"/>
          <w:numId w:val="1001"/>
        </w:numPr>
      </w:pPr>
      <w:r>
        <w:t xml:space="preserve">Quais populações ou serviços deveriam receber prioridade caso o cenário central de financiamento do ano fiscal de 2027 se concretize?</w:t>
      </w:r>
    </w:p>
    <w:p>
      <w:pPr>
        <w:numPr>
          <w:ilvl w:val="0"/>
          <w:numId w:val="1001"/>
        </w:numPr>
      </w:pPr>
      <w:r>
        <w:t xml:space="preserve">Como a agência deveria avaliar a distribuição universal de naloxona em relação ao tratamento e ao apoio à recuperação de longo prazo?</w:t>
      </w:r>
    </w:p>
    <w:p>
      <w:pPr>
        <w:numPr>
          <w:ilvl w:val="0"/>
          <w:numId w:val="1001"/>
        </w:numPr>
      </w:pPr>
      <w:r>
        <w:t xml:space="preserve">Quais são as vantagens e os riscos do financiamento entrelaçado? Que capacidades administrativas isso exigiria?</w:t>
      </w:r>
    </w:p>
    <w:p>
      <w:pPr>
        <w:numPr>
          <w:ilvl w:val="0"/>
          <w:numId w:val="1001"/>
        </w:numPr>
      </w:pPr>
      <w:r>
        <w:t xml:space="preserve">O declínio das mortes por overdose deveria fortalecer ou enfraquecer o argumento para financiamento contínuo?</w:t>
      </w:r>
    </w:p>
    <w:p>
      <w:pPr>
        <w:numPr>
          <w:ilvl w:val="0"/>
          <w:numId w:val="1001"/>
        </w:numPr>
      </w:pPr>
      <w:r>
        <w:t xml:space="preserve">Quais métricas o RDRS deveria usar quando os resultados são atrasados, difíceis de atribuir ou não totalmente observáveis?</w:t>
      </w:r>
    </w:p>
    <w:p>
      <w:pPr>
        <w:numPr>
          <w:ilvl w:val="0"/>
          <w:numId w:val="1001"/>
        </w:numPr>
      </w:pPr>
      <w:r>
        <w:t xml:space="preserve">Quanta reserva financeira uma agência pública deveria manter quando isso pode reduzir os serviços atuais?</w:t>
      </w:r>
    </w:p>
    <w:p>
      <w:pPr>
        <w:numPr>
          <w:ilvl w:val="0"/>
          <w:numId w:val="1001"/>
        </w:numPr>
      </w:pPr>
      <w:r>
        <w:t xml:space="preserve">Que papel os condados, sistemas de saúde, empregadores, seguradoras e doadores privados deveriam desempenhar?</w:t>
      </w:r>
    </w:p>
    <w:p>
      <w:pPr>
        <w:numPr>
          <w:ilvl w:val="0"/>
          <w:numId w:val="1001"/>
        </w:numPr>
      </w:pPr>
      <w:r>
        <w:t xml:space="preserve">Desenhe um processo para investigar alternativas antes do prazo de três semanas do governador. Qual informação tem o maior valor?</w:t>
      </w:r>
    </w:p>
    <w:bookmarkEnd w:id="16"/>
    <w:bookmarkStart w:id="22" w:name="questões-de-enquadramento-da-decisão"/>
    <w:p>
      <w:pPr>
        <w:pStyle w:val="Heading1"/>
      </w:pPr>
      <w:r>
        <w:t xml:space="preserve">Questões de Enquadramento da Decisão</w:t>
      </w:r>
    </w:p>
    <w:p>
      <w:pPr>
        <w:numPr>
          <w:ilvl w:val="0"/>
          <w:numId w:val="1002"/>
        </w:numPr>
      </w:pPr>
      <w:r>
        <w:t xml:space="preserve">Identifique e descreva as responsabilidades do tomador de decisão. Isso deve estabelecer o escopo do problema.</w:t>
      </w:r>
    </w:p>
    <w:p>
      <w:pPr>
        <w:numPr>
          <w:ilvl w:val="0"/>
          <w:numId w:val="1002"/>
        </w:numPr>
      </w:pPr>
      <w:r>
        <w:t xml:space="preserve">Use a</w:t>
      </w:r>
      <w:r>
        <w:t xml:space="preserve"> </w:t>
      </w:r>
      <w:hyperlink r:id="rId17">
        <w:r>
          <w:rPr>
            <w:rStyle w:val="Hyperlink"/>
          </w:rPr>
          <w:t xml:space="preserve">ferramenta de pirâmide de métricas</w:t>
        </w:r>
      </w:hyperlink>
      <w:r>
        <w:t xml:space="preserve"> </w:t>
      </w:r>
      <w:r>
        <w:t xml:space="preserve">para identificar e priorizar as diferentes métricas de desempenho. Clique na oval que contém a métrica para identificar se é uma métrica a ser maximizada (verde), minimizada (vermelho), um alvo que é um piso (verde claro) ou um teto (vermelho claro), ou finalmente um alvo (roxo).</w:t>
      </w:r>
    </w:p>
    <w:p>
      <w:pPr>
        <w:numPr>
          <w:ilvl w:val="0"/>
          <w:numId w:val="1002"/>
        </w:numPr>
      </w:pPr>
      <w:r>
        <w:t xml:space="preserve">Use a</w:t>
      </w:r>
      <w:r>
        <w:t xml:space="preserve"> </w:t>
      </w:r>
      <w:hyperlink r:id="rId18">
        <w:r>
          <w:rPr>
            <w:rStyle w:val="Hyperlink"/>
          </w:rPr>
          <w:t xml:space="preserve">ferramenta de priorização de decisões</w:t>
        </w:r>
      </w:hyperlink>
      <w:r>
        <w:t xml:space="preserve"> </w:t>
      </w:r>
      <w:r>
        <w:t xml:space="preserve">para primeiro listar os diferentes tipos de decisões (use os</w:t>
      </w:r>
      <w:r>
        <w:t xml:space="preserve"> </w:t>
      </w:r>
      <w:hyperlink r:id="rId19">
        <w:r>
          <w:rPr>
            <w:rStyle w:val="Hyperlink"/>
          </w:rPr>
          <w:t xml:space="preserve">tipos de decisões</w:t>
        </w:r>
      </w:hyperlink>
      <w:r>
        <w:t xml:space="preserve"> </w:t>
      </w:r>
      <w:r>
        <w:t xml:space="preserve">como guia). Estes então populam as linhas da matriz à direita, onde as colunas são as métricas de desempenho ordenadas da esquerda para a direita pela prioridade na pirâmide acima. Clique em cada célula para indicar se o impacto da decisão em cada métrica é alto (vermelho), médio (laranja), baixo (amarelo) ou nenhum (branco).</w:t>
      </w:r>
    </w:p>
    <w:p>
      <w:pPr>
        <w:numPr>
          <w:ilvl w:val="0"/>
          <w:numId w:val="1002"/>
        </w:numPr>
      </w:pPr>
      <w:r>
        <w:t xml:space="preserve">Você pode pegar a alça (três barras) mais à esquerda em cada linha para movê-la para cima ou para baixo. Ordene as linhas de modo que as decisões com maior impacto nas métricas mais importantes fiquem no topo. As células no canto superior esquerdo devem ter a maior concentração de células vermelhas e laranjas. Neste ponto, identifique as decisões que deveriam receber mais atenção em seu estudo. Se você não tiver nenhuma decisão com impacto médio ou alto nas métricas mais importantes, revise sua lista de decisões.</w:t>
      </w:r>
    </w:p>
    <w:p>
      <w:pPr>
        <w:numPr>
          <w:ilvl w:val="0"/>
          <w:numId w:val="1002"/>
        </w:numPr>
      </w:pPr>
      <w:r>
        <w:t xml:space="preserve">Repita o processo para listar e priorizar as incertezas usando a</w:t>
      </w:r>
      <w:r>
        <w:t xml:space="preserve"> </w:t>
      </w:r>
      <w:hyperlink r:id="rId20">
        <w:r>
          <w:rPr>
            <w:rStyle w:val="Hyperlink"/>
          </w:rPr>
          <w:t xml:space="preserve">ferramenta de priorização de incertezas</w:t>
        </w:r>
      </w:hyperlink>
      <w:r>
        <w:t xml:space="preserve">. Use as</w:t>
      </w:r>
      <w:r>
        <w:t xml:space="preserve"> </w:t>
      </w:r>
      <w:hyperlink r:id="rId21">
        <w:r>
          <w:rPr>
            <w:rStyle w:val="Hyperlink"/>
          </w:rPr>
          <w:t xml:space="preserve">categorias de incerteza</w:t>
        </w:r>
      </w:hyperlink>
      <w:r>
        <w:t xml:space="preserve"> </w:t>
      </w:r>
      <w:r>
        <w:t xml:space="preserve">para ajudá-lo a identificá-las.</w:t>
      </w:r>
    </w:p>
    <w:p>
      <w:pPr>
        <w:numPr>
          <w:ilvl w:val="0"/>
          <w:numId w:val="1002"/>
        </w:numPr>
      </w:pPr>
      <w:r>
        <w:t xml:space="preserve">É importante diferenciar as incertezas que podem ser avaliadas em média, ou como eventos de risco:</w:t>
      </w:r>
    </w:p>
    <w:p>
      <w:pPr>
        <w:numPr>
          <w:ilvl w:val="1"/>
          <w:numId w:val="1003"/>
        </w:numPr>
      </w:pPr>
      <w:r>
        <w:t xml:space="preserve">Quais fontes de incerteza seriam capturadas usando o desempenho médio ao longo do tempo?</w:t>
      </w:r>
    </w:p>
    <w:p>
      <w:pPr>
        <w:numPr>
          <w:ilvl w:val="1"/>
          <w:numId w:val="1003"/>
        </w:numPr>
      </w:pPr>
      <w:r>
        <w:t xml:space="preserve">Quais fontes de incerteza representam formas de risco que não são adequadamente capturadas usando médias?</w:t>
      </w:r>
    </w:p>
    <w:p>
      <w:pPr>
        <w:numPr>
          <w:ilvl w:val="0"/>
          <w:numId w:val="1002"/>
        </w:numPr>
      </w:pPr>
      <w:r>
        <w:t xml:space="preserve">Escolha a única decisão que parece ter o maior impacto na métrica mais importante.</w:t>
      </w:r>
    </w:p>
    <w:p>
      <w:pPr>
        <w:numPr>
          <w:ilvl w:val="1"/>
          <w:numId w:val="1004"/>
        </w:numPr>
      </w:pPr>
      <w:r>
        <w:t xml:space="preserve">Que abordagem você acha que usaria para tomar essa decisão?</w:t>
      </w:r>
    </w:p>
    <w:p>
      <w:pPr>
        <w:numPr>
          <w:ilvl w:val="1"/>
          <w:numId w:val="1004"/>
        </w:numPr>
      </w:pPr>
      <w:r>
        <w:t xml:space="preserve">Quais dados parecem ser necessários para tomar essa decisão, incluindo o cálculo de quaisquer métricas de desempenho onde a decisão teria um impacto alto ou médio.</w:t>
      </w:r>
    </w:p>
    <w:p>
      <w:pPr>
        <w:numPr>
          <w:ilvl w:val="0"/>
          <w:numId w:val="1002"/>
        </w:numPr>
      </w:pPr>
      <w:r>
        <w:t xml:space="preserve">Usando a mesma decisão que você identificou em (7), identifique as pessoas, departamentos, grupos ou organizações com os quais você precisaria trabalhar para implementar a decisão.</w:t>
      </w:r>
    </w:p>
    <w:bookmarkEnd w:id="22"/>
    <w:bookmarkStart w:id="23" w:name="X900b78797c63dffce52506bf1bc1063f5b2573e"/>
    <w:p>
      <w:pPr>
        <w:pStyle w:val="Heading1"/>
      </w:pPr>
      <w:r>
        <w:t xml:space="preserve">Notas sobre Dados Públicos e Financiamento</w:t>
      </w:r>
    </w:p>
    <w:p>
      <w:pPr>
        <w:pStyle w:val="FirstParagraph"/>
      </w:pPr>
      <w:r>
        <w:t xml:space="preserve">• CDC,</w:t>
      </w:r>
      <w:r>
        <w:t xml:space="preserve"> </w:t>
      </w:r>
      <w:r>
        <w:t xml:space="preserve">“Data Resources | Overdose Prevention,”</w:t>
      </w:r>
      <w:r>
        <w:t xml:space="preserve"> </w:t>
      </w:r>
      <w:r>
        <w:t xml:space="preserve">estimativa preliminar de 69.973 mortes por overdose de drogas nos EUA nos 12 meses encerrados em dezembro de 2025, um declínio de 13,9% em relação ao ano anterior (divulgação de maio de 2026).</w:t>
      </w:r>
    </w:p>
    <w:p>
      <w:pPr>
        <w:pStyle w:val="BodyText"/>
      </w:pPr>
      <w:r>
        <w:t xml:space="preserve">• CDC/NCHS,</w:t>
      </w:r>
      <w:r>
        <w:t xml:space="preserve"> </w:t>
      </w:r>
      <w:r>
        <w:t xml:space="preserve">“Drug Overdose Deaths in the United States, 2023–2024,”</w:t>
      </w:r>
      <w:r>
        <w:t xml:space="preserve"> </w:t>
      </w:r>
      <w:r>
        <w:t xml:space="preserve">relatando 54.045 mortes envolvendo opioides em 2024 e 47.735 envolvendo opioides sintéticos diferentes da metadona.</w:t>
      </w:r>
    </w:p>
    <w:p>
      <w:pPr>
        <w:pStyle w:val="BodyText"/>
      </w:pPr>
      <w:r>
        <w:t xml:space="preserve">• SAMHSA, Pesquisa Nacional sobre Uso de Drogas e Saúde de 2024, relatando 4,8 milhões de pessoas com 12 anos ou mais com transtorno por uso de opioides no último ano e 818.000 (17,0%) recebendo medicamentos para transtorno por uso de opioides.</w:t>
      </w:r>
    </w:p>
    <w:p>
      <w:pPr>
        <w:pStyle w:val="BodyText"/>
      </w:pPr>
      <w:r>
        <w:t xml:space="preserve">• SAMHSA, Subvenções State Opioid Response do ano fiscal de 2024 (TI-24-008): financiamento total antecipado disponível de $1,4805 bilhão, até 59 concessões, com continuidade dependente da disponibilidade de financiamento, desempenho, relatórios e conformidade.</w:t>
      </w:r>
    </w:p>
    <w:p>
      <w:pPr>
        <w:pStyle w:val="BodyText"/>
      </w:pPr>
      <w:r>
        <w:t xml:space="preserve">• HHS, anúncio de 22 de setembro de 2025, de mais de $1,5 bilhão em concessões de continuidade do ano fiscal de 2025 para State and Tribal Opioid Response.</w:t>
      </w:r>
    </w:p>
    <w:p>
      <w:pPr>
        <w:pStyle w:val="BodyText"/>
      </w:pPr>
      <w:r>
        <w:t xml:space="preserve">• U.S. GAO, GAO-25-106944,</w:t>
      </w:r>
      <w:r>
        <w:t xml:space="preserve"> </w:t>
      </w:r>
      <w:r>
        <w:t xml:space="preserve">“Opioid Use Disorder Grants,”</w:t>
      </w:r>
      <w:r>
        <w:t xml:space="preserve"> </w:t>
      </w:r>
      <w:r>
        <w:t xml:space="preserve">descrevendo encargos de relatório, atrasos de financiamento e aquisição, janelas de implementação encurtadas e requisitos referentes a beneficiários finais.</w:t>
      </w:r>
    </w:p>
    <w:p>
      <w:pPr>
        <w:pStyle w:val="BodyText"/>
      </w:pPr>
      <w:r>
        <w:t xml:space="preserve">• CDC,</w:t>
      </w:r>
      <w:r>
        <w:t xml:space="preserve"> </w:t>
      </w:r>
      <w:r>
        <w:t xml:space="preserve">“Reverse Opioid Overdose to Prevent Death,”</w:t>
      </w:r>
      <w:r>
        <w:t xml:space="preserve"> </w:t>
      </w:r>
      <w:r>
        <w:t xml:space="preserve">descrevendo a naloxona como um medicamento que pode reverter uma overdose de opioides quando administrado a tempo.</w:t>
      </w:r>
    </w:p>
    <w:bookmarkEnd w:id="23"/>
    <w:bookmarkStart w:id="26" w:name="comentários-do-chatgpt"/>
    <w:p>
      <w:pPr>
        <w:pStyle w:val="Heading1"/>
      </w:pPr>
      <w:r>
        <w:t xml:space="preserve">Comentários do ChatGPT</w:t>
      </w:r>
    </w:p>
    <w:bookmarkStart w:id="24" w:name="prompt"/>
    <w:p>
      <w:pPr>
        <w:pStyle w:val="Heading2"/>
      </w:pPr>
      <w:r>
        <w:t xml:space="preserve">Prompt</w:t>
      </w:r>
    </w:p>
    <w:p>
      <w:pPr>
        <w:pStyle w:val="FirstParagraph"/>
      </w:pPr>
      <w:r>
        <w:t xml:space="preserve">Crie um estudo de caso de 4 a 6 páginas descrevendo os desafios enfrentados por uma agência estadual de saúde que lida com o vício e que precisa arrecadar financiamento para sustentar suas operações. O principal custo é sua equipe, responsável por distribuir kits de naloxona, tratar o vício e ajudar as pessoas a se reerguerem. A agência precisa equilibrar quais grupos pode atender, com o desafio de enfiar a agulha do financiamento entre agências federais e estaduais e doadores locais. O financiamento governamental é incerto e vem com exigências para empreender iniciativas específicas. Apoie seu resumo com estatísticas sobre vício e mudanças no financiamento governamental.</w:t>
      </w:r>
    </w:p>
    <w:bookmarkEnd w:id="24"/>
    <w:bookmarkStart w:id="25" w:name="resumo"/>
    <w:p>
      <w:pPr>
        <w:pStyle w:val="Heading2"/>
      </w:pPr>
      <w:r>
        <w:t xml:space="preserve">Resumo</w:t>
      </w:r>
    </w:p>
    <w:p>
      <w:pPr>
        <w:pStyle w:val="FirstParagraph"/>
      </w:pPr>
      <w:r>
        <w:t xml:space="preserve">O caso apresenta uma agência estadual fictícia de combate ao vício tentando preservar sua equipe e equilibrar a distribuição de naloxona, o tratamento do vício e o apoio à recuperação de longo prazo, ao mesmo tempo em que reúne subvenções federais restritas, apropriações estaduais, fundos de acordos judiciais sobre opioides, receita do Medicaid e doações privadas.</w:t>
      </w:r>
    </w:p>
    <w:p>
      <w:pPr>
        <w:pStyle w:val="BodyText"/>
      </w:pPr>
      <w:r>
        <w:t xml:space="preserve">Inclui:</w:t>
      </w:r>
    </w:p>
    <w:p>
      <w:pPr>
        <w:numPr>
          <w:ilvl w:val="0"/>
          <w:numId w:val="1005"/>
        </w:numPr>
      </w:pPr>
      <w:r>
        <w:t xml:space="preserve">Um orçamento operacional de $118 milhões e uma força de trabalho de 506 pessoas</w:t>
      </w:r>
    </w:p>
    <w:p>
      <w:pPr>
        <w:numPr>
          <w:ilvl w:val="0"/>
          <w:numId w:val="1005"/>
        </w:numPr>
      </w:pPr>
      <w:r>
        <w:t xml:space="preserve">Cenários alternativos de financiamento e uma lacuna projetada de $18,6 milhões</w:t>
      </w:r>
    </w:p>
    <w:p>
      <w:pPr>
        <w:numPr>
          <w:ilvl w:val="0"/>
          <w:numId w:val="1005"/>
        </w:numPr>
      </w:pPr>
      <w:r>
        <w:t xml:space="preserve">Propostas concorrentes para atender comunidades rurais, pessoas envolvidas no sistema de justiça, famílias e pessoas que precisam de assistência de moradia ou emprego</w:t>
      </w:r>
    </w:p>
    <w:p>
      <w:pPr>
        <w:numPr>
          <w:ilvl w:val="0"/>
          <w:numId w:val="1005"/>
        </w:numPr>
      </w:pPr>
      <w:r>
        <w:t xml:space="preserve">Restrições de subvenções federais, encargos de relatório e incerteza no momento do financiamento</w:t>
      </w:r>
    </w:p>
    <w:p>
      <w:pPr>
        <w:numPr>
          <w:ilvl w:val="0"/>
          <w:numId w:val="1005"/>
        </w:numPr>
      </w:pPr>
      <w:r>
        <w:t xml:space="preserve">Exhibits quantitativos e dez questões de discussão</w:t>
      </w:r>
    </w:p>
    <w:p>
      <w:pPr>
        <w:numPr>
          <w:ilvl w:val="0"/>
          <w:numId w:val="1005"/>
        </w:numPr>
      </w:pPr>
      <w:r>
        <w:t xml:space="preserve">Nenhuma solução claramente preferida</w:t>
      </w:r>
    </w:p>
    <w:p>
      <w:pPr>
        <w:pStyle w:val="FirstParagraph"/>
      </w:pPr>
      <w:r>
        <w:t xml:space="preserve">O contexto de saúde pública utiliza estatísticas atuais do CDC e da SAMHSA, incluindo estimativas preliminares de aproximadamente 69.973 mortes por overdose nos EUA durante 2025 e a constatação de que apenas 17% dos aproximadamente 4,8 milhões de pessoas com transtorno por uso de opioides receberam tratamento medicamentoso em 2024. As informações sobre financiamento federal se baseiam no anúncio de subvenção State Opioid Response de $1,4805 bilhão do ano fiscal de 2024, mais de $1,5 bilhão em concessões de continuidade do ano fiscal de 2025, e nas constatações do GAO sobre atrasos em subvenções e encargos de relatório.</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warrenpowell.org/decision-framing-tool/#decision-prioritization-tool" TargetMode="External" /><Relationship Type="http://schemas.openxmlformats.org/officeDocument/2006/relationships/hyperlink" Id="rId17" Target="https://warrenpowell.org/decision-framing-tool/#metrics-pyramid-tool" TargetMode="External" /><Relationship Type="http://schemas.openxmlformats.org/officeDocument/2006/relationships/hyperlink" Id="rId20" Target="https://warrenpowell.org/decision-framing-tool/#uncertainty-prioritization-tool" TargetMode="External" /><Relationship Type="http://schemas.openxmlformats.org/officeDocument/2006/relationships/hyperlink" Id="rId19" Target="https://warrenpowell.org/decisionsdecisions/#types-of-decision-settings" TargetMode="External" /><Relationship Type="http://schemas.openxmlformats.org/officeDocument/2006/relationships/hyperlink" Id="rId21"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8" Target="https://warrenpowell.org/decision-framing-tool/#decision-prioritization-tool" TargetMode="External" /><Relationship Type="http://schemas.openxmlformats.org/officeDocument/2006/relationships/hyperlink" Id="rId17" Target="https://warrenpowell.org/decision-framing-tool/#metrics-pyramid-tool" TargetMode="External" /><Relationship Type="http://schemas.openxmlformats.org/officeDocument/2006/relationships/hyperlink" Id="rId20" Target="https://warrenpowell.org/decision-framing-tool/#uncertainty-prioritization-tool" TargetMode="External" /><Relationship Type="http://schemas.openxmlformats.org/officeDocument/2006/relationships/hyperlink" Id="rId19" Target="https://warrenpowell.org/decisionsdecisions/#types-of-decision-settings" TargetMode="External" /><Relationship Type="http://schemas.openxmlformats.org/officeDocument/2006/relationships/hyperlink" Id="rId21"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2026-09-11T16:53:08Z</dcterms:created>
  <dcterms:modified xsi:type="dcterms:W3CDTF">2026-09-11T16:53:08Z</dcterms:modified>
</cp:coreProperties>
</file>

<file path=docProps/custom.xml><?xml version="1.0" encoding="utf-8"?>
<Properties xmlns="http://schemas.openxmlformats.org/officeDocument/2006/custom-properties" xmlns:vt="http://schemas.openxmlformats.org/officeDocument/2006/docPropsVTypes"/>
</file>